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April 29, 2020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earliest event reported)</w:t>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LABORATORY CORPORATION OF AMERICA HOLDINGS</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820" w:type="dxa"/>
            <w:vAlign w:val="bottom"/>
            <w:gridSpan w:val="4"/>
          </w:tcPr>
          <w:p>
            <w:pPr>
              <w:jc w:val="center"/>
              <w:ind w:right="520"/>
              <w:spacing w:after="0"/>
              <w:rPr>
                <w:sz w:val="20"/>
                <w:szCs w:val="20"/>
                <w:color w:val="auto"/>
              </w:rPr>
            </w:pPr>
            <w:r>
              <w:rPr>
                <w:rFonts w:ascii="Arial" w:cs="Arial" w:eastAsia="Arial" w:hAnsi="Arial"/>
                <w:sz w:val="18"/>
                <w:szCs w:val="18"/>
                <w:b w:val="1"/>
                <w:bCs w:val="1"/>
                <w:color w:val="auto"/>
                <w:w w:val="93"/>
              </w:rPr>
              <w:t>Delaware</w:t>
            </w:r>
          </w:p>
        </w:tc>
        <w:tc>
          <w:tcPr>
            <w:tcW w:w="2620" w:type="dxa"/>
            <w:vAlign w:val="bottom"/>
            <w:gridSpan w:val="3"/>
          </w:tcPr>
          <w:p>
            <w:pPr>
              <w:jc w:val="right"/>
              <w:ind w:right="1220"/>
              <w:spacing w:after="0"/>
              <w:rPr>
                <w:sz w:val="20"/>
                <w:szCs w:val="20"/>
                <w:color w:val="auto"/>
              </w:rPr>
            </w:pPr>
            <w:r>
              <w:rPr>
                <w:rFonts w:ascii="Arial" w:cs="Arial" w:eastAsia="Arial" w:hAnsi="Arial"/>
                <w:sz w:val="18"/>
                <w:szCs w:val="18"/>
                <w:b w:val="1"/>
                <w:bCs w:val="1"/>
                <w:color w:val="auto"/>
              </w:rPr>
              <w:t>1-11353</w:t>
            </w:r>
          </w:p>
        </w:tc>
        <w:tc>
          <w:tcPr>
            <w:tcW w:w="100" w:type="dxa"/>
            <w:vAlign w:val="bottom"/>
          </w:tcPr>
          <w:p>
            <w:pPr>
              <w:spacing w:after="0"/>
              <w:rPr>
                <w:sz w:val="20"/>
                <w:szCs w:val="20"/>
                <w:color w:val="auto"/>
              </w:rPr>
            </w:pPr>
          </w:p>
        </w:tc>
        <w:tc>
          <w:tcPr>
            <w:tcW w:w="3700" w:type="dxa"/>
            <w:vAlign w:val="bottom"/>
          </w:tcPr>
          <w:p>
            <w:pPr>
              <w:jc w:val="right"/>
              <w:ind w:right="1330"/>
              <w:spacing w:after="0"/>
              <w:rPr>
                <w:sz w:val="20"/>
                <w:szCs w:val="20"/>
                <w:color w:val="auto"/>
              </w:rPr>
            </w:pPr>
            <w:r>
              <w:rPr>
                <w:rFonts w:ascii="Arial" w:cs="Arial" w:eastAsia="Arial" w:hAnsi="Arial"/>
                <w:sz w:val="18"/>
                <w:szCs w:val="18"/>
                <w:b w:val="1"/>
                <w:bCs w:val="1"/>
                <w:color w:val="auto"/>
              </w:rPr>
              <w:t>13-3757370</w:t>
            </w:r>
          </w:p>
        </w:tc>
      </w:tr>
      <w:tr>
        <w:trPr>
          <w:trHeight w:val="34"/>
        </w:trPr>
        <w:tc>
          <w:tcPr>
            <w:tcW w:w="42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43"/>
        </w:trPr>
        <w:tc>
          <w:tcPr>
            <w:tcW w:w="4820" w:type="dxa"/>
            <w:vAlign w:val="bottom"/>
            <w:gridSpan w:val="4"/>
          </w:tcPr>
          <w:p>
            <w:pPr>
              <w:jc w:val="center"/>
              <w:ind w:right="520"/>
              <w:spacing w:after="0"/>
              <w:rPr>
                <w:sz w:val="20"/>
                <w:szCs w:val="20"/>
                <w:color w:val="auto"/>
              </w:rPr>
            </w:pPr>
            <w:r>
              <w:rPr>
                <w:rFonts w:ascii="Arial" w:cs="Arial" w:eastAsia="Arial" w:hAnsi="Arial"/>
                <w:sz w:val="18"/>
                <w:szCs w:val="18"/>
                <w:color w:val="auto"/>
                <w:w w:val="93"/>
              </w:rPr>
              <w:t>(State or other jurisdiction of Incorporation)</w:t>
            </w:r>
          </w:p>
        </w:tc>
        <w:tc>
          <w:tcPr>
            <w:tcW w:w="2720" w:type="dxa"/>
            <w:vAlign w:val="bottom"/>
            <w:gridSpan w:val="4"/>
          </w:tcPr>
          <w:p>
            <w:pPr>
              <w:jc w:val="center"/>
              <w:ind w:right="520"/>
              <w:spacing w:after="0"/>
              <w:rPr>
                <w:sz w:val="20"/>
                <w:szCs w:val="20"/>
                <w:color w:val="auto"/>
              </w:rPr>
            </w:pPr>
            <w:r>
              <w:rPr>
                <w:rFonts w:ascii="Arial" w:cs="Arial" w:eastAsia="Arial" w:hAnsi="Arial"/>
                <w:sz w:val="18"/>
                <w:szCs w:val="18"/>
                <w:color w:val="auto"/>
                <w:w w:val="93"/>
              </w:rPr>
              <w:t>(Commission File Number)</w:t>
            </w:r>
          </w:p>
        </w:tc>
        <w:tc>
          <w:tcPr>
            <w:tcW w:w="370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621"/>
        </w:trPr>
        <w:tc>
          <w:tcPr>
            <w:tcW w:w="1860" w:type="dxa"/>
            <w:vAlign w:val="bottom"/>
          </w:tcPr>
          <w:p>
            <w:pPr>
              <w:spacing w:after="0"/>
              <w:rPr>
                <w:sz w:val="24"/>
                <w:szCs w:val="24"/>
                <w:color w:val="auto"/>
              </w:rPr>
            </w:pPr>
          </w:p>
        </w:tc>
        <w:tc>
          <w:tcPr>
            <w:tcW w:w="2960" w:type="dxa"/>
            <w:vAlign w:val="bottom"/>
            <w:gridSpan w:val="3"/>
          </w:tcPr>
          <w:p>
            <w:pPr>
              <w:jc w:val="center"/>
              <w:ind w:right="1160"/>
              <w:spacing w:after="0"/>
              <w:rPr>
                <w:sz w:val="20"/>
                <w:szCs w:val="20"/>
                <w:color w:val="auto"/>
              </w:rPr>
            </w:pPr>
            <w:r>
              <w:rPr>
                <w:rFonts w:ascii="Arial" w:cs="Arial" w:eastAsia="Arial" w:hAnsi="Arial"/>
                <w:sz w:val="18"/>
                <w:szCs w:val="18"/>
                <w:b w:val="1"/>
                <w:bCs w:val="1"/>
                <w:color w:val="auto"/>
                <w:w w:val="91"/>
              </w:rPr>
              <w:t>358 South Main Street</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70"/>
        </w:trPr>
        <w:tc>
          <w:tcPr>
            <w:tcW w:w="1860" w:type="dxa"/>
            <w:vAlign w:val="bottom"/>
          </w:tcPr>
          <w:p>
            <w:pPr>
              <w:ind w:left="920"/>
              <w:spacing w:after="0"/>
              <w:rPr>
                <w:sz w:val="20"/>
                <w:szCs w:val="20"/>
                <w:color w:val="auto"/>
              </w:rPr>
            </w:pPr>
            <w:r>
              <w:rPr>
                <w:rFonts w:ascii="Arial" w:cs="Arial" w:eastAsia="Arial" w:hAnsi="Arial"/>
                <w:sz w:val="18"/>
                <w:szCs w:val="18"/>
                <w:b w:val="1"/>
                <w:bCs w:val="1"/>
                <w:color w:val="auto"/>
                <w:w w:val="95"/>
              </w:rPr>
              <w:t>Burlington,</w:t>
            </w:r>
          </w:p>
        </w:tc>
        <w:tc>
          <w:tcPr>
            <w:tcW w:w="2960" w:type="dxa"/>
            <w:vAlign w:val="bottom"/>
            <w:gridSpan w:val="3"/>
          </w:tcPr>
          <w:p>
            <w:pPr>
              <w:ind w:left="1660"/>
              <w:spacing w:after="0"/>
              <w:rPr>
                <w:sz w:val="20"/>
                <w:szCs w:val="20"/>
                <w:color w:val="auto"/>
              </w:rPr>
            </w:pPr>
            <w:r>
              <w:rPr>
                <w:rFonts w:ascii="Arial" w:cs="Arial" w:eastAsia="Arial" w:hAnsi="Arial"/>
                <w:sz w:val="18"/>
                <w:szCs w:val="18"/>
                <w:b w:val="1"/>
                <w:bCs w:val="1"/>
                <w:color w:val="auto"/>
              </w:rPr>
              <w:t>North Carolina</w:t>
            </w: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00" w:type="dxa"/>
            <w:vAlign w:val="bottom"/>
          </w:tcPr>
          <w:p>
            <w:pPr>
              <w:jc w:val="right"/>
              <w:ind w:right="2490"/>
              <w:spacing w:after="0"/>
              <w:rPr>
                <w:sz w:val="20"/>
                <w:szCs w:val="20"/>
                <w:color w:val="auto"/>
              </w:rPr>
            </w:pPr>
            <w:r>
              <w:rPr>
                <w:rFonts w:ascii="Arial" w:cs="Arial" w:eastAsia="Arial" w:hAnsi="Arial"/>
                <w:sz w:val="18"/>
                <w:szCs w:val="18"/>
                <w:b w:val="1"/>
                <w:bCs w:val="1"/>
                <w:color w:val="auto"/>
              </w:rPr>
              <w:t>27215</w:t>
            </w:r>
          </w:p>
        </w:tc>
      </w:tr>
      <w:tr>
        <w:trPr>
          <w:trHeight w:val="34"/>
        </w:trPr>
        <w:tc>
          <w:tcPr>
            <w:tcW w:w="4820" w:type="dxa"/>
            <w:vAlign w:val="bottom"/>
            <w:tcBorders>
              <w:bottom w:val="single" w:sz="8" w:color="auto"/>
            </w:tcBorders>
            <w:gridSpan w:val="4"/>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43"/>
        </w:trPr>
        <w:tc>
          <w:tcPr>
            <w:tcW w:w="4820" w:type="dxa"/>
            <w:vAlign w:val="bottom"/>
            <w:gridSpan w:val="4"/>
          </w:tcPr>
          <w:p>
            <w:pPr>
              <w:jc w:val="center"/>
              <w:ind w:left="610"/>
              <w:spacing w:after="0"/>
              <w:rPr>
                <w:sz w:val="20"/>
                <w:szCs w:val="20"/>
                <w:color w:val="auto"/>
              </w:rPr>
            </w:pPr>
            <w:r>
              <w:rPr>
                <w:rFonts w:ascii="Arial" w:cs="Arial" w:eastAsia="Arial" w:hAnsi="Arial"/>
                <w:sz w:val="18"/>
                <w:szCs w:val="18"/>
                <w:color w:val="auto"/>
                <w:w w:val="92"/>
              </w:rPr>
              <w:t>(Address of principal executive offices)</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00" w:type="dxa"/>
            <w:vAlign w:val="bottom"/>
          </w:tcPr>
          <w:p>
            <w:pPr>
              <w:jc w:val="center"/>
              <w:ind w:right="1830"/>
              <w:spacing w:after="0"/>
              <w:rPr>
                <w:sz w:val="20"/>
                <w:szCs w:val="20"/>
                <w:color w:val="auto"/>
              </w:rPr>
            </w:pPr>
            <w:r>
              <w:rPr>
                <w:rFonts w:ascii="Arial" w:cs="Arial" w:eastAsia="Arial" w:hAnsi="Arial"/>
                <w:sz w:val="18"/>
                <w:szCs w:val="18"/>
                <w:color w:val="auto"/>
                <w:w w:val="91"/>
              </w:rPr>
              <w:t>(Zip Code)</w:t>
            </w:r>
          </w:p>
        </w:tc>
      </w:tr>
    </w:tbl>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336-229-1127</w:t>
      </w:r>
    </w:p>
    <w:p>
      <w:pPr>
        <w:spacing w:after="0" w:line="12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63"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right="2840" w:firstLine="35"/>
        <w:spacing w:after="0" w:line="326" w:lineRule="auto"/>
        <w:tabs>
          <w:tab w:leader="none" w:pos="35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Exchange Act.</w:t>
      </w:r>
    </w:p>
    <w:p>
      <w:pPr>
        <w:sectPr>
          <w:pgSz w:w="11900" w:h="16838" w:orient="portrait"/>
          <w:cols w:equalWidth="0" w:num="1">
            <w:col w:w="11240"/>
          </w:cols>
          <w:pgMar w:left="320" w:top="652" w:right="339" w:bottom="1440" w:gutter="0" w:footer="0" w:header="0"/>
        </w:sectPr>
      </w:pPr>
    </w:p>
    <w:p>
      <w:pPr>
        <w:spacing w:after="0" w:line="1" w:lineRule="exact"/>
        <w:rPr>
          <w:sz w:val="24"/>
          <w:szCs w:val="24"/>
          <w:color w:val="auto"/>
        </w:rPr>
      </w:pPr>
    </w:p>
    <w:p>
      <w:pPr>
        <w:spacing w:after="0"/>
        <w:tabs>
          <w:tab w:leader="none" w:pos="1960" w:val="left"/>
        </w:tabs>
        <w:rPr>
          <w:sz w:val="20"/>
          <w:szCs w:val="20"/>
          <w:color w:val="auto"/>
        </w:rPr>
      </w:pPr>
      <w:r>
        <w:rPr>
          <w:rFonts w:ascii="Arial" w:cs="Arial" w:eastAsia="Arial" w:hAnsi="Arial"/>
          <w:sz w:val="18"/>
          <w:szCs w:val="18"/>
          <w:b w:val="1"/>
          <w:bCs w:val="1"/>
          <w:color w:val="auto"/>
        </w:rPr>
        <w:t>Title of Each Class</w:t>
      </w:r>
      <w:r>
        <w:rPr>
          <w:sz w:val="20"/>
          <w:szCs w:val="20"/>
          <w:color w:val="auto"/>
        </w:rPr>
        <w:tab/>
      </w:r>
      <w:r>
        <w:rPr>
          <w:rFonts w:ascii="Arial" w:cs="Arial" w:eastAsia="Arial" w:hAnsi="Arial"/>
          <w:sz w:val="16"/>
          <w:szCs w:val="16"/>
          <w:b w:val="1"/>
          <w:bCs w:val="1"/>
          <w:color w:val="auto"/>
        </w:rPr>
        <w:t>Trading Symbol</w:t>
      </w:r>
    </w:p>
    <w:p>
      <w:pPr>
        <w:spacing w:after="0" w:line="27" w:lineRule="exact"/>
        <w:rPr>
          <w:sz w:val="24"/>
          <w:szCs w:val="24"/>
          <w:color w:val="auto"/>
        </w:rPr>
      </w:pPr>
    </w:p>
    <w:p>
      <w:pPr>
        <w:spacing w:after="0"/>
        <w:tabs>
          <w:tab w:leader="none" w:pos="2680" w:val="left"/>
        </w:tabs>
        <w:rPr>
          <w:sz w:val="20"/>
          <w:szCs w:val="20"/>
          <w:color w:val="auto"/>
        </w:rPr>
      </w:pPr>
      <w:r>
        <w:rPr>
          <w:rFonts w:ascii="Arial" w:cs="Arial" w:eastAsia="Arial" w:hAnsi="Arial"/>
          <w:sz w:val="18"/>
          <w:szCs w:val="18"/>
          <w:color w:val="auto"/>
        </w:rPr>
        <w:t>Common Stock, $0.10 par value</w:t>
      </w:r>
      <w:r>
        <w:rPr>
          <w:sz w:val="20"/>
          <w:szCs w:val="20"/>
          <w:color w:val="auto"/>
        </w:rPr>
        <w:tab/>
      </w:r>
      <w:r>
        <w:rPr>
          <w:rFonts w:ascii="Arial" w:cs="Arial" w:eastAsia="Arial" w:hAnsi="Arial"/>
          <w:sz w:val="18"/>
          <w:szCs w:val="18"/>
          <w:color w:val="auto"/>
        </w:rPr>
        <w:t>LH</w:t>
      </w:r>
    </w:p>
    <w:p>
      <w:pPr>
        <w:spacing w:after="0" w:line="20" w:lineRule="exact"/>
        <w:rPr>
          <w:sz w:val="24"/>
          <w:szCs w:val="24"/>
          <w:color w:val="auto"/>
        </w:rPr>
      </w:pPr>
      <w:r>
        <w:rPr>
          <w:sz w:val="24"/>
          <w:szCs w:val="24"/>
          <w:color w:val="auto"/>
        </w:rPr>
        <w:br w:type="column"/>
      </w:r>
    </w:p>
    <w:p>
      <w:pPr>
        <w:ind w:left="100"/>
        <w:spacing w:after="0"/>
        <w:rPr>
          <w:sz w:val="20"/>
          <w:szCs w:val="20"/>
          <w:color w:val="auto"/>
        </w:rPr>
      </w:pPr>
      <w:r>
        <w:rPr>
          <w:rFonts w:ascii="Arial" w:cs="Arial" w:eastAsia="Arial" w:hAnsi="Arial"/>
          <w:sz w:val="15"/>
          <w:szCs w:val="15"/>
          <w:b w:val="1"/>
          <w:bCs w:val="1"/>
          <w:color w:val="auto"/>
        </w:rPr>
        <w:t>Name of exchange on which registered</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New York Stock Exchange</w:t>
      </w:r>
    </w:p>
    <w:p>
      <w:pPr>
        <w:spacing w:after="0" w:line="200" w:lineRule="exact"/>
        <w:rPr>
          <w:sz w:val="24"/>
          <w:szCs w:val="24"/>
          <w:color w:val="auto"/>
        </w:rPr>
      </w:pPr>
    </w:p>
    <w:p>
      <w:pPr>
        <w:sectPr>
          <w:pgSz w:w="11900" w:h="16838" w:orient="portrait"/>
          <w:cols w:equalWidth="0" w:num="2">
            <w:col w:w="3220" w:space="440"/>
            <w:col w:w="7580"/>
          </w:cols>
          <w:pgMar w:left="320" w:top="652" w:right="339" w:bottom="1440" w:gutter="0" w:footer="0" w:header="0"/>
          <w:type w:val="continuous"/>
        </w:sectPr>
      </w:pPr>
    </w:p>
    <w:p>
      <w:pPr>
        <w:spacing w:after="0" w:line="6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64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96"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4"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Item 2.02</w:t>
            </w:r>
          </w:p>
        </w:tc>
        <w:tc>
          <w:tcPr>
            <w:tcW w:w="280" w:type="dxa"/>
            <w:vAlign w:val="bottom"/>
          </w:tcPr>
          <w:p>
            <w:pPr>
              <w:spacing w:after="0"/>
              <w:rPr>
                <w:sz w:val="20"/>
                <w:szCs w:val="20"/>
                <w:color w:val="auto"/>
              </w:rPr>
            </w:pPr>
          </w:p>
        </w:tc>
        <w:tc>
          <w:tcPr>
            <w:tcW w:w="3920" w:type="dxa"/>
            <w:vAlign w:val="bottom"/>
            <w:gridSpan w:val="2"/>
          </w:tcPr>
          <w:p>
            <w:pPr>
              <w:ind w:left="340"/>
              <w:spacing w:after="0"/>
              <w:rPr>
                <w:sz w:val="20"/>
                <w:szCs w:val="20"/>
                <w:color w:val="auto"/>
              </w:rPr>
            </w:pPr>
            <w:r>
              <w:rPr>
                <w:rFonts w:ascii="Arial" w:cs="Arial" w:eastAsia="Arial" w:hAnsi="Arial"/>
                <w:sz w:val="18"/>
                <w:szCs w:val="18"/>
                <w:color w:val="auto"/>
                <w:w w:val="97"/>
              </w:rPr>
              <w:t>Results of Operations and Financial Condition</w:t>
            </w:r>
          </w:p>
        </w:tc>
      </w:tr>
      <w:tr>
        <w:trPr>
          <w:trHeight w:val="837"/>
        </w:trPr>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4200" w:type="dxa"/>
            <w:vAlign w:val="bottom"/>
            <w:gridSpan w:val="3"/>
          </w:tcPr>
          <w:p>
            <w:pPr>
              <w:ind w:left="280"/>
              <w:spacing w:after="0"/>
              <w:rPr>
                <w:sz w:val="20"/>
                <w:szCs w:val="20"/>
                <w:color w:val="auto"/>
              </w:rPr>
            </w:pPr>
            <w:r>
              <w:rPr>
                <w:rFonts w:ascii="Arial" w:cs="Arial" w:eastAsia="Arial" w:hAnsi="Arial"/>
                <w:sz w:val="18"/>
                <w:szCs w:val="18"/>
                <w:b w:val="1"/>
                <w:bCs w:val="1"/>
                <w:color w:val="auto"/>
              </w:rPr>
              <w:t>Financial Statements and Exhibits.</w:t>
            </w:r>
          </w:p>
        </w:tc>
      </w:tr>
      <w:tr>
        <w:trPr>
          <w:trHeight w:val="581"/>
        </w:trPr>
        <w:tc>
          <w:tcPr>
            <w:tcW w:w="118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4200" w:type="dxa"/>
            <w:vAlign w:val="bottom"/>
            <w:gridSpan w:val="3"/>
          </w:tcPr>
          <w:p>
            <w:pPr>
              <w:ind w:left="280"/>
              <w:spacing w:after="0"/>
              <w:rPr>
                <w:sz w:val="20"/>
                <w:szCs w:val="20"/>
                <w:color w:val="auto"/>
              </w:rPr>
            </w:pPr>
            <w:r>
              <w:rPr>
                <w:rFonts w:ascii="Arial" w:cs="Arial" w:eastAsia="Arial" w:hAnsi="Arial"/>
                <w:sz w:val="18"/>
                <w:szCs w:val="18"/>
                <w:color w:val="auto"/>
              </w:rPr>
              <w:t>Exhibit Name</w:t>
            </w:r>
          </w:p>
        </w:tc>
      </w:tr>
      <w:tr>
        <w:trPr>
          <w:trHeight w:val="20"/>
        </w:trPr>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290"/>
        </w:trPr>
        <w:tc>
          <w:tcPr>
            <w:tcW w:w="118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4200" w:type="dxa"/>
            <w:vAlign w:val="bottom"/>
            <w:gridSpan w:val="3"/>
          </w:tcPr>
          <w:p>
            <w:pPr>
              <w:ind w:left="280"/>
              <w:spacing w:after="0"/>
              <w:rPr>
                <w:rFonts w:ascii="Arial" w:cs="Arial" w:eastAsia="Arial" w:hAnsi="Arial"/>
                <w:sz w:val="18"/>
                <w:szCs w:val="18"/>
                <w:u w:val="single" w:color="auto"/>
                <w:color w:val="0000FF"/>
                <w:w w:val="88"/>
              </w:rPr>
            </w:pPr>
            <w:hyperlink w:anchor="page3">
              <w:r>
                <w:rPr>
                  <w:rFonts w:ascii="Arial" w:cs="Arial" w:eastAsia="Arial" w:hAnsi="Arial"/>
                  <w:sz w:val="18"/>
                  <w:szCs w:val="18"/>
                  <w:u w:val="single" w:color="auto"/>
                  <w:color w:val="0000FF"/>
                  <w:w w:val="88"/>
                </w:rPr>
                <w:t>Press Release dated April 29, 2020 issued by LabCorp</w:t>
              </w:r>
            </w:hyperlink>
          </w:p>
        </w:tc>
      </w:tr>
    </w:tbl>
    <w:p>
      <w:pPr>
        <w:sectPr>
          <w:pgSz w:w="11900" w:h="16838" w:orient="portrait"/>
          <w:cols w:equalWidth="0" w:num="1">
            <w:col w:w="11240"/>
          </w:cols>
          <w:pgMar w:left="320" w:top="652" w:right="33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LABORATORY CORPORATION OF AMERICA HOLDINGS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100"/>
        <w:spacing w:after="0"/>
        <w:tabs>
          <w:tab w:leader="none" w:pos="5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SANDRA VAN DER VAART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31750</wp:posOffset>
            </wp:positionV>
            <wp:extent cx="34886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88690" cy="17145"/>
                    </a:xfrm>
                    <a:prstGeom prst="rect">
                      <a:avLst/>
                    </a:prstGeom>
                    <a:noFill/>
                  </pic:spPr>
                </pic:pic>
              </a:graphicData>
            </a:graphic>
          </wp:anchor>
        </w:drawing>
      </w:r>
    </w:p>
    <w:p>
      <w:pPr>
        <w:spacing w:after="0" w:line="70"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Sandra van der Vaart</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Executive Vice President, Chief Legal Officer and Corporate Secretary</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April 29, 2020</w:t>
      </w:r>
    </w:p>
    <w:p>
      <w:pPr>
        <w:sectPr>
          <w:pgSz w:w="11900" w:h="16838" w:orient="portrait"/>
          <w:cols w:equalWidth="0" w:num="1">
            <w:col w:w="11200"/>
          </w:cols>
          <w:pgMar w:left="320" w:top="769" w:right="379" w:bottom="1440" w:gutter="0" w:footer="0" w:header="0"/>
        </w:sectPr>
      </w:pPr>
    </w:p>
    <w:bookmarkStart w:id="2" w:name="page3"/>
    <w:bookmarkEnd w:id="2"/>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311150</wp:posOffset>
            </wp:positionH>
            <wp:positionV relativeFrom="page">
              <wp:posOffset>363220</wp:posOffset>
            </wp:positionV>
            <wp:extent cx="2305685" cy="522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305685" cy="52260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u w:val="single" w:color="auto"/>
          <w:color w:val="auto"/>
        </w:rPr>
        <w:t>FOR IMMEDIATE RELEASE</w:t>
      </w:r>
    </w:p>
    <w:p>
      <w:pPr>
        <w:spacing w:after="0" w:line="108"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Contact:</w:t>
      </w:r>
      <w:r>
        <w:rPr>
          <w:sz w:val="20"/>
          <w:szCs w:val="20"/>
          <w:color w:val="auto"/>
        </w:rPr>
        <w:tab/>
      </w:r>
      <w:r>
        <w:rPr>
          <w:rFonts w:ascii="Arial" w:cs="Arial" w:eastAsia="Arial" w:hAnsi="Arial"/>
          <w:sz w:val="19"/>
          <w:szCs w:val="19"/>
          <w:b w:val="1"/>
          <w:bCs w:val="1"/>
          <w:color w:val="auto"/>
        </w:rPr>
        <w:t>Clarissa Willett (investors) – 336-436-5076</w:t>
      </w:r>
    </w:p>
    <w:p>
      <w:pPr>
        <w:spacing w:after="0" w:line="24" w:lineRule="exact"/>
        <w:rPr>
          <w:sz w:val="20"/>
          <w:szCs w:val="20"/>
          <w:color w:val="auto"/>
        </w:rPr>
      </w:pPr>
    </w:p>
    <w:p>
      <w:pPr>
        <w:ind w:left="820"/>
        <w:spacing w:after="0"/>
        <w:rPr>
          <w:sz w:val="20"/>
          <w:szCs w:val="20"/>
          <w:color w:val="auto"/>
        </w:rPr>
      </w:pPr>
      <w:r>
        <w:rPr>
          <w:rFonts w:ascii="Arial" w:cs="Arial" w:eastAsia="Arial" w:hAnsi="Arial"/>
          <w:sz w:val="20"/>
          <w:szCs w:val="20"/>
          <w:b w:val="1"/>
          <w:bCs w:val="1"/>
          <w:u w:val="single" w:color="auto"/>
          <w:color w:val="0000FF"/>
        </w:rPr>
        <w:t>Investor@LabCorp.com</w:t>
      </w:r>
    </w:p>
    <w:p>
      <w:pPr>
        <w:spacing w:after="0" w:line="205"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Pattie Kushner (media) – 336-436-8263</w:t>
      </w:r>
    </w:p>
    <w:p>
      <w:pPr>
        <w:spacing w:after="0" w:line="24" w:lineRule="exact"/>
        <w:rPr>
          <w:sz w:val="20"/>
          <w:szCs w:val="20"/>
          <w:color w:val="auto"/>
        </w:rPr>
      </w:pPr>
    </w:p>
    <w:p>
      <w:pPr>
        <w:ind w:left="820"/>
        <w:spacing w:after="0"/>
        <w:rPr>
          <w:sz w:val="20"/>
          <w:szCs w:val="20"/>
          <w:color w:val="auto"/>
        </w:rPr>
      </w:pPr>
      <w:r>
        <w:rPr>
          <w:rFonts w:ascii="Arial" w:cs="Arial" w:eastAsia="Arial" w:hAnsi="Arial"/>
          <w:sz w:val="20"/>
          <w:szCs w:val="20"/>
          <w:b w:val="1"/>
          <w:bCs w:val="1"/>
          <w:u w:val="single" w:color="auto"/>
          <w:color w:val="0000FF"/>
        </w:rPr>
        <w:t>Media@LabCorp.com</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LABCORP ANNOUNCES 2020 FIRST QUARTER RESULTS</w:t>
      </w:r>
    </w:p>
    <w:p>
      <w:pPr>
        <w:spacing w:after="0" w:line="200" w:lineRule="exact"/>
        <w:rPr>
          <w:sz w:val="20"/>
          <w:szCs w:val="20"/>
          <w:color w:val="auto"/>
        </w:rPr>
      </w:pPr>
    </w:p>
    <w:p>
      <w:pPr>
        <w:spacing w:after="0" w:line="265" w:lineRule="exact"/>
        <w:rPr>
          <w:sz w:val="20"/>
          <w:szCs w:val="20"/>
          <w:color w:val="auto"/>
        </w:rPr>
      </w:pPr>
    </w:p>
    <w:p>
      <w:pPr>
        <w:ind w:left="340" w:hanging="332"/>
        <w:spacing w:after="0"/>
        <w:tabs>
          <w:tab w:leader="none" w:pos="340" w:val="left"/>
        </w:tabs>
        <w:numPr>
          <w:ilvl w:val="0"/>
          <w:numId w:val="2"/>
        </w:numPr>
        <w:rPr>
          <w:rFonts w:ascii="Arial" w:cs="Arial" w:eastAsia="Arial" w:hAnsi="Arial"/>
          <w:sz w:val="20"/>
          <w:szCs w:val="20"/>
          <w:color w:val="auto"/>
        </w:rPr>
      </w:pPr>
      <w:r>
        <w:rPr>
          <w:rFonts w:ascii="Arial" w:cs="Arial" w:eastAsia="Arial" w:hAnsi="Arial"/>
          <w:sz w:val="20"/>
          <w:szCs w:val="20"/>
          <w:color w:val="auto"/>
        </w:rPr>
        <w:t>Q1 revenue of $2.82 billion, up 1% over $2.79 billion last year</w:t>
      </w:r>
    </w:p>
    <w:p>
      <w:pPr>
        <w:spacing w:after="0" w:line="12" w:lineRule="exact"/>
        <w:rPr>
          <w:rFonts w:ascii="Arial" w:cs="Arial" w:eastAsia="Arial" w:hAnsi="Arial"/>
          <w:sz w:val="20"/>
          <w:szCs w:val="20"/>
          <w:color w:val="auto"/>
        </w:rPr>
      </w:pPr>
    </w:p>
    <w:p>
      <w:pPr>
        <w:ind w:left="340" w:hanging="332"/>
        <w:spacing w:after="0"/>
        <w:tabs>
          <w:tab w:leader="none" w:pos="340" w:val="left"/>
        </w:tabs>
        <w:numPr>
          <w:ilvl w:val="0"/>
          <w:numId w:val="2"/>
        </w:numPr>
        <w:rPr>
          <w:rFonts w:ascii="Arial" w:cs="Arial" w:eastAsia="Arial" w:hAnsi="Arial"/>
          <w:sz w:val="20"/>
          <w:szCs w:val="20"/>
          <w:color w:val="auto"/>
        </w:rPr>
      </w:pPr>
      <w:r>
        <w:rPr>
          <w:rFonts w:ascii="Arial" w:cs="Arial" w:eastAsia="Arial" w:hAnsi="Arial"/>
          <w:sz w:val="20"/>
          <w:szCs w:val="20"/>
          <w:color w:val="auto"/>
        </w:rPr>
        <w:t>Q1 diluted EPS of ($3.27), which include goodwill and other asset impairments of $4.43 per share</w:t>
      </w:r>
    </w:p>
    <w:p>
      <w:pPr>
        <w:ind w:left="340" w:hanging="332"/>
        <w:spacing w:after="0"/>
        <w:tabs>
          <w:tab w:leader="none" w:pos="340" w:val="left"/>
        </w:tabs>
        <w:numPr>
          <w:ilvl w:val="0"/>
          <w:numId w:val="2"/>
        </w:numPr>
        <w:rPr>
          <w:rFonts w:ascii="Arial" w:cs="Arial" w:eastAsia="Arial" w:hAnsi="Arial"/>
          <w:sz w:val="20"/>
          <w:szCs w:val="20"/>
          <w:color w:val="auto"/>
        </w:rPr>
      </w:pPr>
      <w:r>
        <w:rPr>
          <w:rFonts w:ascii="Arial" w:cs="Arial" w:eastAsia="Arial" w:hAnsi="Arial"/>
          <w:sz w:val="20"/>
          <w:szCs w:val="20"/>
          <w:color w:val="auto"/>
        </w:rPr>
        <w:t>Q1 adjusted EPS of $2.37, which were negatively impacted by an estimated $0.55 per share from the COVID-19 pandemic</w:t>
      </w:r>
    </w:p>
    <w:p>
      <w:pPr>
        <w:ind w:left="340" w:hanging="332"/>
        <w:spacing w:after="0"/>
        <w:tabs>
          <w:tab w:leader="none" w:pos="340" w:val="left"/>
        </w:tabs>
        <w:numPr>
          <w:ilvl w:val="0"/>
          <w:numId w:val="2"/>
        </w:numPr>
        <w:rPr>
          <w:rFonts w:ascii="Arial" w:cs="Arial" w:eastAsia="Arial" w:hAnsi="Arial"/>
          <w:sz w:val="20"/>
          <w:szCs w:val="20"/>
          <w:color w:val="auto"/>
        </w:rPr>
      </w:pPr>
      <w:r>
        <w:rPr>
          <w:rFonts w:ascii="Arial" w:cs="Arial" w:eastAsia="Arial" w:hAnsi="Arial"/>
          <w:sz w:val="20"/>
          <w:szCs w:val="20"/>
          <w:color w:val="auto"/>
        </w:rPr>
        <w:t>Q1 free cash flow of $97 million, up 36% over $72 million last year</w:t>
      </w:r>
    </w:p>
    <w:p>
      <w:pPr>
        <w:ind w:left="340" w:right="40" w:hanging="332"/>
        <w:spacing w:after="0" w:line="239" w:lineRule="auto"/>
        <w:tabs>
          <w:tab w:leader="none" w:pos="340" w:val="left"/>
        </w:tabs>
        <w:numPr>
          <w:ilvl w:val="0"/>
          <w:numId w:val="2"/>
        </w:numPr>
        <w:rPr>
          <w:rFonts w:ascii="Arial" w:cs="Arial" w:eastAsia="Arial" w:hAnsi="Arial"/>
          <w:sz w:val="20"/>
          <w:szCs w:val="20"/>
          <w:color w:val="auto"/>
        </w:rPr>
      </w:pPr>
      <w:r>
        <w:rPr>
          <w:rFonts w:ascii="Arial" w:cs="Arial" w:eastAsia="Arial" w:hAnsi="Arial"/>
          <w:sz w:val="20"/>
          <w:szCs w:val="20"/>
          <w:color w:val="auto"/>
        </w:rPr>
        <w:t>LabCorp withdraws 2020 guidance and temporarily suspends its share repurchase program due to the unpredictability of the ongoing COVID-19 pandemic</w:t>
      </w:r>
    </w:p>
    <w:p>
      <w:pPr>
        <w:ind w:left="340" w:hanging="332"/>
        <w:spacing w:after="0"/>
        <w:tabs>
          <w:tab w:leader="none" w:pos="340" w:val="left"/>
        </w:tabs>
        <w:numPr>
          <w:ilvl w:val="0"/>
          <w:numId w:val="2"/>
        </w:numPr>
        <w:rPr>
          <w:rFonts w:ascii="Arial" w:cs="Arial" w:eastAsia="Arial" w:hAnsi="Arial"/>
          <w:sz w:val="20"/>
          <w:szCs w:val="20"/>
          <w:color w:val="auto"/>
        </w:rPr>
      </w:pPr>
      <w:r>
        <w:rPr>
          <w:rFonts w:ascii="Arial" w:cs="Arial" w:eastAsia="Arial" w:hAnsi="Arial"/>
          <w:sz w:val="20"/>
          <w:szCs w:val="20"/>
          <w:color w:val="auto"/>
        </w:rPr>
        <w:t>LabCorp maintains a strong liquidity position and expects to deliver solid adjusted EPS and free cash flow in 2020</w:t>
      </w:r>
    </w:p>
    <w:p>
      <w:pPr>
        <w:spacing w:after="0" w:line="367" w:lineRule="exact"/>
        <w:rPr>
          <w:sz w:val="20"/>
          <w:szCs w:val="20"/>
          <w:color w:val="auto"/>
        </w:rPr>
      </w:pPr>
    </w:p>
    <w:p>
      <w:pPr>
        <w:spacing w:after="0" w:line="384" w:lineRule="auto"/>
        <w:rPr>
          <w:sz w:val="20"/>
          <w:szCs w:val="20"/>
          <w:color w:val="auto"/>
        </w:rPr>
      </w:pPr>
      <w:r>
        <w:rPr>
          <w:rFonts w:ascii="Arial" w:cs="Arial" w:eastAsia="Arial" w:hAnsi="Arial"/>
          <w:sz w:val="20"/>
          <w:szCs w:val="20"/>
          <w:b w:val="1"/>
          <w:bCs w:val="1"/>
          <w:color w:val="auto"/>
        </w:rPr>
        <w:t xml:space="preserve">BURLINGTON, N.C., April 29, 2020 – </w:t>
      </w:r>
      <w:r>
        <w:rPr>
          <w:rFonts w:ascii="Arial" w:cs="Arial" w:eastAsia="Arial" w:hAnsi="Arial"/>
          <w:sz w:val="20"/>
          <w:szCs w:val="20"/>
          <w:color w:val="auto"/>
        </w:rPr>
        <w:t>LabCorp (or the Company) (NYSE: LH) today announced results for the first quarter</w:t>
      </w:r>
      <w:r>
        <w:rPr>
          <w:rFonts w:ascii="Arial" w:cs="Arial" w:eastAsia="Arial" w:hAnsi="Arial"/>
          <w:sz w:val="20"/>
          <w:szCs w:val="20"/>
          <w:b w:val="1"/>
          <w:bCs w:val="1"/>
          <w:color w:val="auto"/>
        </w:rPr>
        <w:t xml:space="preserve"> </w:t>
      </w:r>
      <w:r>
        <w:rPr>
          <w:rFonts w:ascii="Arial" w:cs="Arial" w:eastAsia="Arial" w:hAnsi="Arial"/>
          <w:sz w:val="20"/>
          <w:szCs w:val="20"/>
          <w:color w:val="auto"/>
        </w:rPr>
        <w:t>ended March 31, 2020.</w:t>
      </w:r>
    </w:p>
    <w:p>
      <w:pPr>
        <w:spacing w:after="0" w:line="301" w:lineRule="exact"/>
        <w:rPr>
          <w:sz w:val="20"/>
          <w:szCs w:val="20"/>
          <w:color w:val="auto"/>
        </w:rPr>
      </w:pPr>
    </w:p>
    <w:p>
      <w:pPr>
        <w:ind w:right="80"/>
        <w:spacing w:after="0" w:line="353" w:lineRule="auto"/>
        <w:rPr>
          <w:sz w:val="20"/>
          <w:szCs w:val="20"/>
          <w:color w:val="auto"/>
        </w:rPr>
      </w:pPr>
      <w:r>
        <w:rPr>
          <w:rFonts w:ascii="Arial" w:cs="Arial" w:eastAsia="Arial" w:hAnsi="Arial"/>
          <w:sz w:val="20"/>
          <w:szCs w:val="20"/>
          <w:color w:val="auto"/>
        </w:rPr>
        <w:t>“First and foremost, we are extremely proud of our dedicated and mission-driven colleagues around the world who are working tirelessly to develop and process COVID-19 diagnostic tests, to generate insights about the virus through innovative partnerships with leading companies like Adaptive Biotechnologies and Microsoft, Ciox Health, and Pacific Biosciences, and to accelerate the development of treatments and vaccines that will aid pandemic preparedness and prevention efforts," said Adam Schechter, president and CEO of LabCorp. "During the quarter we delivered solid performance across the company, especially considering the challenges associated with the COVID-19 pandemic. Looking forward, despite the unpredictability of this health crisis, we are well positioned financially and strategically to continue to serve our customers and drive long-term shareholder value. We stand ready to serve and support patients, and we will continue to do everything we can, as quickly as possible, to support the global response.”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240"/>
          </w:cols>
          <w:pgMar w:left="320" w:top="1440" w:right="339" w:bottom="1440" w:gutter="0" w:footer="0" w:header="0"/>
        </w:sectPr>
      </w:pPr>
    </w:p>
    <w:bookmarkStart w:id="3" w:name="page4"/>
    <w:bookmarkEnd w:id="3"/>
    <w:p>
      <w:pPr>
        <w:spacing w:after="0"/>
        <w:rPr>
          <w:sz w:val="20"/>
          <w:szCs w:val="20"/>
          <w:color w:val="auto"/>
        </w:rPr>
      </w:pPr>
      <w:r>
        <w:rPr>
          <w:rFonts w:ascii="Arial" w:cs="Arial" w:eastAsia="Arial" w:hAnsi="Arial"/>
          <w:sz w:val="20"/>
          <w:szCs w:val="20"/>
          <w:b w:val="1"/>
          <w:bCs w:val="1"/>
          <w:color w:val="auto"/>
        </w:rPr>
        <w:t>Consolidated Results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First Quarter Results</w:t>
      </w:r>
    </w:p>
    <w:p>
      <w:pPr>
        <w:spacing w:after="0" w:line="307" w:lineRule="exact"/>
        <w:rPr>
          <w:sz w:val="20"/>
          <w:szCs w:val="20"/>
          <w:color w:val="auto"/>
        </w:rPr>
      </w:pPr>
    </w:p>
    <w:p>
      <w:pPr>
        <w:jc w:val="both"/>
        <w:spacing w:after="0" w:line="354" w:lineRule="auto"/>
        <w:rPr>
          <w:sz w:val="20"/>
          <w:szCs w:val="20"/>
          <w:color w:val="auto"/>
        </w:rPr>
      </w:pPr>
      <w:r>
        <w:rPr>
          <w:rFonts w:ascii="Arial" w:cs="Arial" w:eastAsia="Arial" w:hAnsi="Arial"/>
          <w:sz w:val="20"/>
          <w:szCs w:val="20"/>
          <w:color w:val="auto"/>
        </w:rPr>
        <w:t>Revenue for the quarter was $2.82 billion, an increase of 1.2% over $2.79 billion in the first quarter of 2019. The increase in revenue was due to acquisitions of 3.4%, partially offset by the disposition of a business of 0.5% and lower organic revenue of 1.8%. The lower organic revenue includes the estimated negative impact from COVID-19 of 4.9% and lower Medicare and Medicaid pricing as a result of PAMA of 0.7%.</w:t>
      </w:r>
    </w:p>
    <w:p>
      <w:pPr>
        <w:spacing w:after="0" w:line="331" w:lineRule="exact"/>
        <w:rPr>
          <w:sz w:val="20"/>
          <w:szCs w:val="20"/>
          <w:color w:val="auto"/>
        </w:rPr>
      </w:pPr>
    </w:p>
    <w:p>
      <w:pPr>
        <w:jc w:val="both"/>
        <w:spacing w:after="0" w:line="352" w:lineRule="auto"/>
        <w:rPr>
          <w:sz w:val="20"/>
          <w:szCs w:val="20"/>
          <w:color w:val="auto"/>
        </w:rPr>
      </w:pPr>
      <w:r>
        <w:rPr>
          <w:rFonts w:ascii="Arial" w:cs="Arial" w:eastAsia="Arial" w:hAnsi="Arial"/>
          <w:sz w:val="20"/>
          <w:szCs w:val="20"/>
          <w:color w:val="auto"/>
        </w:rPr>
        <w:t>Operating loss for the quarter was ($192.6) million, compared to operating income of $318.2 million in the first quarter of 2019. The decrease in operating income was primarily due to the estimated negative impact from COVID-19 (including the impairments to goodwill and other assets), higher personnel costs (primarily driven by merit increases and one additional payroll day), and PAMA, partially offset by other organic growth, acquisitions, and LaunchPad savings. The Company recorded restructuring charges, special items, impairments, and amortization, which together totaled $558.5 million in the quarter, compared to $93.2 million during the same period in 2019. This increase includes COVID-19 related impairments on goodwill and other assets of $437.4 million, or approximately 3.7% of the Company's total goodwill and intangible assets. In addition, the Company recorded $21.9 million of other COVID-19 related costs. Adjusted operating income (excluding amortization, restructuring charges, special items, and impairments) for the quarter was $365.9 million, resulting in a 12.9% operating margin, compared to $411.4 million, or 14.7%, in the first quarter of 2019. The $45.5 million decline in adjusted operating income and 190 basis point decline in adjusted operating margin were due to the estimated negative impact from COVID-19 of $72 million and PAMA of $19.8 million.</w:t>
      </w:r>
    </w:p>
    <w:p>
      <w:pPr>
        <w:spacing w:after="0" w:line="340" w:lineRule="exact"/>
        <w:rPr>
          <w:sz w:val="20"/>
          <w:szCs w:val="20"/>
          <w:color w:val="auto"/>
        </w:rPr>
      </w:pPr>
    </w:p>
    <w:p>
      <w:pPr>
        <w:jc w:val="both"/>
        <w:spacing w:after="0" w:line="354" w:lineRule="auto"/>
        <w:rPr>
          <w:sz w:val="20"/>
          <w:szCs w:val="20"/>
          <w:color w:val="auto"/>
        </w:rPr>
      </w:pPr>
      <w:r>
        <w:rPr>
          <w:rFonts w:ascii="Arial" w:cs="Arial" w:eastAsia="Arial" w:hAnsi="Arial"/>
          <w:sz w:val="20"/>
          <w:szCs w:val="20"/>
          <w:color w:val="auto"/>
        </w:rPr>
        <w:t>Net losses for the quarter were ($317.2) million, compared to net earnings of $185.6 million in the first quarter of 2019. Diluted EPS were ($3.27) in the quarter compared to $1.86 in the same period in 2019. Adjusted EPS (excluding amortization, restructuring charges, special items, and impairments) were $2.37 in the quarter, a decrease of 9.5% compared to $2.62 in the first quarter of 2019.</w:t>
      </w:r>
    </w:p>
    <w:p>
      <w:pPr>
        <w:spacing w:after="0" w:line="331" w:lineRule="exact"/>
        <w:rPr>
          <w:sz w:val="20"/>
          <w:szCs w:val="20"/>
          <w:color w:val="auto"/>
        </w:rPr>
      </w:pPr>
    </w:p>
    <w:p>
      <w:pPr>
        <w:jc w:val="both"/>
        <w:spacing w:after="0" w:line="354" w:lineRule="auto"/>
        <w:rPr>
          <w:sz w:val="20"/>
          <w:szCs w:val="20"/>
          <w:color w:val="auto"/>
        </w:rPr>
      </w:pPr>
      <w:r>
        <w:rPr>
          <w:rFonts w:ascii="Arial" w:cs="Arial" w:eastAsia="Arial" w:hAnsi="Arial"/>
          <w:sz w:val="20"/>
          <w:szCs w:val="20"/>
          <w:color w:val="auto"/>
        </w:rPr>
        <w:t>Operating cash flow for the quarter was $203.8 million, compared to $165.8 million in the first quarter of 2019. The increase in operating cash flow was due to favorable working capital, partially offset by lower cash earnings as the result of COVID-19. Capital expenditures totaled $106.6 million, compared to $94.2 million a year ago. As a result, free cash flow (operating cash flow less capital expenditures) was $97.2 million, up 35.8% compared to $71.6 million in the first quarter of 2019.</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544" w:right="339" w:bottom="1440" w:gutter="0" w:footer="0" w:header="0"/>
        </w:sectPr>
      </w:pPr>
    </w:p>
    <w:bookmarkStart w:id="4" w:name="page5"/>
    <w:bookmarkEnd w:id="4"/>
    <w:p>
      <w:pPr>
        <w:jc w:val="both"/>
        <w:spacing w:after="0" w:line="359" w:lineRule="auto"/>
        <w:rPr>
          <w:sz w:val="20"/>
          <w:szCs w:val="20"/>
          <w:color w:val="auto"/>
        </w:rPr>
      </w:pPr>
      <w:r>
        <w:rPr>
          <w:rFonts w:ascii="Arial" w:cs="Arial" w:eastAsia="Arial" w:hAnsi="Arial"/>
          <w:sz w:val="20"/>
          <w:szCs w:val="20"/>
          <w:color w:val="auto"/>
        </w:rPr>
        <w:t>At the end of the quarter, the Company’s cash balance and total debt were $323.6 million and $6.2 billion, respectively. During the quarter, the Company repurchased $100.0 million of stock, representing approximately 0.6 million shares.</w:t>
      </w:r>
    </w:p>
    <w:p>
      <w:pPr>
        <w:spacing w:after="0" w:line="200" w:lineRule="exact"/>
        <w:rPr>
          <w:sz w:val="20"/>
          <w:szCs w:val="20"/>
          <w:color w:val="auto"/>
        </w:rPr>
      </w:pPr>
    </w:p>
    <w:p>
      <w:pPr>
        <w:spacing w:after="0" w:line="384"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First Quarter Segment Results</w:t>
      </w:r>
    </w:p>
    <w:p>
      <w:pPr>
        <w:spacing w:after="0" w:line="307" w:lineRule="exact"/>
        <w:rPr>
          <w:sz w:val="20"/>
          <w:szCs w:val="20"/>
          <w:color w:val="auto"/>
        </w:rPr>
      </w:pPr>
    </w:p>
    <w:p>
      <w:pPr>
        <w:ind w:right="820"/>
        <w:spacing w:after="0" w:line="359" w:lineRule="auto"/>
        <w:rPr>
          <w:sz w:val="20"/>
          <w:szCs w:val="20"/>
          <w:color w:val="auto"/>
        </w:rPr>
      </w:pPr>
      <w:r>
        <w:rPr>
          <w:rFonts w:ascii="Arial" w:cs="Arial" w:eastAsia="Arial" w:hAnsi="Arial"/>
          <w:sz w:val="20"/>
          <w:szCs w:val="20"/>
          <w:color w:val="auto"/>
        </w:rPr>
        <w:t>The following segment results exclude amortization, restructuring charges, special items, impairments, and unallocated corporate expenses.</w:t>
      </w: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LabCorp Diagnostics</w:t>
      </w:r>
    </w:p>
    <w:p>
      <w:pPr>
        <w:spacing w:after="0" w:line="132" w:lineRule="exact"/>
        <w:rPr>
          <w:sz w:val="20"/>
          <w:szCs w:val="20"/>
          <w:color w:val="auto"/>
        </w:rPr>
      </w:pPr>
    </w:p>
    <w:p>
      <w:pPr>
        <w:jc w:val="both"/>
        <w:spacing w:after="0" w:line="354" w:lineRule="auto"/>
        <w:rPr>
          <w:sz w:val="20"/>
          <w:szCs w:val="20"/>
          <w:color w:val="auto"/>
        </w:rPr>
      </w:pPr>
      <w:r>
        <w:rPr>
          <w:rFonts w:ascii="Arial" w:cs="Arial" w:eastAsia="Arial" w:hAnsi="Arial"/>
          <w:sz w:val="20"/>
          <w:szCs w:val="20"/>
          <w:color w:val="auto"/>
        </w:rPr>
        <w:t>Revenue for the quarter, adjusting out the increase in accounts receivable reserves as a result of the COVID-19 pandemic, was $1.70 billion, a decrease of 1.2% from $1.72 billion in the first quarter of 2019. The decrease in revenue was due to a 2.9% decline in organic revenue, partially offset by acquisitions of 1.7%. The organic revenue decline includes the estimated negative impact from COVID-19 of 5.4% and PAMA of 1.1%.</w:t>
      </w:r>
    </w:p>
    <w:p>
      <w:pPr>
        <w:spacing w:after="0" w:line="331" w:lineRule="exact"/>
        <w:rPr>
          <w:sz w:val="20"/>
          <w:szCs w:val="20"/>
          <w:color w:val="auto"/>
        </w:rPr>
      </w:pPr>
    </w:p>
    <w:p>
      <w:pPr>
        <w:jc w:val="both"/>
        <w:spacing w:after="0" w:line="353" w:lineRule="auto"/>
        <w:rPr>
          <w:sz w:val="20"/>
          <w:szCs w:val="20"/>
          <w:color w:val="auto"/>
        </w:rPr>
      </w:pPr>
      <w:r>
        <w:rPr>
          <w:rFonts w:ascii="Arial" w:cs="Arial" w:eastAsia="Arial" w:hAnsi="Arial"/>
          <w:sz w:val="20"/>
          <w:szCs w:val="20"/>
          <w:color w:val="auto"/>
        </w:rPr>
        <w:t>Total volume (measured by requisitions) decreased by 4.4% as organic volume declined by 6.1%, partially offset by acquisition volume of 1.6%. The decline in organic volume includes the estimated negative impact from COVID-19 of 7.3% due to reduced demand for testing, which declined 50% to 55% versus the Company's normal daily levels at the end of the quarter. This reduction in demand impacted testing volumes broadly and was marginally offset by an increase in demand for COVID-19 tests. In addition, organic volume was negatively impacted by lower consumer genetics demand, mostly offset by an additional one-half revenue day and favorable weather. Revenue per requisition increased by 3.4% due to mix and acquisitions, partially offset by the negative impact from PAMA and the September 2019 nonrenewal of the BeaconLBS - UnitedHealthcare contract pertaining to the Florida market. The increase related to mix was primarily driven by the COVID-19 pandemic, which reduced the demand for routine testing at a rate greater than esoteric testing.</w:t>
      </w:r>
    </w:p>
    <w:p>
      <w:pPr>
        <w:spacing w:after="0" w:line="331" w:lineRule="exact"/>
        <w:rPr>
          <w:sz w:val="20"/>
          <w:szCs w:val="20"/>
          <w:color w:val="auto"/>
        </w:rPr>
      </w:pPr>
    </w:p>
    <w:p>
      <w:pPr>
        <w:jc w:val="both"/>
        <w:spacing w:after="0" w:line="353" w:lineRule="auto"/>
        <w:rPr>
          <w:sz w:val="20"/>
          <w:szCs w:val="20"/>
          <w:color w:val="auto"/>
        </w:rPr>
      </w:pPr>
      <w:r>
        <w:rPr>
          <w:rFonts w:ascii="Arial" w:cs="Arial" w:eastAsia="Arial" w:hAnsi="Arial"/>
          <w:sz w:val="20"/>
          <w:szCs w:val="20"/>
          <w:color w:val="auto"/>
        </w:rPr>
        <w:t>Adjusted operating income for the quarter was $254.2 million, or 14.9% of revenue, compared to $310.4 million, or 18.0%, in the first quarter of 2019. The $56.2 million decline in adjusted operating income and 310 basis point decline in adjusted operating margin were primarily due to the estimated negative impact from COVID-19 of $62 million and PAMA of $19.8 million, partially offset by price mix. In addition, the benefit of LaunchPad savings essentially offset the higher personnel costs (including one additional payroll day). The Company remains on track to deliver approximately $200 million of net savings from its three-year Diagnostics LaunchPad initiative by the end of 2021.</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622"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i w:val="1"/>
          <w:iCs w:val="1"/>
          <w:color w:val="auto"/>
        </w:rPr>
        <w:t>Covance Drug Development</w:t>
      </w:r>
    </w:p>
    <w:p>
      <w:pPr>
        <w:spacing w:after="0" w:line="132" w:lineRule="exact"/>
        <w:rPr>
          <w:sz w:val="20"/>
          <w:szCs w:val="20"/>
          <w:color w:val="auto"/>
        </w:rPr>
      </w:pPr>
    </w:p>
    <w:p>
      <w:pPr>
        <w:ind w:right="260"/>
        <w:spacing w:after="0" w:line="380" w:lineRule="auto"/>
        <w:rPr>
          <w:sz w:val="20"/>
          <w:szCs w:val="20"/>
          <w:color w:val="auto"/>
        </w:rPr>
      </w:pPr>
      <w:r>
        <w:rPr>
          <w:rFonts w:ascii="Arial" w:cs="Arial" w:eastAsia="Arial" w:hAnsi="Arial"/>
          <w:sz w:val="19"/>
          <w:szCs w:val="19"/>
          <w:color w:val="auto"/>
        </w:rPr>
        <w:t>Revenue for the quarter was $1.14 billion, an increase of 6.4% over $1.07 billion in the first quarter of 2019. The increase in revenue was due to acquisitions of 6.2% and organic growth of 1.6% (which includes the estimated negative impact from COVID-19 of 2.5%), partially offset by the disposition of a business of 1.2% and negative foreign currency translation of 0.1%.</w:t>
      </w:r>
    </w:p>
    <w:p>
      <w:pPr>
        <w:spacing w:after="0" w:line="312" w:lineRule="exact"/>
        <w:rPr>
          <w:sz w:val="20"/>
          <w:szCs w:val="20"/>
          <w:color w:val="auto"/>
        </w:rPr>
      </w:pPr>
    </w:p>
    <w:p>
      <w:pPr>
        <w:jc w:val="both"/>
        <w:spacing w:after="0" w:line="375" w:lineRule="auto"/>
        <w:rPr>
          <w:sz w:val="20"/>
          <w:szCs w:val="20"/>
          <w:color w:val="auto"/>
        </w:rPr>
      </w:pPr>
      <w:r>
        <w:rPr>
          <w:rFonts w:ascii="Arial" w:cs="Arial" w:eastAsia="Arial" w:hAnsi="Arial"/>
          <w:sz w:val="19"/>
          <w:szCs w:val="19"/>
          <w:color w:val="auto"/>
        </w:rPr>
        <w:t>Adjusted operating income for the quarter was $150.8 million, or 13.2% of revenue, compared to $138.0 million, or 12.8%, in the first quarter of 2019. The $12.8 million increase in adjusted operating income and 30 basis point increase in adjusted operating margin were primarily due to organic demand, acquisitions net of the disposition, and LaunchPad savings, partially offset by higher personnel costs and the estimated negative impact from COVID-19 of $12 million. The Company remains on track to deliver approximately $150 million of net savings from its three-year Drug Development LaunchPad initiative by the end of 2020.</w:t>
      </w:r>
    </w:p>
    <w:p>
      <w:pPr>
        <w:spacing w:after="0" w:line="318" w:lineRule="exact"/>
        <w:rPr>
          <w:sz w:val="20"/>
          <w:szCs w:val="20"/>
          <w:color w:val="auto"/>
        </w:rPr>
      </w:pPr>
    </w:p>
    <w:p>
      <w:pPr>
        <w:jc w:val="both"/>
        <w:spacing w:after="0" w:line="355" w:lineRule="auto"/>
        <w:rPr>
          <w:sz w:val="20"/>
          <w:szCs w:val="20"/>
          <w:color w:val="auto"/>
        </w:rPr>
      </w:pPr>
      <w:r>
        <w:rPr>
          <w:rFonts w:ascii="Arial" w:cs="Arial" w:eastAsia="Arial" w:hAnsi="Arial"/>
          <w:sz w:val="20"/>
          <w:szCs w:val="20"/>
          <w:color w:val="auto"/>
        </w:rPr>
        <w:t>Net orders and net book-to-bill during the trailing twelve months were $5.83 billion and 1.26, respectively. Backlog at the end of the quarter was $11.30 billion, unchanged from last quarter, and the Company expects approximately $3.9 billion of its backlog to convert into revenue in the next twelve months.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Outlook for 2020</w:t>
      </w:r>
    </w:p>
    <w:p>
      <w:pPr>
        <w:spacing w:after="0" w:line="200" w:lineRule="exact"/>
        <w:rPr>
          <w:sz w:val="20"/>
          <w:szCs w:val="20"/>
          <w:color w:val="auto"/>
        </w:rPr>
      </w:pPr>
    </w:p>
    <w:p>
      <w:pPr>
        <w:spacing w:after="0" w:line="215" w:lineRule="exact"/>
        <w:rPr>
          <w:sz w:val="20"/>
          <w:szCs w:val="20"/>
          <w:color w:val="auto"/>
        </w:rPr>
      </w:pPr>
    </w:p>
    <w:p>
      <w:pPr>
        <w:jc w:val="both"/>
        <w:spacing w:after="0" w:line="355" w:lineRule="auto"/>
        <w:rPr>
          <w:sz w:val="20"/>
          <w:szCs w:val="20"/>
          <w:color w:val="auto"/>
        </w:rPr>
      </w:pPr>
      <w:r>
        <w:rPr>
          <w:rFonts w:ascii="Arial" w:cs="Arial" w:eastAsia="Arial" w:hAnsi="Arial"/>
          <w:sz w:val="20"/>
          <w:szCs w:val="20"/>
          <w:color w:val="auto"/>
        </w:rPr>
        <w:t>Given the ongoing and rapidly changing nature of the COVID-19 pandemic, there is significant uncertainty regarding the duration and severity of the pandemic as well as any future government restrictions. As a result, the Company is withdrawing its 2020 financial guidance provided on February 13, 2020.</w:t>
      </w:r>
    </w:p>
    <w:p>
      <w:pPr>
        <w:spacing w:after="0" w:line="329" w:lineRule="exact"/>
        <w:rPr>
          <w:sz w:val="20"/>
          <w:szCs w:val="20"/>
          <w:color w:val="auto"/>
        </w:rPr>
      </w:pPr>
    </w:p>
    <w:p>
      <w:pPr>
        <w:jc w:val="both"/>
        <w:spacing w:after="0" w:line="359" w:lineRule="auto"/>
        <w:rPr>
          <w:sz w:val="20"/>
          <w:szCs w:val="20"/>
          <w:color w:val="auto"/>
        </w:rPr>
      </w:pPr>
      <w:r>
        <w:rPr>
          <w:rFonts w:ascii="Arial" w:cs="Arial" w:eastAsia="Arial" w:hAnsi="Arial"/>
          <w:sz w:val="20"/>
          <w:szCs w:val="20"/>
          <w:color w:val="auto"/>
        </w:rPr>
        <w:t>The Company has provided below some details on how COVID-19 is impacting LabCorp's performance and some of the actions LabCorp is taking to help mitigate this impact as well as details regarding LabCorp's liquidity.</w:t>
      </w: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COVID-19 Impact on Performance and Mitigating Actions LabCorp is Taking</w:t>
      </w:r>
    </w:p>
    <w:p>
      <w:pPr>
        <w:spacing w:after="0" w:line="132" w:lineRule="exact"/>
        <w:rPr>
          <w:sz w:val="20"/>
          <w:szCs w:val="20"/>
          <w:color w:val="auto"/>
        </w:rPr>
      </w:pPr>
    </w:p>
    <w:p>
      <w:pPr>
        <w:jc w:val="both"/>
        <w:ind w:right="20"/>
        <w:spacing w:after="0" w:line="359" w:lineRule="auto"/>
        <w:rPr>
          <w:sz w:val="20"/>
          <w:szCs w:val="20"/>
          <w:color w:val="auto"/>
        </w:rPr>
      </w:pPr>
      <w:r>
        <w:rPr>
          <w:rFonts w:ascii="Arial" w:cs="Arial" w:eastAsia="Arial" w:hAnsi="Arial"/>
          <w:sz w:val="20"/>
          <w:szCs w:val="20"/>
          <w:color w:val="auto"/>
        </w:rPr>
        <w:t>LabCorp began the year with strong performance, in line with expectations; however, the Company has since been impacted by COVID-19, including overall customer caution as well as government restrictions and social distancing guidelines.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598" w:right="339" w:bottom="1440" w:gutter="0" w:footer="0" w:header="0"/>
        </w:sectPr>
      </w:pPr>
    </w:p>
    <w:bookmarkStart w:id="6" w:name="page7"/>
    <w:bookmarkEnd w:id="6"/>
    <w:p>
      <w:pPr>
        <w:jc w:val="both"/>
        <w:spacing w:after="0" w:line="354" w:lineRule="auto"/>
        <w:rPr>
          <w:sz w:val="20"/>
          <w:szCs w:val="20"/>
          <w:color w:val="auto"/>
        </w:rPr>
      </w:pPr>
      <w:r>
        <w:rPr>
          <w:rFonts w:ascii="Arial" w:cs="Arial" w:eastAsia="Arial" w:hAnsi="Arial"/>
          <w:sz w:val="20"/>
          <w:szCs w:val="20"/>
          <w:color w:val="auto"/>
        </w:rPr>
        <w:t>In LabCorp Diagnostics, demand for testing declined 50% to 55% versus the Company's normal daily levels at the end of the first quarter. This reduction in demand impacted testing volumes broadly but was heavily weighted towards routine tests. This volume reduction in the base business appears to have stabilized. LabCorp expects to offset some of the volume shortfall by increasing capacity for its Serological Antibody tests to over 200 thousand tests per day by mid-May as well as increasing capacity for its Molecular COVID-19 tests (which include its at-home test kit offering).</w:t>
      </w:r>
    </w:p>
    <w:p>
      <w:pPr>
        <w:spacing w:after="0" w:line="329" w:lineRule="exact"/>
        <w:rPr>
          <w:sz w:val="20"/>
          <w:szCs w:val="20"/>
          <w:color w:val="auto"/>
        </w:rPr>
      </w:pPr>
    </w:p>
    <w:p>
      <w:pPr>
        <w:jc w:val="both"/>
        <w:spacing w:after="0" w:line="355" w:lineRule="auto"/>
        <w:rPr>
          <w:sz w:val="20"/>
          <w:szCs w:val="20"/>
          <w:color w:val="auto"/>
        </w:rPr>
      </w:pPr>
      <w:r>
        <w:rPr>
          <w:rFonts w:ascii="Arial" w:cs="Arial" w:eastAsia="Arial" w:hAnsi="Arial"/>
          <w:sz w:val="20"/>
          <w:szCs w:val="20"/>
          <w:color w:val="auto"/>
        </w:rPr>
        <w:t>In Covance Drug Development, performance has been challenged by COVID-19 due to actions clients are taking that are slowing clinical trial progress and the associated testing as well as reductions in trial site access in certain countries and interruptions in the supply chain that can temporarily delay study activity.</w:t>
      </w:r>
    </w:p>
    <w:p>
      <w:pPr>
        <w:spacing w:after="0" w:line="329" w:lineRule="exact"/>
        <w:rPr>
          <w:sz w:val="20"/>
          <w:szCs w:val="20"/>
          <w:color w:val="auto"/>
        </w:rPr>
      </w:pPr>
    </w:p>
    <w:p>
      <w:pPr>
        <w:jc w:val="both"/>
        <w:spacing w:after="0" w:line="353" w:lineRule="auto"/>
        <w:rPr>
          <w:sz w:val="20"/>
          <w:szCs w:val="20"/>
          <w:color w:val="auto"/>
        </w:rPr>
      </w:pPr>
      <w:r>
        <w:rPr>
          <w:rFonts w:ascii="Arial" w:cs="Arial" w:eastAsia="Arial" w:hAnsi="Arial"/>
          <w:sz w:val="20"/>
          <w:szCs w:val="20"/>
          <w:color w:val="auto"/>
        </w:rPr>
        <w:t>The Company is taking numerous actions to help mitigate the financial impact from the COVID-19 pandemic. Some of these actions include reducing our cash outflows through delaying certain capital expenditures, temporarily suspending its share repurchase program, and applying a heightened threshold to acquisition activity. The Company is also taking actions regarding its workforce including implementing furloughs; delaying hiring; reducing temporary and contract workers, intern positions, and overtime; suspending discretionary merit adjustment for all employees; and suspending 401(k) contributions for all U.S. employees. LabCorp is also taking actions to utilize available stimulus / CARES Act benefits including deferral of payroll taxes, CMS stimulus to providers, and suspension of Medicare sequestration.</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Liquidity</w:t>
      </w:r>
    </w:p>
    <w:p>
      <w:pPr>
        <w:spacing w:after="0" w:line="132" w:lineRule="exact"/>
        <w:rPr>
          <w:sz w:val="20"/>
          <w:szCs w:val="20"/>
          <w:color w:val="auto"/>
        </w:rPr>
      </w:pPr>
    </w:p>
    <w:p>
      <w:pPr>
        <w:ind w:right="160"/>
        <w:spacing w:after="0" w:line="370" w:lineRule="auto"/>
        <w:rPr>
          <w:sz w:val="20"/>
          <w:szCs w:val="20"/>
          <w:color w:val="auto"/>
        </w:rPr>
      </w:pPr>
      <w:r>
        <w:rPr>
          <w:rFonts w:ascii="Arial" w:cs="Arial" w:eastAsia="Arial" w:hAnsi="Arial"/>
          <w:sz w:val="19"/>
          <w:szCs w:val="19"/>
          <w:color w:val="auto"/>
        </w:rPr>
        <w:t>The Company expects to deliver solid adjusted EPS and free cash flow in 2020. As of March 31, 2020, the Company had $324 million of cash and $924 million available under its revolving credit facility, which matures in 2022. During the fourth quarter</w:t>
      </w:r>
    </w:p>
    <w:p>
      <w:pPr>
        <w:spacing w:after="0" w:line="1" w:lineRule="exact"/>
        <w:rPr>
          <w:sz w:val="20"/>
          <w:szCs w:val="20"/>
          <w:color w:val="auto"/>
        </w:rPr>
      </w:pPr>
    </w:p>
    <w:p>
      <w:pPr>
        <w:ind w:right="100"/>
        <w:spacing w:after="0" w:line="353" w:lineRule="auto"/>
        <w:rPr>
          <w:sz w:val="20"/>
          <w:szCs w:val="20"/>
          <w:color w:val="auto"/>
        </w:rPr>
      </w:pPr>
      <w:r>
        <w:rPr>
          <w:rFonts w:ascii="Arial" w:cs="Arial" w:eastAsia="Arial" w:hAnsi="Arial"/>
          <w:sz w:val="20"/>
          <w:szCs w:val="20"/>
          <w:color w:val="auto"/>
        </w:rPr>
        <w:t>of 2020, $412 million of the Company's senior notes become payable. The Company maintains investment grade debt ratings and believes that it will be able to repay these notes with available cash on hand, cash generated from operations, borrowings under its revolving credit facility, or through refinancing in the public debt market. LabCorp's term loan and revolving credit facility require LabCorp to maintain a leverage ratio of 4.0x debt to last twelve months EBITDA. Violation of that covenant could preclude LabCorp from borrowing on the revolving credit facility and trigger required repayment of the Company's $375 million term loan. While LabCorp expects to maintain compliance with this covenant, the Company is having discussions with its banks to add future flexibility to this covenant, given the uncertainty related to the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622"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Use of Estimated COVID-19 Impact</w:t>
      </w:r>
    </w:p>
    <w:p>
      <w:pPr>
        <w:spacing w:after="0" w:line="132" w:lineRule="exact"/>
        <w:rPr>
          <w:sz w:val="20"/>
          <w:szCs w:val="20"/>
          <w:color w:val="auto"/>
        </w:rPr>
      </w:pPr>
    </w:p>
    <w:p>
      <w:pPr>
        <w:jc w:val="both"/>
        <w:spacing w:after="0" w:line="373" w:lineRule="auto"/>
        <w:rPr>
          <w:sz w:val="20"/>
          <w:szCs w:val="20"/>
          <w:color w:val="auto"/>
        </w:rPr>
      </w:pPr>
      <w:r>
        <w:rPr>
          <w:rFonts w:ascii="Arial" w:cs="Arial" w:eastAsia="Arial" w:hAnsi="Arial"/>
          <w:sz w:val="19"/>
          <w:szCs w:val="19"/>
          <w:color w:val="auto"/>
        </w:rPr>
        <w:t>The Company has provided in this press release the Company's estimates for the net impact from COVID-19 on the Company's revenue, operating income, operating margin, and Diagnostics' volume. These estimates were determined using methodologies and assumptions that vary depending on the specific segment and situation. For LabCorp Diagnostics, estimates are based on comparisons to daily historical volume run rates prior to COVID-19. For Covance Drug Development, estimates are based on multiple factors including, but not limited to, discussions with clients/partners of measures that may delay clinical trial progress and the associated testing, volume reductions and location-specific actions to ensure worker safety in our facilities, the impact of remote versus in-person activities and services, and supply chain delays. The Company believes these estimates are useful to investors as an additional data point to consider in evaluating the Company’s operational performance in the quarter. It is the Company's expectation that it will not be able to break-out the impact from COVID-19 in future quarters.</w:t>
      </w: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Adjusted Measures</w:t>
      </w:r>
    </w:p>
    <w:p>
      <w:pPr>
        <w:spacing w:after="0" w:line="132" w:lineRule="exact"/>
        <w:rPr>
          <w:sz w:val="20"/>
          <w:szCs w:val="20"/>
          <w:color w:val="auto"/>
        </w:rPr>
      </w:pPr>
    </w:p>
    <w:p>
      <w:pPr>
        <w:jc w:val="both"/>
        <w:spacing w:after="0" w:line="353" w:lineRule="auto"/>
        <w:rPr>
          <w:sz w:val="20"/>
          <w:szCs w:val="20"/>
          <w:color w:val="auto"/>
        </w:rPr>
      </w:pPr>
      <w:r>
        <w:rPr>
          <w:rFonts w:ascii="Arial" w:cs="Arial" w:eastAsia="Arial" w:hAnsi="Arial"/>
          <w:sz w:val="20"/>
          <w:szCs w:val="20"/>
          <w:color w:val="auto"/>
        </w:rPr>
        <w:t>The Company has provided in this press release and accompanying tables “adjusted” financial information that has not been prepared in accordance with GAAP, including adjusted net income, adjusted EPS (or adjusted net income per share), adjusted operating income, adjusted operating margin, free cash flow, and certain segment information. The Company believes these adjusted measures are useful to investors as a supplement to, but not as a substitute for, GAAP measures, in evaluating the Company’s operational performance. The Company further believes that the use of these non-GAAP financial measures provides an additional tool for investors in evaluating operating results and trends, and growth and shareholder returns, as well as in comparing the Company’s financial results with the financial results of other companies. However, the Company notes that these adjusted measures may be different from and not directly comparable to the measures presented by other companies. Reconciliations of these non-GAAP measures to the most comparable GAAP measures are included in the tables accompanying this press release.</w:t>
      </w:r>
    </w:p>
    <w:p>
      <w:pPr>
        <w:spacing w:after="0" w:line="330" w:lineRule="exact"/>
        <w:rPr>
          <w:sz w:val="20"/>
          <w:szCs w:val="20"/>
          <w:color w:val="auto"/>
        </w:rPr>
      </w:pPr>
    </w:p>
    <w:p>
      <w:pPr>
        <w:jc w:val="both"/>
        <w:spacing w:after="0" w:line="355" w:lineRule="auto"/>
        <w:rPr>
          <w:sz w:val="20"/>
          <w:szCs w:val="20"/>
          <w:color w:val="auto"/>
        </w:rPr>
      </w:pPr>
      <w:r>
        <w:rPr>
          <w:rFonts w:ascii="Arial" w:cs="Arial" w:eastAsia="Arial" w:hAnsi="Arial"/>
          <w:sz w:val="20"/>
          <w:szCs w:val="20"/>
          <w:color w:val="auto"/>
        </w:rPr>
        <w:t xml:space="preserve">The Company today is providing an investor relations presentation with additional information on its business and operations, which is available in the investor relations section of the Company's website at </w:t>
      </w:r>
      <w:r>
        <w:rPr>
          <w:rFonts w:ascii="Arial" w:cs="Arial" w:eastAsia="Arial" w:hAnsi="Arial"/>
          <w:sz w:val="20"/>
          <w:szCs w:val="20"/>
          <w:u w:val="single" w:color="auto"/>
          <w:color w:val="0000FF"/>
        </w:rPr>
        <w:t>http://www.LabCorp.com</w:t>
      </w:r>
      <w:r>
        <w:rPr>
          <w:rFonts w:ascii="Arial" w:cs="Arial" w:eastAsia="Arial" w:hAnsi="Arial"/>
          <w:sz w:val="20"/>
          <w:szCs w:val="20"/>
          <w:color w:val="auto"/>
        </w:rPr>
        <w:t>. Analysts and investors are directed to the website to review this supplemental information.</w:t>
      </w:r>
    </w:p>
    <w:p>
      <w:pPr>
        <w:spacing w:after="0" w:line="329" w:lineRule="exact"/>
        <w:rPr>
          <w:sz w:val="20"/>
          <w:szCs w:val="20"/>
          <w:color w:val="auto"/>
        </w:rPr>
      </w:pPr>
    </w:p>
    <w:p>
      <w:pPr>
        <w:jc w:val="both"/>
        <w:spacing w:after="0" w:line="355" w:lineRule="auto"/>
        <w:rPr>
          <w:sz w:val="20"/>
          <w:szCs w:val="20"/>
          <w:color w:val="auto"/>
        </w:rPr>
      </w:pPr>
      <w:r>
        <w:rPr>
          <w:rFonts w:ascii="Arial" w:cs="Arial" w:eastAsia="Arial" w:hAnsi="Arial"/>
          <w:sz w:val="20"/>
          <w:szCs w:val="20"/>
          <w:color w:val="auto"/>
        </w:rPr>
        <w:t>A conference call discussing LabCorp's quarterly results will be held today at 9:00 a.m. EDT and is available by dialing 844-634-1444 (615-247-0253 for international callers). The access code is 3137489. A telephone replay of the call will be available through May 13, 2020, and can be heard by dialing 855-859-2056</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598" w:right="339" w:bottom="1440" w:gutter="0" w:footer="0" w:header="0"/>
        </w:sectPr>
      </w:pPr>
    </w:p>
    <w:bookmarkStart w:id="8" w:name="page9"/>
    <w:bookmarkEnd w:id="8"/>
    <w:p>
      <w:pPr>
        <w:spacing w:after="0" w:line="355" w:lineRule="auto"/>
        <w:rPr>
          <w:sz w:val="20"/>
          <w:szCs w:val="20"/>
          <w:color w:val="auto"/>
        </w:rPr>
      </w:pPr>
      <w:r>
        <w:rPr>
          <w:rFonts w:ascii="Arial" w:cs="Arial" w:eastAsia="Arial" w:hAnsi="Arial"/>
          <w:sz w:val="20"/>
          <w:szCs w:val="20"/>
          <w:color w:val="auto"/>
        </w:rPr>
        <w:t xml:space="preserve">(404-537-3406 for international callers). The access code for the replay is 3137489. A real-time webcast of LabCorp’s quarterly conference call on April 29, 2020, will be available at </w:t>
      </w:r>
      <w:r>
        <w:rPr>
          <w:rFonts w:ascii="Arial" w:cs="Arial" w:eastAsia="Arial" w:hAnsi="Arial"/>
          <w:sz w:val="20"/>
          <w:szCs w:val="20"/>
          <w:u w:val="single" w:color="auto"/>
          <w:color w:val="0000FF"/>
        </w:rPr>
        <w:t>LabCorp Investor Relations website</w:t>
      </w:r>
      <w:r>
        <w:rPr>
          <w:rFonts w:ascii="Arial" w:cs="Arial" w:eastAsia="Arial" w:hAnsi="Arial"/>
          <w:sz w:val="20"/>
          <w:szCs w:val="20"/>
          <w:color w:val="auto"/>
        </w:rPr>
        <w:t xml:space="preserve"> beginning at 9:00 a.m. EDT. This webcast will be archived and accessible through April 16,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622" w:right="33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About LabCorp</w:t>
      </w:r>
    </w:p>
    <w:p>
      <w:pPr>
        <w:spacing w:after="0" w:line="132" w:lineRule="exact"/>
        <w:rPr>
          <w:sz w:val="20"/>
          <w:szCs w:val="20"/>
          <w:color w:val="auto"/>
        </w:rPr>
      </w:pPr>
    </w:p>
    <w:p>
      <w:pPr>
        <w:jc w:val="both"/>
        <w:spacing w:after="0" w:line="352" w:lineRule="auto"/>
        <w:rPr>
          <w:sz w:val="20"/>
          <w:szCs w:val="20"/>
          <w:color w:val="auto"/>
        </w:rPr>
      </w:pPr>
      <w:r>
        <w:rPr>
          <w:rFonts w:ascii="Arial" w:cs="Arial" w:eastAsia="Arial" w:hAnsi="Arial"/>
          <w:sz w:val="20"/>
          <w:szCs w:val="20"/>
          <w:color w:val="auto"/>
        </w:rPr>
        <w:t xml:space="preserve">LabCorp (NYSE: LH), an S&amp;P 500 company, is a leading global life sciences company that is deeply integrated in guiding patient care, providing comprehensive clinical laboratory and end-to-end drug development services. With a mission to improve health and improve lives, LabCorp delivers world-class diagnostics solutions, brings innovative medicines to patients faster, and uses technology to improve the delivery of care. LabCorp reported revenue of more than $11.5 billion in 2019. To learn more about LabCorp, visit </w:t>
      </w:r>
      <w:r>
        <w:rPr>
          <w:rFonts w:ascii="Arial" w:cs="Arial" w:eastAsia="Arial" w:hAnsi="Arial"/>
          <w:sz w:val="20"/>
          <w:szCs w:val="20"/>
          <w:u w:val="single" w:color="auto"/>
          <w:color w:val="0000FF"/>
        </w:rPr>
        <w:t>www.LabCorp.com</w:t>
      </w:r>
      <w:r>
        <w:rPr>
          <w:rFonts w:ascii="Arial" w:cs="Arial" w:eastAsia="Arial" w:hAnsi="Arial"/>
          <w:sz w:val="20"/>
          <w:szCs w:val="20"/>
          <w:color w:val="auto"/>
        </w:rPr>
        <w:t>, and to learn more about LabCorp’s drug development business, Covance, visit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www.Covance.com</w:t>
      </w:r>
      <w:r>
        <w:rPr>
          <w:rFonts w:ascii="Arial" w:cs="Arial" w:eastAsia="Arial" w:hAnsi="Arial"/>
          <w:sz w:val="20"/>
          <w:szCs w:val="20"/>
          <w:color w:val="000000"/>
        </w:rPr>
        <w:t>.</w:t>
      </w: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Statement Regarding Forward-Looking Statements</w:t>
      </w:r>
    </w:p>
    <w:p>
      <w:pPr>
        <w:spacing w:after="0" w:line="24" w:lineRule="exact"/>
        <w:rPr>
          <w:sz w:val="20"/>
          <w:szCs w:val="20"/>
          <w:color w:val="auto"/>
        </w:rPr>
      </w:pPr>
    </w:p>
    <w:p>
      <w:pPr>
        <w:jc w:val="both"/>
        <w:spacing w:after="0"/>
        <w:rPr>
          <w:sz w:val="20"/>
          <w:szCs w:val="20"/>
          <w:color w:val="auto"/>
        </w:rPr>
      </w:pPr>
      <w:r>
        <w:rPr>
          <w:rFonts w:ascii="Arial" w:cs="Arial" w:eastAsia="Arial" w:hAnsi="Arial"/>
          <w:sz w:val="20"/>
          <w:szCs w:val="20"/>
          <w:i w:val="1"/>
          <w:iCs w:val="1"/>
          <w:color w:val="auto"/>
        </w:rPr>
        <w:t>This press release contains forward-looking statements, including, but not limited to, statements with respect to expectations for 2020 and the related assumptions, the impact of various factors on operating and financial results, including the projected impact of the COVID-19 pandemic on the Company’s businesses, operating results, cash flows and/or financial condition, statements relating to our responses to and the expected future impacts of the COVID-19 pandemic, on our business more generally as well as on general economic, business, and market conditions, future business strategies, expected savings and synergies (including from the LaunchPad initiative and from acquisitions), and the opportunities for future growth.</w:t>
      </w:r>
    </w:p>
    <w:p>
      <w:pPr>
        <w:spacing w:after="0" w:line="139" w:lineRule="exact"/>
        <w:rPr>
          <w:sz w:val="20"/>
          <w:szCs w:val="20"/>
          <w:color w:val="auto"/>
        </w:rPr>
      </w:pPr>
    </w:p>
    <w:p>
      <w:pPr>
        <w:jc w:val="both"/>
        <w:spacing w:after="0" w:line="241" w:lineRule="auto"/>
        <w:rPr>
          <w:sz w:val="20"/>
          <w:szCs w:val="20"/>
          <w:color w:val="auto"/>
        </w:rPr>
      </w:pPr>
      <w:r>
        <w:rPr>
          <w:rFonts w:ascii="Arial" w:cs="Arial" w:eastAsia="Arial" w:hAnsi="Arial"/>
          <w:sz w:val="20"/>
          <w:szCs w:val="20"/>
          <w:i w:val="1"/>
          <w:iCs w:val="1"/>
          <w:color w:val="auto"/>
        </w:rPr>
        <w:t>Each of the forward-looking statements is subject to change based on various important factors, many of which are beyond the Company’s control, including without limitation, the impact of the COVID-19 pandemic and its impact on our business and financial condition and on general economic, business, and market conditions, our ability (or inability) to execute on our plans to respond to the COVID-19 pandemic, competitive actions and other unforeseen changes and general uncertainties in the marketplace, changes in government regulations, including healthcare reform, customer purchasing decisions, including changes in payer regulations or policies, other adverse actions of governmental and third-party payers, changes in testing guidelines or recommendations, federal, state, and local government responses to the COVID-19 pandemic, the effect of public opinion on the Company’s reputation, adverse results in material litigation matters, the impact of changes in tax laws and regulations, failure to maintain or develop customer relationships, our ability to develop or acquire new products and adapt to technological changes, failure in information technology, systems or data security, adverse weather conditions, the number of revenue days in a financial period, employee relations, personnel costs, and the effect of exchange rate fluctuations. These factors, in some cases, have affected and in the future (together with other factors) could affect the Company’s ability to implement the Company’s business strategy and actual results could differ materially from those suggested by these forward-looking statements. As a result, readers are cautioned not to place undue reliance on any of our forward-looking statements.</w:t>
      </w:r>
    </w:p>
    <w:p>
      <w:pPr>
        <w:spacing w:after="0" w:line="142" w:lineRule="exact"/>
        <w:rPr>
          <w:sz w:val="20"/>
          <w:szCs w:val="20"/>
          <w:color w:val="auto"/>
        </w:rPr>
      </w:pPr>
    </w:p>
    <w:p>
      <w:pPr>
        <w:jc w:val="both"/>
        <w:spacing w:after="0" w:line="242" w:lineRule="auto"/>
        <w:rPr>
          <w:sz w:val="20"/>
          <w:szCs w:val="20"/>
          <w:color w:val="auto"/>
        </w:rPr>
      </w:pPr>
      <w:r>
        <w:rPr>
          <w:rFonts w:ascii="Arial" w:cs="Arial" w:eastAsia="Arial" w:hAnsi="Arial"/>
          <w:sz w:val="20"/>
          <w:szCs w:val="20"/>
          <w:i w:val="1"/>
          <w:iCs w:val="1"/>
          <w:color w:val="auto"/>
        </w:rPr>
        <w:t>The Company has no obligation to provide any updates to these forward-looking statements even if its expectations change. All forward-looking statements are expressly qualified in their entirety by this cautionary statement. Further information on potential factors, risks and uncertainties that could affect operating and financial results is included in the Company’s most recent Annual Report on Form 10-K and subsequent Forms 10-Q, including in each case under the heading RISK FACTORS, and in the Company’s other filings with the SEC. The information in this press release should be read in conjunction with a review of the Company’s filings with the SEC including the information in the Company’s most recent Annual Report on Form 10-K, and subsequent Forms 10-Q, under the heading MANAGEMENT’S DISCUSSION AND ANALYSIS OF FINANCIAL CONDITION AND RESULTS OF OPERATIONS.</w:t>
      </w:r>
    </w:p>
    <w:p>
      <w:pPr>
        <w:jc w:val="center"/>
        <w:spacing w:after="0"/>
        <w:rPr>
          <w:sz w:val="20"/>
          <w:szCs w:val="20"/>
          <w:color w:val="auto"/>
        </w:rPr>
      </w:pPr>
      <w:r>
        <w:rPr>
          <w:rFonts w:ascii="Arial" w:cs="Arial" w:eastAsia="Arial" w:hAnsi="Arial"/>
          <w:sz w:val="20"/>
          <w:szCs w:val="20"/>
          <w:color w:val="auto"/>
        </w:rPr>
        <w:t>- End of Text -</w:t>
      </w:r>
    </w:p>
    <w:p>
      <w:pPr>
        <w:jc w:val="center"/>
        <w:spacing w:after="0"/>
        <w:rPr>
          <w:sz w:val="20"/>
          <w:szCs w:val="20"/>
          <w:color w:val="auto"/>
        </w:rPr>
      </w:pPr>
      <w:r>
        <w:rPr>
          <w:rFonts w:ascii="Arial" w:cs="Arial" w:eastAsia="Arial" w:hAnsi="Arial"/>
          <w:sz w:val="20"/>
          <w:szCs w:val="20"/>
          <w:color w:val="auto"/>
        </w:rPr>
        <w:t>- Tables to Follow -</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598" w:right="339" w:bottom="1440" w:gutter="0" w:footer="0" w:header="0"/>
        </w:sectPr>
      </w:pPr>
    </w:p>
    <w:bookmarkStart w:id="10" w:name="page11"/>
    <w:bookmarkEnd w:id="10"/>
    <w:p>
      <w:pPr>
        <w:jc w:val="center"/>
        <w:ind w:right="40"/>
        <w:spacing w:after="0" w:line="268" w:lineRule="auto"/>
        <w:rPr>
          <w:sz w:val="20"/>
          <w:szCs w:val="20"/>
          <w:color w:val="auto"/>
        </w:rPr>
      </w:pPr>
      <w:r>
        <w:rPr>
          <w:rFonts w:ascii="Arial" w:cs="Arial" w:eastAsia="Arial" w:hAnsi="Arial"/>
          <w:sz w:val="18"/>
          <w:szCs w:val="18"/>
          <w:b w:val="1"/>
          <w:bCs w:val="1"/>
          <w:color w:val="auto"/>
        </w:rPr>
        <w:t xml:space="preserve">LABORATORY CORPORATION OF AMERICA HOLDINGS AND SUBSIDIARIES CONSOLIDATED STATEMENTS OF OPERATIONS </w:t>
      </w:r>
      <w:r>
        <w:rPr>
          <w:rFonts w:ascii="Arial" w:cs="Arial" w:eastAsia="Arial" w:hAnsi="Arial"/>
          <w:sz w:val="18"/>
          <w:szCs w:val="18"/>
          <w:color w:val="auto"/>
        </w:rPr>
        <w:t>(Dollars in Millions, except per share data)</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9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9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rPr>
              <w:t>Three Months Ended March 31,</w:t>
            </w:r>
          </w:p>
        </w:tc>
      </w:tr>
      <w:tr>
        <w:trPr>
          <w:trHeight w:val="263"/>
        </w:trPr>
        <w:tc>
          <w:tcPr>
            <w:tcW w:w="79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43"/>
        </w:trPr>
        <w:tc>
          <w:tcPr>
            <w:tcW w:w="7980" w:type="dxa"/>
            <w:vAlign w:val="bottom"/>
          </w:tcPr>
          <w:p>
            <w:pPr>
              <w:spacing w:after="0"/>
              <w:rPr>
                <w:sz w:val="20"/>
                <w:szCs w:val="20"/>
                <w:color w:val="auto"/>
              </w:rPr>
            </w:pPr>
            <w:r>
              <w:rPr>
                <w:rFonts w:ascii="Arial" w:cs="Arial" w:eastAsia="Arial" w:hAnsi="Arial"/>
                <w:sz w:val="18"/>
                <w:szCs w:val="18"/>
                <w:color w:val="auto"/>
              </w:rPr>
              <w:t>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2,823.8</w:t>
            </w:r>
          </w:p>
        </w:tc>
        <w:tc>
          <w:tcPr>
            <w:tcW w:w="2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2,791.2</w:t>
            </w:r>
          </w:p>
        </w:tc>
      </w:tr>
      <w:tr>
        <w:trPr>
          <w:trHeight w:val="547"/>
        </w:trPr>
        <w:tc>
          <w:tcPr>
            <w:tcW w:w="7980" w:type="dxa"/>
            <w:vAlign w:val="bottom"/>
          </w:tcPr>
          <w:p>
            <w:pPr>
              <w:spacing w:after="0"/>
              <w:rPr>
                <w:sz w:val="20"/>
                <w:szCs w:val="20"/>
                <w:color w:val="auto"/>
              </w:rPr>
            </w:pPr>
            <w:r>
              <w:rPr>
                <w:rFonts w:ascii="Arial" w:cs="Arial" w:eastAsia="Arial" w:hAnsi="Arial"/>
                <w:sz w:val="18"/>
                <w:szCs w:val="18"/>
                <w:color w:val="auto"/>
              </w:rPr>
              <w:t>Cost of revenues</w:t>
            </w: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2,095.8</w:t>
            </w: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2,001.5</w:t>
            </w:r>
          </w:p>
        </w:tc>
      </w:tr>
      <w:tr>
        <w:trPr>
          <w:trHeight w:val="527"/>
        </w:trPr>
        <w:tc>
          <w:tcPr>
            <w:tcW w:w="7980" w:type="dxa"/>
            <w:vAlign w:val="bottom"/>
          </w:tcPr>
          <w:p>
            <w:pPr>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24"/>
                <w:szCs w:val="24"/>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728.0</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789.7</w:t>
            </w:r>
          </w:p>
        </w:tc>
      </w:tr>
      <w:tr>
        <w:trPr>
          <w:trHeight w:val="540"/>
        </w:trPr>
        <w:tc>
          <w:tcPr>
            <w:tcW w:w="79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24"/>
                <w:szCs w:val="24"/>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395.5</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393.8</w:t>
            </w:r>
          </w:p>
        </w:tc>
      </w:tr>
      <w:tr>
        <w:trPr>
          <w:trHeight w:val="270"/>
        </w:trPr>
        <w:tc>
          <w:tcPr>
            <w:tcW w:w="7980" w:type="dxa"/>
            <w:vAlign w:val="bottom"/>
          </w:tcPr>
          <w:p>
            <w:pPr>
              <w:spacing w:after="0"/>
              <w:rPr>
                <w:sz w:val="20"/>
                <w:szCs w:val="20"/>
                <w:color w:val="auto"/>
              </w:rPr>
            </w:pPr>
            <w:r>
              <w:rPr>
                <w:rFonts w:ascii="Arial" w:cs="Arial" w:eastAsia="Arial" w:hAnsi="Arial"/>
                <w:sz w:val="18"/>
                <w:szCs w:val="18"/>
                <w:color w:val="auto"/>
              </w:rPr>
              <w:t>Amortization of intangibles and other assets</w:t>
            </w:r>
          </w:p>
        </w:tc>
        <w:tc>
          <w:tcPr>
            <w:tcW w:w="1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62.3</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57.1</w:t>
            </w:r>
          </w:p>
        </w:tc>
      </w:tr>
      <w:tr>
        <w:trPr>
          <w:trHeight w:val="270"/>
        </w:trPr>
        <w:tc>
          <w:tcPr>
            <w:tcW w:w="7980" w:type="dxa"/>
            <w:vAlign w:val="bottom"/>
          </w:tcPr>
          <w:p>
            <w:pPr>
              <w:spacing w:after="0"/>
              <w:rPr>
                <w:sz w:val="20"/>
                <w:szCs w:val="20"/>
                <w:color w:val="auto"/>
              </w:rPr>
            </w:pPr>
            <w:r>
              <w:rPr>
                <w:rFonts w:ascii="Arial" w:cs="Arial" w:eastAsia="Arial" w:hAnsi="Arial"/>
                <w:sz w:val="18"/>
                <w:szCs w:val="18"/>
                <w:color w:val="auto"/>
              </w:rPr>
              <w:t>Goodwill and other asset impairments</w:t>
            </w:r>
          </w:p>
        </w:tc>
        <w:tc>
          <w:tcPr>
            <w:tcW w:w="1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437.4</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7"/>
        </w:trPr>
        <w:tc>
          <w:tcPr>
            <w:tcW w:w="7980" w:type="dxa"/>
            <w:vAlign w:val="bottom"/>
          </w:tcPr>
          <w:p>
            <w:pPr>
              <w:spacing w:after="0"/>
              <w:rPr>
                <w:sz w:val="20"/>
                <w:szCs w:val="20"/>
                <w:color w:val="auto"/>
              </w:rPr>
            </w:pPr>
            <w:r>
              <w:rPr>
                <w:rFonts w:ascii="Arial" w:cs="Arial" w:eastAsia="Arial" w:hAnsi="Arial"/>
                <w:sz w:val="18"/>
                <w:szCs w:val="18"/>
                <w:color w:val="auto"/>
              </w:rPr>
              <w:t>Restructuring and other charges</w:t>
            </w: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25.4</w:t>
            </w: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20.6</w:t>
            </w:r>
          </w:p>
        </w:tc>
      </w:tr>
      <w:tr>
        <w:trPr>
          <w:trHeight w:val="527"/>
        </w:trPr>
        <w:tc>
          <w:tcPr>
            <w:tcW w:w="7980" w:type="dxa"/>
            <w:vAlign w:val="bottom"/>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(192.6)</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318.2</w:t>
            </w:r>
          </w:p>
        </w:tc>
      </w:tr>
      <w:tr>
        <w:trPr>
          <w:trHeight w:val="594"/>
        </w:trPr>
        <w:tc>
          <w:tcPr>
            <w:tcW w:w="7980" w:type="dxa"/>
            <w:vAlign w:val="bottom"/>
          </w:tcPr>
          <w:p>
            <w:pPr>
              <w:spacing w:after="0"/>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798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(55.0)</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(56.7)</w:t>
            </w:r>
          </w:p>
        </w:tc>
      </w:tr>
      <w:tr>
        <w:trPr>
          <w:trHeight w:val="270"/>
        </w:trPr>
        <w:tc>
          <w:tcPr>
            <w:tcW w:w="7980" w:type="dxa"/>
            <w:vAlign w:val="bottom"/>
          </w:tcPr>
          <w:p>
            <w:pPr>
              <w:ind w:left="240"/>
              <w:spacing w:after="0"/>
              <w:rPr>
                <w:sz w:val="20"/>
                <w:szCs w:val="20"/>
                <w:color w:val="auto"/>
              </w:rPr>
            </w:pPr>
            <w:r>
              <w:rPr>
                <w:rFonts w:ascii="Arial" w:cs="Arial" w:eastAsia="Arial" w:hAnsi="Arial"/>
                <w:sz w:val="18"/>
                <w:szCs w:val="18"/>
                <w:color w:val="auto"/>
              </w:rPr>
              <w:t>Equity method income (loss), net</w:t>
            </w: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3.0</w:t>
            </w:r>
          </w:p>
        </w:tc>
      </w:tr>
      <w:tr>
        <w:trPr>
          <w:trHeight w:val="270"/>
        </w:trPr>
        <w:tc>
          <w:tcPr>
            <w:tcW w:w="7980" w:type="dxa"/>
            <w:vAlign w:val="bottom"/>
          </w:tcPr>
          <w:p>
            <w:pPr>
              <w:ind w:left="240"/>
              <w:spacing w:after="0"/>
              <w:rPr>
                <w:sz w:val="20"/>
                <w:szCs w:val="20"/>
                <w:color w:val="auto"/>
              </w:rPr>
            </w:pPr>
            <w:r>
              <w:rPr>
                <w:rFonts w:ascii="Arial" w:cs="Arial" w:eastAsia="Arial" w:hAnsi="Arial"/>
                <w:sz w:val="18"/>
                <w:szCs w:val="18"/>
                <w:color w:val="auto"/>
              </w:rPr>
              <w:t>Investment income</w:t>
            </w:r>
          </w:p>
        </w:tc>
        <w:tc>
          <w:tcPr>
            <w:tcW w:w="1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0.6</w:t>
            </w:r>
          </w:p>
        </w:tc>
      </w:tr>
      <w:tr>
        <w:trPr>
          <w:trHeight w:val="277"/>
        </w:trPr>
        <w:tc>
          <w:tcPr>
            <w:tcW w:w="7980" w:type="dxa"/>
            <w:vAlign w:val="bottom"/>
          </w:tcPr>
          <w:p>
            <w:pPr>
              <w:ind w:left="240"/>
              <w:spacing w:after="0"/>
              <w:rPr>
                <w:sz w:val="20"/>
                <w:szCs w:val="20"/>
                <w:color w:val="auto"/>
              </w:rPr>
            </w:pPr>
            <w:r>
              <w:rPr>
                <w:rFonts w:ascii="Arial" w:cs="Arial" w:eastAsia="Arial" w:hAnsi="Arial"/>
                <w:sz w:val="18"/>
                <w:szCs w:val="18"/>
                <w:color w:val="auto"/>
              </w:rPr>
              <w:t>Other, net</w:t>
            </w: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r>
      <w:tr>
        <w:trPr>
          <w:trHeight w:val="581"/>
        </w:trPr>
        <w:tc>
          <w:tcPr>
            <w:tcW w:w="7980" w:type="dxa"/>
            <w:vAlign w:val="bottom"/>
          </w:tcPr>
          <w:p>
            <w:pPr>
              <w:spacing w:after="0"/>
              <w:rPr>
                <w:sz w:val="20"/>
                <w:szCs w:val="20"/>
                <w:color w:val="auto"/>
              </w:rPr>
            </w:pPr>
            <w:r>
              <w:rPr>
                <w:rFonts w:ascii="Arial" w:cs="Arial" w:eastAsia="Arial" w:hAnsi="Arial"/>
                <w:sz w:val="18"/>
                <w:szCs w:val="18"/>
                <w:color w:val="auto"/>
              </w:rPr>
              <w:t>Earnings (loss) before income taxes</w:t>
            </w: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(267.7)</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254.7</w:t>
            </w:r>
          </w:p>
        </w:tc>
      </w:tr>
      <w:tr>
        <w:trPr>
          <w:trHeight w:val="601"/>
        </w:trPr>
        <w:tc>
          <w:tcPr>
            <w:tcW w:w="79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49.2</w:t>
            </w: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68.8</w:t>
            </w:r>
          </w:p>
        </w:tc>
      </w:tr>
      <w:tr>
        <w:trPr>
          <w:trHeight w:val="581"/>
        </w:trPr>
        <w:tc>
          <w:tcPr>
            <w:tcW w:w="7980" w:type="dxa"/>
            <w:vAlign w:val="bottom"/>
          </w:tcPr>
          <w:p>
            <w:pPr>
              <w:spacing w:after="0"/>
              <w:rPr>
                <w:sz w:val="20"/>
                <w:szCs w:val="20"/>
                <w:color w:val="auto"/>
              </w:rPr>
            </w:pPr>
            <w:r>
              <w:rPr>
                <w:rFonts w:ascii="Arial" w:cs="Arial" w:eastAsia="Arial" w:hAnsi="Arial"/>
                <w:sz w:val="18"/>
                <w:szCs w:val="18"/>
                <w:color w:val="auto"/>
              </w:rPr>
              <w:t>Net earnings (loss)</w:t>
            </w: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(316.9)</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185.9</w:t>
            </w:r>
          </w:p>
        </w:tc>
      </w:tr>
      <w:tr>
        <w:trPr>
          <w:trHeight w:val="277"/>
        </w:trPr>
        <w:tc>
          <w:tcPr>
            <w:tcW w:w="7980" w:type="dxa"/>
            <w:vAlign w:val="bottom"/>
          </w:tcPr>
          <w:p>
            <w:pPr>
              <w:ind w:left="240"/>
              <w:spacing w:after="0"/>
              <w:rPr>
                <w:sz w:val="20"/>
                <w:szCs w:val="20"/>
                <w:color w:val="auto"/>
              </w:rPr>
            </w:pPr>
            <w:r>
              <w:rPr>
                <w:rFonts w:ascii="Arial" w:cs="Arial" w:eastAsia="Arial" w:hAnsi="Arial"/>
                <w:sz w:val="18"/>
                <w:szCs w:val="18"/>
                <w:color w:val="auto"/>
              </w:rPr>
              <w:t>Less: Net earnings attributable to the noncontrolling interest</w:t>
            </w: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580"/>
        </w:trPr>
        <w:tc>
          <w:tcPr>
            <w:tcW w:w="7980" w:type="dxa"/>
            <w:vAlign w:val="bottom"/>
          </w:tcPr>
          <w:p>
            <w:pPr>
              <w:spacing w:after="0"/>
              <w:rPr>
                <w:sz w:val="20"/>
                <w:szCs w:val="20"/>
                <w:color w:val="auto"/>
              </w:rPr>
            </w:pPr>
            <w:r>
              <w:rPr>
                <w:rFonts w:ascii="Arial" w:cs="Arial" w:eastAsia="Arial" w:hAnsi="Arial"/>
                <w:sz w:val="18"/>
                <w:szCs w:val="18"/>
                <w:color w:val="auto"/>
              </w:rPr>
              <w:t>Net earnings (loss) attributable to Laboratory Corporation of America Holdings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(317.2)</w:t>
            </w:r>
          </w:p>
        </w:tc>
        <w:tc>
          <w:tcPr>
            <w:tcW w:w="220" w:type="dxa"/>
            <w:vAlign w:val="bottom"/>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185.6</w:t>
            </w:r>
          </w:p>
        </w:tc>
      </w:tr>
      <w:tr>
        <w:trPr>
          <w:trHeight w:val="20"/>
        </w:trPr>
        <w:tc>
          <w:tcPr>
            <w:tcW w:w="7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96"/>
        </w:trPr>
        <w:tc>
          <w:tcPr>
            <w:tcW w:w="7980" w:type="dxa"/>
            <w:vAlign w:val="bottom"/>
          </w:tcPr>
          <w:p>
            <w:pPr>
              <w:spacing w:after="0"/>
              <w:rPr>
                <w:sz w:val="20"/>
                <w:szCs w:val="20"/>
                <w:color w:val="auto"/>
              </w:rPr>
            </w:pPr>
            <w:r>
              <w:rPr>
                <w:rFonts w:ascii="Arial" w:cs="Arial" w:eastAsia="Arial" w:hAnsi="Arial"/>
                <w:sz w:val="18"/>
                <w:szCs w:val="18"/>
                <w:color w:val="auto"/>
              </w:rPr>
              <w:t>Basic earnings (loss) per common share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220" w:type="dxa"/>
            <w:vAlign w:val="bottom"/>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1.88</w:t>
            </w:r>
          </w:p>
        </w:tc>
      </w:tr>
      <w:tr>
        <w:trPr>
          <w:trHeight w:val="20"/>
        </w:trPr>
        <w:tc>
          <w:tcPr>
            <w:tcW w:w="7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61"/>
        </w:trPr>
        <w:tc>
          <w:tcPr>
            <w:tcW w:w="7980" w:type="dxa"/>
            <w:vAlign w:val="bottom"/>
          </w:tcPr>
          <w:p>
            <w:pPr>
              <w:spacing w:after="0"/>
              <w:rPr>
                <w:sz w:val="20"/>
                <w:szCs w:val="20"/>
                <w:color w:val="auto"/>
              </w:rPr>
            </w:pPr>
            <w:r>
              <w:rPr>
                <w:rFonts w:ascii="Arial" w:cs="Arial" w:eastAsia="Arial" w:hAnsi="Arial"/>
                <w:sz w:val="18"/>
                <w:szCs w:val="18"/>
                <w:color w:val="auto"/>
              </w:rPr>
              <w:t>Diluted earnings (loss) per common share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220" w:type="dxa"/>
            <w:vAlign w:val="bottom"/>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1.86</w:t>
            </w:r>
          </w:p>
        </w:tc>
      </w:tr>
      <w:tr>
        <w:trPr>
          <w:trHeight w:val="20"/>
        </w:trPr>
        <w:tc>
          <w:tcPr>
            <w:tcW w:w="7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96"/>
        </w:trPr>
        <w:tc>
          <w:tcPr>
            <w:tcW w:w="7980" w:type="dxa"/>
            <w:vAlign w:val="bottom"/>
          </w:tcPr>
          <w:p>
            <w:pPr>
              <w:spacing w:after="0"/>
              <w:rPr>
                <w:sz w:val="20"/>
                <w:szCs w:val="20"/>
                <w:color w:val="auto"/>
              </w:rPr>
            </w:pPr>
            <w:r>
              <w:rPr>
                <w:rFonts w:ascii="Arial" w:cs="Arial" w:eastAsia="Arial" w:hAnsi="Arial"/>
                <w:sz w:val="18"/>
                <w:szCs w:val="18"/>
                <w:color w:val="auto"/>
              </w:rPr>
              <w:t>Weighted average basic shares outstanding</w:t>
            </w:r>
          </w:p>
        </w:tc>
        <w:tc>
          <w:tcPr>
            <w:tcW w:w="180" w:type="dxa"/>
            <w:vAlign w:val="bottom"/>
          </w:tcPr>
          <w:p>
            <w:pPr>
              <w:spacing w:after="0"/>
              <w:rPr>
                <w:sz w:val="24"/>
                <w:szCs w:val="24"/>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97.2</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98.6</w:t>
            </w:r>
          </w:p>
        </w:tc>
      </w:tr>
      <w:tr>
        <w:trPr>
          <w:trHeight w:val="594"/>
        </w:trPr>
        <w:tc>
          <w:tcPr>
            <w:tcW w:w="7980" w:type="dxa"/>
            <w:vAlign w:val="bottom"/>
          </w:tcPr>
          <w:p>
            <w:pPr>
              <w:spacing w:after="0"/>
              <w:rPr>
                <w:sz w:val="20"/>
                <w:szCs w:val="20"/>
                <w:color w:val="auto"/>
              </w:rPr>
            </w:pPr>
            <w:r>
              <w:rPr>
                <w:rFonts w:ascii="Arial" w:cs="Arial" w:eastAsia="Arial" w:hAnsi="Arial"/>
                <w:sz w:val="18"/>
                <w:szCs w:val="18"/>
                <w:color w:val="auto"/>
              </w:rPr>
              <w:t>Weighted average diluted shares outstanding</w:t>
            </w:r>
          </w:p>
        </w:tc>
        <w:tc>
          <w:tcPr>
            <w:tcW w:w="180" w:type="dxa"/>
            <w:vAlign w:val="bottom"/>
          </w:tcPr>
          <w:p>
            <w:pPr>
              <w:spacing w:after="0"/>
              <w:rPr>
                <w:sz w:val="24"/>
                <w:szCs w:val="24"/>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97.2</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99.5</w:t>
            </w:r>
          </w:p>
        </w:tc>
      </w:tr>
      <w:tr>
        <w:trPr>
          <w:trHeight w:val="661"/>
        </w:trPr>
        <w:tc>
          <w:tcPr>
            <w:tcW w:w="7980" w:type="dxa"/>
            <w:vAlign w:val="bottom"/>
          </w:tcPr>
          <w:p>
            <w:pPr>
              <w:ind w:left="550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120"/>
          </w:cols>
          <w:pgMar w:left="400" w:top="549" w:right="379" w:bottom="1440" w:gutter="0" w:footer="0" w:header="0"/>
        </w:sectPr>
      </w:pPr>
    </w:p>
    <w:bookmarkStart w:id="11" w:name="page12"/>
    <w:bookmarkEnd w:id="11"/>
    <w:p>
      <w:pPr>
        <w:jc w:val="center"/>
        <w:ind w:right="-79"/>
        <w:spacing w:after="0"/>
        <w:rPr>
          <w:sz w:val="20"/>
          <w:szCs w:val="20"/>
          <w:color w:val="auto"/>
        </w:rPr>
      </w:pPr>
      <w:r>
        <w:rPr>
          <w:rFonts w:ascii="Arial" w:cs="Arial" w:eastAsia="Arial" w:hAnsi="Arial"/>
          <w:sz w:val="18"/>
          <w:szCs w:val="18"/>
          <w:b w:val="1"/>
          <w:bCs w:val="1"/>
          <w:color w:val="auto"/>
        </w:rPr>
        <w:t>LABORATORY CORPORATION OF AMERICA HOLDINGS AND SUBSIDIARIES</w:t>
      </w:r>
    </w:p>
    <w:p>
      <w:pPr>
        <w:spacing w:after="0" w:line="3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(Dollars 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1520" w:type="dxa"/>
            <w:vAlign w:val="bottom"/>
          </w:tcPr>
          <w:p>
            <w:pPr>
              <w:jc w:val="right"/>
              <w:ind w:right="36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9"/>
        </w:trPr>
        <w:tc>
          <w:tcPr>
            <w:tcW w:w="74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4"/>
        </w:trPr>
        <w:tc>
          <w:tcPr>
            <w:tcW w:w="742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3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6"/>
        </w:trPr>
        <w:tc>
          <w:tcPr>
            <w:tcW w:w="7420" w:type="dxa"/>
            <w:vAlign w:val="bottom"/>
          </w:tcPr>
          <w:p>
            <w:pPr>
              <w:spacing w:after="0"/>
              <w:rPr>
                <w:sz w:val="20"/>
                <w:szCs w:val="20"/>
                <w:color w:val="auto"/>
              </w:rPr>
            </w:pPr>
            <w:r>
              <w:rPr>
                <w:rFonts w:ascii="Arial" w:cs="Arial" w:eastAsia="Arial" w:hAnsi="Arial"/>
                <w:sz w:val="14"/>
                <w:szCs w:val="14"/>
                <w:color w:val="auto"/>
              </w:rPr>
              <w:t>Current assets:</w:t>
            </w: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20" w:type="dxa"/>
            <w:vAlign w:val="bottom"/>
          </w:tcPr>
          <w:p>
            <w:pPr>
              <w:ind w:left="240"/>
              <w:spacing w:after="0"/>
              <w:rPr>
                <w:sz w:val="20"/>
                <w:szCs w:val="20"/>
                <w:color w:val="auto"/>
              </w:rPr>
            </w:pPr>
            <w:r>
              <w:rPr>
                <w:rFonts w:ascii="Arial" w:cs="Arial" w:eastAsia="Arial" w:hAnsi="Arial"/>
                <w:sz w:val="14"/>
                <w:szCs w:val="14"/>
                <w:color w:val="auto"/>
              </w:rPr>
              <w:t>Cash and cash equivalents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323.6</w:t>
            </w:r>
          </w:p>
        </w:tc>
        <w:tc>
          <w:tcPr>
            <w:tcW w:w="100" w:type="dxa"/>
            <w:vAlign w:val="bottom"/>
          </w:tcPr>
          <w:p>
            <w:pPr>
              <w:spacing w:after="0"/>
              <w:rPr>
                <w:sz w:val="23"/>
                <w:szCs w:val="23"/>
                <w:color w:val="auto"/>
              </w:rPr>
            </w:pP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337.5</w:t>
            </w:r>
          </w:p>
        </w:tc>
        <w:tc>
          <w:tcPr>
            <w:tcW w:w="0" w:type="dxa"/>
            <w:vAlign w:val="bottom"/>
          </w:tcPr>
          <w:p>
            <w:pPr>
              <w:spacing w:after="0"/>
              <w:rPr>
                <w:sz w:val="1"/>
                <w:szCs w:val="1"/>
                <w:color w:val="auto"/>
              </w:rPr>
            </w:pPr>
          </w:p>
        </w:tc>
      </w:tr>
      <w:tr>
        <w:trPr>
          <w:trHeight w:val="270"/>
        </w:trPr>
        <w:tc>
          <w:tcPr>
            <w:tcW w:w="7420" w:type="dxa"/>
            <w:vAlign w:val="bottom"/>
          </w:tcPr>
          <w:p>
            <w:pPr>
              <w:ind w:left="240"/>
              <w:spacing w:after="0"/>
              <w:rPr>
                <w:sz w:val="20"/>
                <w:szCs w:val="20"/>
                <w:color w:val="auto"/>
              </w:rPr>
            </w:pPr>
            <w:r>
              <w:rPr>
                <w:rFonts w:ascii="Arial" w:cs="Arial" w:eastAsia="Arial" w:hAnsi="Arial"/>
                <w:sz w:val="14"/>
                <w:szCs w:val="14"/>
                <w:color w:val="auto"/>
              </w:rPr>
              <w:t>Accounts receivable, net of allowance for doubtful accounts of $28.9 as of March 31, 2020</w:t>
            </w:r>
          </w:p>
        </w:tc>
        <w:tc>
          <w:tcPr>
            <w:tcW w:w="320" w:type="dxa"/>
            <w:vAlign w:val="bottom"/>
          </w:tcPr>
          <w:p>
            <w:pPr>
              <w:spacing w:after="0"/>
              <w:rPr>
                <w:sz w:val="23"/>
                <w:szCs w:val="23"/>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1,482.2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1,543.9</w:t>
            </w:r>
          </w:p>
        </w:tc>
        <w:tc>
          <w:tcPr>
            <w:tcW w:w="0" w:type="dxa"/>
            <w:vAlign w:val="bottom"/>
          </w:tcPr>
          <w:p>
            <w:pPr>
              <w:spacing w:after="0"/>
              <w:rPr>
                <w:sz w:val="1"/>
                <w:szCs w:val="1"/>
                <w:color w:val="auto"/>
              </w:rPr>
            </w:pPr>
          </w:p>
        </w:tc>
      </w:tr>
      <w:tr>
        <w:trPr>
          <w:trHeight w:val="270"/>
        </w:trPr>
        <w:tc>
          <w:tcPr>
            <w:tcW w:w="7420" w:type="dxa"/>
            <w:vAlign w:val="bottom"/>
          </w:tcPr>
          <w:p>
            <w:pPr>
              <w:ind w:left="240"/>
              <w:spacing w:after="0"/>
              <w:rPr>
                <w:sz w:val="20"/>
                <w:szCs w:val="20"/>
                <w:color w:val="auto"/>
              </w:rPr>
            </w:pPr>
            <w:r>
              <w:rPr>
                <w:rFonts w:ascii="Arial" w:cs="Arial" w:eastAsia="Arial" w:hAnsi="Arial"/>
                <w:sz w:val="14"/>
                <w:szCs w:val="14"/>
                <w:color w:val="auto"/>
              </w:rPr>
              <w:t>Unbilled services</w:t>
            </w:r>
          </w:p>
        </w:tc>
        <w:tc>
          <w:tcPr>
            <w:tcW w:w="320" w:type="dxa"/>
            <w:vAlign w:val="bottom"/>
          </w:tcPr>
          <w:p>
            <w:pPr>
              <w:spacing w:after="0"/>
              <w:rPr>
                <w:sz w:val="23"/>
                <w:szCs w:val="23"/>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478.1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481.4</w:t>
            </w:r>
          </w:p>
        </w:tc>
        <w:tc>
          <w:tcPr>
            <w:tcW w:w="0" w:type="dxa"/>
            <w:vAlign w:val="bottom"/>
          </w:tcPr>
          <w:p>
            <w:pPr>
              <w:spacing w:after="0"/>
              <w:rPr>
                <w:sz w:val="1"/>
                <w:szCs w:val="1"/>
                <w:color w:val="auto"/>
              </w:rPr>
            </w:pPr>
          </w:p>
        </w:tc>
      </w:tr>
      <w:tr>
        <w:trPr>
          <w:trHeight w:val="270"/>
        </w:trPr>
        <w:tc>
          <w:tcPr>
            <w:tcW w:w="7420" w:type="dxa"/>
            <w:vAlign w:val="bottom"/>
          </w:tcPr>
          <w:p>
            <w:pPr>
              <w:ind w:left="240"/>
              <w:spacing w:after="0"/>
              <w:rPr>
                <w:sz w:val="20"/>
                <w:szCs w:val="20"/>
                <w:color w:val="auto"/>
              </w:rPr>
            </w:pPr>
            <w:r>
              <w:rPr>
                <w:rFonts w:ascii="Arial" w:cs="Arial" w:eastAsia="Arial" w:hAnsi="Arial"/>
                <w:sz w:val="14"/>
                <w:szCs w:val="14"/>
                <w:color w:val="auto"/>
              </w:rPr>
              <w:t>Supplies inventory</w:t>
            </w:r>
          </w:p>
        </w:tc>
        <w:tc>
          <w:tcPr>
            <w:tcW w:w="320" w:type="dxa"/>
            <w:vAlign w:val="bottom"/>
          </w:tcPr>
          <w:p>
            <w:pPr>
              <w:spacing w:after="0"/>
              <w:rPr>
                <w:sz w:val="23"/>
                <w:szCs w:val="23"/>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254.0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244.7</w:t>
            </w:r>
          </w:p>
        </w:tc>
        <w:tc>
          <w:tcPr>
            <w:tcW w:w="0" w:type="dxa"/>
            <w:vAlign w:val="bottom"/>
          </w:tcPr>
          <w:p>
            <w:pPr>
              <w:spacing w:after="0"/>
              <w:rPr>
                <w:sz w:val="1"/>
                <w:szCs w:val="1"/>
                <w:color w:val="auto"/>
              </w:rPr>
            </w:pPr>
          </w:p>
        </w:tc>
      </w:tr>
      <w:tr>
        <w:trPr>
          <w:trHeight w:val="276"/>
        </w:trPr>
        <w:tc>
          <w:tcPr>
            <w:tcW w:w="7420" w:type="dxa"/>
            <w:vAlign w:val="bottom"/>
          </w:tcPr>
          <w:p>
            <w:pPr>
              <w:ind w:left="240"/>
              <w:spacing w:after="0"/>
              <w:rPr>
                <w:sz w:val="20"/>
                <w:szCs w:val="20"/>
                <w:color w:val="auto"/>
              </w:rPr>
            </w:pPr>
            <w:r>
              <w:rPr>
                <w:rFonts w:ascii="Arial" w:cs="Arial" w:eastAsia="Arial" w:hAnsi="Arial"/>
                <w:sz w:val="14"/>
                <w:szCs w:val="14"/>
                <w:color w:val="auto"/>
              </w:rPr>
              <w:t>Prepaid expenses and other</w:t>
            </w:r>
          </w:p>
        </w:tc>
        <w:tc>
          <w:tcPr>
            <w:tcW w:w="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353.2</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373.7</w:t>
            </w:r>
          </w:p>
        </w:tc>
        <w:tc>
          <w:tcPr>
            <w:tcW w:w="0" w:type="dxa"/>
            <w:vAlign w:val="bottom"/>
          </w:tcPr>
          <w:p>
            <w:pPr>
              <w:spacing w:after="0"/>
              <w:rPr>
                <w:sz w:val="1"/>
                <w:szCs w:val="1"/>
                <w:color w:val="auto"/>
              </w:rPr>
            </w:pPr>
          </w:p>
        </w:tc>
      </w:tr>
      <w:tr>
        <w:trPr>
          <w:trHeight w:val="244"/>
        </w:trPr>
        <w:tc>
          <w:tcPr>
            <w:tcW w:w="7420" w:type="dxa"/>
            <w:vAlign w:val="bottom"/>
          </w:tcPr>
          <w:p>
            <w:pPr>
              <w:ind w:left="240"/>
              <w:spacing w:after="0"/>
              <w:rPr>
                <w:sz w:val="20"/>
                <w:szCs w:val="20"/>
                <w:color w:val="auto"/>
              </w:rPr>
            </w:pPr>
            <w:r>
              <w:rPr>
                <w:rFonts w:ascii="Arial" w:cs="Arial" w:eastAsia="Arial" w:hAnsi="Arial"/>
                <w:sz w:val="14"/>
                <w:szCs w:val="14"/>
                <w:color w:val="auto"/>
              </w:rPr>
              <w:t>Total current assets</w:t>
            </w:r>
          </w:p>
        </w:tc>
        <w:tc>
          <w:tcPr>
            <w:tcW w:w="320" w:type="dxa"/>
            <w:vAlign w:val="bottom"/>
          </w:tcPr>
          <w:p>
            <w:pPr>
              <w:spacing w:after="0"/>
              <w:rPr>
                <w:sz w:val="21"/>
                <w:szCs w:val="21"/>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2,891.1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2,981.2</w:t>
            </w:r>
          </w:p>
        </w:tc>
        <w:tc>
          <w:tcPr>
            <w:tcW w:w="0" w:type="dxa"/>
            <w:vAlign w:val="bottom"/>
          </w:tcPr>
          <w:p>
            <w:pPr>
              <w:spacing w:after="0"/>
              <w:rPr>
                <w:sz w:val="1"/>
                <w:szCs w:val="1"/>
                <w:color w:val="auto"/>
              </w:rPr>
            </w:pPr>
          </w:p>
        </w:tc>
      </w:tr>
      <w:tr>
        <w:trPr>
          <w:trHeight w:val="445"/>
        </w:trPr>
        <w:tc>
          <w:tcPr>
            <w:tcW w:w="7420" w:type="dxa"/>
            <w:vAlign w:val="bottom"/>
          </w:tcPr>
          <w:p>
            <w:pPr>
              <w:spacing w:after="0"/>
              <w:rPr>
                <w:sz w:val="20"/>
                <w:szCs w:val="20"/>
                <w:color w:val="auto"/>
              </w:rPr>
            </w:pPr>
            <w:r>
              <w:rPr>
                <w:rFonts w:ascii="Arial" w:cs="Arial" w:eastAsia="Arial" w:hAnsi="Arial"/>
                <w:sz w:val="14"/>
                <w:szCs w:val="14"/>
                <w:color w:val="auto"/>
              </w:rPr>
              <w:t>Property, plant and equipment, net</w:t>
            </w:r>
          </w:p>
        </w:tc>
        <w:tc>
          <w:tcPr>
            <w:tcW w:w="320" w:type="dxa"/>
            <w:vAlign w:val="bottom"/>
          </w:tcPr>
          <w:p>
            <w:pPr>
              <w:spacing w:after="0"/>
              <w:rPr>
                <w:sz w:val="24"/>
                <w:szCs w:val="24"/>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2,609.6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2,636.6</w:t>
            </w:r>
          </w:p>
        </w:tc>
        <w:tc>
          <w:tcPr>
            <w:tcW w:w="0" w:type="dxa"/>
            <w:vAlign w:val="bottom"/>
          </w:tcPr>
          <w:p>
            <w:pPr>
              <w:spacing w:after="0"/>
              <w:rPr>
                <w:sz w:val="1"/>
                <w:szCs w:val="1"/>
                <w:color w:val="auto"/>
              </w:rPr>
            </w:pPr>
          </w:p>
        </w:tc>
      </w:tr>
      <w:tr>
        <w:trPr>
          <w:trHeight w:val="270"/>
        </w:trPr>
        <w:tc>
          <w:tcPr>
            <w:tcW w:w="7420" w:type="dxa"/>
            <w:vAlign w:val="bottom"/>
          </w:tcPr>
          <w:p>
            <w:pPr>
              <w:spacing w:after="0"/>
              <w:rPr>
                <w:sz w:val="20"/>
                <w:szCs w:val="20"/>
                <w:color w:val="auto"/>
              </w:rPr>
            </w:pPr>
            <w:r>
              <w:rPr>
                <w:rFonts w:ascii="Arial" w:cs="Arial" w:eastAsia="Arial" w:hAnsi="Arial"/>
                <w:sz w:val="14"/>
                <w:szCs w:val="14"/>
                <w:color w:val="auto"/>
              </w:rPr>
              <w:t>Goodwill, net</w:t>
            </w:r>
          </w:p>
        </w:tc>
        <w:tc>
          <w:tcPr>
            <w:tcW w:w="320" w:type="dxa"/>
            <w:vAlign w:val="bottom"/>
          </w:tcPr>
          <w:p>
            <w:pPr>
              <w:spacing w:after="0"/>
              <w:rPr>
                <w:sz w:val="23"/>
                <w:szCs w:val="23"/>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7,388.5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7,865.0</w:t>
            </w:r>
          </w:p>
        </w:tc>
        <w:tc>
          <w:tcPr>
            <w:tcW w:w="0" w:type="dxa"/>
            <w:vAlign w:val="bottom"/>
          </w:tcPr>
          <w:p>
            <w:pPr>
              <w:spacing w:after="0"/>
              <w:rPr>
                <w:sz w:val="1"/>
                <w:szCs w:val="1"/>
                <w:color w:val="auto"/>
              </w:rPr>
            </w:pPr>
          </w:p>
        </w:tc>
      </w:tr>
      <w:tr>
        <w:trPr>
          <w:trHeight w:val="270"/>
        </w:trPr>
        <w:tc>
          <w:tcPr>
            <w:tcW w:w="7420" w:type="dxa"/>
            <w:vAlign w:val="bottom"/>
          </w:tcPr>
          <w:p>
            <w:pPr>
              <w:spacing w:after="0"/>
              <w:rPr>
                <w:sz w:val="20"/>
                <w:szCs w:val="20"/>
                <w:color w:val="auto"/>
              </w:rPr>
            </w:pPr>
            <w:r>
              <w:rPr>
                <w:rFonts w:ascii="Arial" w:cs="Arial" w:eastAsia="Arial" w:hAnsi="Arial"/>
                <w:sz w:val="14"/>
                <w:szCs w:val="14"/>
                <w:color w:val="auto"/>
              </w:rPr>
              <w:t>Intangible assets, net</w:t>
            </w:r>
          </w:p>
        </w:tc>
        <w:tc>
          <w:tcPr>
            <w:tcW w:w="320" w:type="dxa"/>
            <w:vAlign w:val="bottom"/>
          </w:tcPr>
          <w:p>
            <w:pPr>
              <w:spacing w:after="0"/>
              <w:rPr>
                <w:sz w:val="23"/>
                <w:szCs w:val="23"/>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3,905.1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4,034.5</w:t>
            </w:r>
          </w:p>
        </w:tc>
        <w:tc>
          <w:tcPr>
            <w:tcW w:w="0" w:type="dxa"/>
            <w:vAlign w:val="bottom"/>
          </w:tcPr>
          <w:p>
            <w:pPr>
              <w:spacing w:after="0"/>
              <w:rPr>
                <w:sz w:val="1"/>
                <w:szCs w:val="1"/>
                <w:color w:val="auto"/>
              </w:rPr>
            </w:pPr>
          </w:p>
        </w:tc>
      </w:tr>
      <w:tr>
        <w:trPr>
          <w:trHeight w:val="270"/>
        </w:trPr>
        <w:tc>
          <w:tcPr>
            <w:tcW w:w="7420" w:type="dxa"/>
            <w:vAlign w:val="bottom"/>
          </w:tcPr>
          <w:p>
            <w:pPr>
              <w:spacing w:after="0"/>
              <w:rPr>
                <w:sz w:val="20"/>
                <w:szCs w:val="20"/>
                <w:color w:val="auto"/>
              </w:rPr>
            </w:pPr>
            <w:r>
              <w:rPr>
                <w:rFonts w:ascii="Arial" w:cs="Arial" w:eastAsia="Arial" w:hAnsi="Arial"/>
                <w:sz w:val="14"/>
                <w:szCs w:val="14"/>
                <w:color w:val="auto"/>
              </w:rPr>
              <w:t>Joint venture partnerships and equity method investments</w:t>
            </w:r>
          </w:p>
        </w:tc>
        <w:tc>
          <w:tcPr>
            <w:tcW w:w="320" w:type="dxa"/>
            <w:vAlign w:val="bottom"/>
          </w:tcPr>
          <w:p>
            <w:pPr>
              <w:spacing w:after="0"/>
              <w:rPr>
                <w:sz w:val="23"/>
                <w:szCs w:val="23"/>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67.0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84.9</w:t>
            </w:r>
          </w:p>
        </w:tc>
        <w:tc>
          <w:tcPr>
            <w:tcW w:w="0" w:type="dxa"/>
            <w:vAlign w:val="bottom"/>
          </w:tcPr>
          <w:p>
            <w:pPr>
              <w:spacing w:after="0"/>
              <w:rPr>
                <w:sz w:val="1"/>
                <w:szCs w:val="1"/>
                <w:color w:val="auto"/>
              </w:rPr>
            </w:pPr>
          </w:p>
        </w:tc>
      </w:tr>
      <w:tr>
        <w:trPr>
          <w:trHeight w:val="270"/>
        </w:trPr>
        <w:tc>
          <w:tcPr>
            <w:tcW w:w="7420" w:type="dxa"/>
            <w:vAlign w:val="bottom"/>
          </w:tcPr>
          <w:p>
            <w:pPr>
              <w:spacing w:after="0"/>
              <w:rPr>
                <w:sz w:val="20"/>
                <w:szCs w:val="20"/>
                <w:color w:val="auto"/>
              </w:rPr>
            </w:pPr>
            <w:r>
              <w:rPr>
                <w:rFonts w:ascii="Arial" w:cs="Arial" w:eastAsia="Arial" w:hAnsi="Arial"/>
                <w:sz w:val="14"/>
                <w:szCs w:val="14"/>
                <w:color w:val="auto"/>
              </w:rPr>
              <w:t>Deferred income taxes</w:t>
            </w:r>
          </w:p>
        </w:tc>
        <w:tc>
          <w:tcPr>
            <w:tcW w:w="320" w:type="dxa"/>
            <w:vAlign w:val="bottom"/>
          </w:tcPr>
          <w:p>
            <w:pPr>
              <w:spacing w:after="0"/>
              <w:rPr>
                <w:sz w:val="23"/>
                <w:szCs w:val="23"/>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276"/>
        </w:trPr>
        <w:tc>
          <w:tcPr>
            <w:tcW w:w="7420" w:type="dxa"/>
            <w:vAlign w:val="bottom"/>
          </w:tcPr>
          <w:p>
            <w:pPr>
              <w:spacing w:after="0"/>
              <w:rPr>
                <w:sz w:val="20"/>
                <w:szCs w:val="20"/>
                <w:color w:val="auto"/>
              </w:rPr>
            </w:pPr>
            <w:r>
              <w:rPr>
                <w:rFonts w:ascii="Arial" w:cs="Arial" w:eastAsia="Arial" w:hAnsi="Arial"/>
                <w:sz w:val="14"/>
                <w:szCs w:val="14"/>
                <w:color w:val="auto"/>
              </w:rPr>
              <w:t>Other assets, net</w:t>
            </w:r>
          </w:p>
        </w:tc>
        <w:tc>
          <w:tcPr>
            <w:tcW w:w="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430.6</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435.4</w:t>
            </w:r>
          </w:p>
        </w:tc>
        <w:tc>
          <w:tcPr>
            <w:tcW w:w="0" w:type="dxa"/>
            <w:vAlign w:val="bottom"/>
          </w:tcPr>
          <w:p>
            <w:pPr>
              <w:spacing w:after="0"/>
              <w:rPr>
                <w:sz w:val="1"/>
                <w:szCs w:val="1"/>
                <w:color w:val="auto"/>
              </w:rPr>
            </w:pPr>
          </w:p>
        </w:tc>
      </w:tr>
      <w:tr>
        <w:trPr>
          <w:trHeight w:val="243"/>
        </w:trPr>
        <w:tc>
          <w:tcPr>
            <w:tcW w:w="7420" w:type="dxa"/>
            <w:vAlign w:val="bottom"/>
          </w:tcPr>
          <w:p>
            <w:pPr>
              <w:spacing w:after="0"/>
              <w:rPr>
                <w:sz w:val="20"/>
                <w:szCs w:val="20"/>
                <w:color w:val="auto"/>
              </w:rPr>
            </w:pPr>
            <w:r>
              <w:rPr>
                <w:rFonts w:ascii="Arial" w:cs="Arial" w:eastAsia="Arial" w:hAnsi="Arial"/>
                <w:sz w:val="14"/>
                <w:szCs w:val="14"/>
                <w:color w:val="auto"/>
              </w:rPr>
              <w:t>Total assets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17,298.4</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18,046.4</w:t>
            </w: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SHAREHOLDERS’ EQUITY</w:t>
            </w: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74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7420" w:type="dxa"/>
            <w:vAlign w:val="bottom"/>
          </w:tcPr>
          <w:p>
            <w:pPr>
              <w:spacing w:after="0"/>
              <w:rPr>
                <w:sz w:val="20"/>
                <w:szCs w:val="20"/>
                <w:color w:val="auto"/>
              </w:rPr>
            </w:pPr>
            <w:r>
              <w:rPr>
                <w:rFonts w:ascii="Arial" w:cs="Arial" w:eastAsia="Arial" w:hAnsi="Arial"/>
                <w:sz w:val="14"/>
                <w:szCs w:val="14"/>
                <w:color w:val="auto"/>
              </w:rPr>
              <w:t>Current liabilities:</w:t>
            </w: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20" w:type="dxa"/>
            <w:vAlign w:val="bottom"/>
          </w:tcPr>
          <w:p>
            <w:pPr>
              <w:ind w:left="240"/>
              <w:spacing w:after="0"/>
              <w:rPr>
                <w:sz w:val="20"/>
                <w:szCs w:val="20"/>
                <w:color w:val="auto"/>
              </w:rPr>
            </w:pPr>
            <w:r>
              <w:rPr>
                <w:rFonts w:ascii="Arial" w:cs="Arial" w:eastAsia="Arial" w:hAnsi="Arial"/>
                <w:sz w:val="14"/>
                <w:szCs w:val="14"/>
                <w:color w:val="auto"/>
              </w:rPr>
              <w:t>Accounts payable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568.7</w:t>
            </w:r>
          </w:p>
        </w:tc>
        <w:tc>
          <w:tcPr>
            <w:tcW w:w="100" w:type="dxa"/>
            <w:vAlign w:val="bottom"/>
          </w:tcPr>
          <w:p>
            <w:pPr>
              <w:spacing w:after="0"/>
              <w:rPr>
                <w:sz w:val="23"/>
                <w:szCs w:val="23"/>
                <w:color w:val="auto"/>
              </w:rPr>
            </w:pP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632.3</w:t>
            </w:r>
          </w:p>
        </w:tc>
        <w:tc>
          <w:tcPr>
            <w:tcW w:w="0" w:type="dxa"/>
            <w:vAlign w:val="bottom"/>
          </w:tcPr>
          <w:p>
            <w:pPr>
              <w:spacing w:after="0"/>
              <w:rPr>
                <w:sz w:val="1"/>
                <w:szCs w:val="1"/>
                <w:color w:val="auto"/>
              </w:rPr>
            </w:pPr>
          </w:p>
        </w:tc>
      </w:tr>
      <w:tr>
        <w:trPr>
          <w:trHeight w:val="270"/>
        </w:trPr>
        <w:tc>
          <w:tcPr>
            <w:tcW w:w="7420" w:type="dxa"/>
            <w:vAlign w:val="bottom"/>
          </w:tcPr>
          <w:p>
            <w:pPr>
              <w:ind w:left="240"/>
              <w:spacing w:after="0"/>
              <w:rPr>
                <w:sz w:val="20"/>
                <w:szCs w:val="20"/>
                <w:color w:val="auto"/>
              </w:rPr>
            </w:pPr>
            <w:r>
              <w:rPr>
                <w:rFonts w:ascii="Arial" w:cs="Arial" w:eastAsia="Arial" w:hAnsi="Arial"/>
                <w:sz w:val="14"/>
                <w:szCs w:val="14"/>
                <w:color w:val="auto"/>
              </w:rPr>
              <w:t>Accrued expenses and other</w:t>
            </w:r>
          </w:p>
        </w:tc>
        <w:tc>
          <w:tcPr>
            <w:tcW w:w="320" w:type="dxa"/>
            <w:vAlign w:val="bottom"/>
          </w:tcPr>
          <w:p>
            <w:pPr>
              <w:spacing w:after="0"/>
              <w:rPr>
                <w:sz w:val="23"/>
                <w:szCs w:val="23"/>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828.1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942.4</w:t>
            </w:r>
          </w:p>
        </w:tc>
        <w:tc>
          <w:tcPr>
            <w:tcW w:w="0" w:type="dxa"/>
            <w:vAlign w:val="bottom"/>
          </w:tcPr>
          <w:p>
            <w:pPr>
              <w:spacing w:after="0"/>
              <w:rPr>
                <w:sz w:val="1"/>
                <w:szCs w:val="1"/>
                <w:color w:val="auto"/>
              </w:rPr>
            </w:pPr>
          </w:p>
        </w:tc>
      </w:tr>
      <w:tr>
        <w:trPr>
          <w:trHeight w:val="270"/>
        </w:trPr>
        <w:tc>
          <w:tcPr>
            <w:tcW w:w="7420" w:type="dxa"/>
            <w:vAlign w:val="bottom"/>
          </w:tcPr>
          <w:p>
            <w:pPr>
              <w:ind w:left="240"/>
              <w:spacing w:after="0"/>
              <w:rPr>
                <w:sz w:val="20"/>
                <w:szCs w:val="20"/>
                <w:color w:val="auto"/>
              </w:rPr>
            </w:pPr>
            <w:r>
              <w:rPr>
                <w:rFonts w:ascii="Arial" w:cs="Arial" w:eastAsia="Arial" w:hAnsi="Arial"/>
                <w:sz w:val="14"/>
                <w:szCs w:val="14"/>
                <w:color w:val="auto"/>
              </w:rPr>
              <w:t>Unearned revenue</w:t>
            </w:r>
          </w:p>
        </w:tc>
        <w:tc>
          <w:tcPr>
            <w:tcW w:w="320" w:type="dxa"/>
            <w:vAlign w:val="bottom"/>
          </w:tcPr>
          <w:p>
            <w:pPr>
              <w:spacing w:after="0"/>
              <w:rPr>
                <w:sz w:val="23"/>
                <w:szCs w:val="23"/>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432.9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451.0</w:t>
            </w:r>
          </w:p>
        </w:tc>
        <w:tc>
          <w:tcPr>
            <w:tcW w:w="0" w:type="dxa"/>
            <w:vAlign w:val="bottom"/>
          </w:tcPr>
          <w:p>
            <w:pPr>
              <w:spacing w:after="0"/>
              <w:rPr>
                <w:sz w:val="1"/>
                <w:szCs w:val="1"/>
                <w:color w:val="auto"/>
              </w:rPr>
            </w:pPr>
          </w:p>
        </w:tc>
      </w:tr>
      <w:tr>
        <w:trPr>
          <w:trHeight w:val="270"/>
        </w:trPr>
        <w:tc>
          <w:tcPr>
            <w:tcW w:w="7420" w:type="dxa"/>
            <w:vAlign w:val="bottom"/>
          </w:tcPr>
          <w:p>
            <w:pPr>
              <w:ind w:left="240"/>
              <w:spacing w:after="0"/>
              <w:rPr>
                <w:sz w:val="20"/>
                <w:szCs w:val="20"/>
                <w:color w:val="auto"/>
              </w:rPr>
            </w:pPr>
            <w:r>
              <w:rPr>
                <w:rFonts w:ascii="Arial" w:cs="Arial" w:eastAsia="Arial" w:hAnsi="Arial"/>
                <w:sz w:val="14"/>
                <w:szCs w:val="14"/>
                <w:color w:val="auto"/>
              </w:rPr>
              <w:t>Short-term operating lease liabilities</w:t>
            </w:r>
          </w:p>
        </w:tc>
        <w:tc>
          <w:tcPr>
            <w:tcW w:w="320" w:type="dxa"/>
            <w:vAlign w:val="bottom"/>
          </w:tcPr>
          <w:p>
            <w:pPr>
              <w:spacing w:after="0"/>
              <w:rPr>
                <w:sz w:val="23"/>
                <w:szCs w:val="23"/>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202.7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206.5</w:t>
            </w:r>
          </w:p>
        </w:tc>
        <w:tc>
          <w:tcPr>
            <w:tcW w:w="0" w:type="dxa"/>
            <w:vAlign w:val="bottom"/>
          </w:tcPr>
          <w:p>
            <w:pPr>
              <w:spacing w:after="0"/>
              <w:rPr>
                <w:sz w:val="1"/>
                <w:szCs w:val="1"/>
                <w:color w:val="auto"/>
              </w:rPr>
            </w:pPr>
          </w:p>
        </w:tc>
      </w:tr>
      <w:tr>
        <w:trPr>
          <w:trHeight w:val="270"/>
        </w:trPr>
        <w:tc>
          <w:tcPr>
            <w:tcW w:w="7420" w:type="dxa"/>
            <w:vAlign w:val="bottom"/>
          </w:tcPr>
          <w:p>
            <w:pPr>
              <w:ind w:left="240"/>
              <w:spacing w:after="0"/>
              <w:rPr>
                <w:sz w:val="20"/>
                <w:szCs w:val="20"/>
                <w:color w:val="auto"/>
              </w:rPr>
            </w:pPr>
            <w:r>
              <w:rPr>
                <w:rFonts w:ascii="Arial" w:cs="Arial" w:eastAsia="Arial" w:hAnsi="Arial"/>
                <w:sz w:val="14"/>
                <w:szCs w:val="14"/>
                <w:color w:val="auto"/>
              </w:rPr>
              <w:t>Short-term finance lease liabilities</w:t>
            </w:r>
          </w:p>
        </w:tc>
        <w:tc>
          <w:tcPr>
            <w:tcW w:w="320" w:type="dxa"/>
            <w:vAlign w:val="bottom"/>
          </w:tcPr>
          <w:p>
            <w:pPr>
              <w:spacing w:after="0"/>
              <w:rPr>
                <w:sz w:val="23"/>
                <w:szCs w:val="23"/>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76"/>
        </w:trPr>
        <w:tc>
          <w:tcPr>
            <w:tcW w:w="7420" w:type="dxa"/>
            <w:vAlign w:val="bottom"/>
          </w:tcPr>
          <w:p>
            <w:pPr>
              <w:ind w:left="240"/>
              <w:spacing w:after="0"/>
              <w:rPr>
                <w:sz w:val="20"/>
                <w:szCs w:val="20"/>
                <w:color w:val="auto"/>
              </w:rPr>
            </w:pPr>
            <w:r>
              <w:rPr>
                <w:rFonts w:ascii="Arial" w:cs="Arial" w:eastAsia="Arial" w:hAnsi="Arial"/>
                <w:sz w:val="14"/>
                <w:szCs w:val="14"/>
                <w:color w:val="auto"/>
              </w:rPr>
              <w:t>Short-term borrowings and current portion of long-term debt</w:t>
            </w:r>
          </w:p>
        </w:tc>
        <w:tc>
          <w:tcPr>
            <w:tcW w:w="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417.4</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415.2</w:t>
            </w:r>
          </w:p>
        </w:tc>
        <w:tc>
          <w:tcPr>
            <w:tcW w:w="0" w:type="dxa"/>
            <w:vAlign w:val="bottom"/>
          </w:tcPr>
          <w:p>
            <w:pPr>
              <w:spacing w:after="0"/>
              <w:rPr>
                <w:sz w:val="1"/>
                <w:szCs w:val="1"/>
                <w:color w:val="auto"/>
              </w:rPr>
            </w:pPr>
          </w:p>
        </w:tc>
      </w:tr>
      <w:tr>
        <w:trPr>
          <w:trHeight w:val="244"/>
        </w:trPr>
        <w:tc>
          <w:tcPr>
            <w:tcW w:w="7420" w:type="dxa"/>
            <w:vAlign w:val="bottom"/>
          </w:tcPr>
          <w:p>
            <w:pPr>
              <w:ind w:left="240"/>
              <w:spacing w:after="0"/>
              <w:rPr>
                <w:sz w:val="20"/>
                <w:szCs w:val="20"/>
                <w:color w:val="auto"/>
              </w:rPr>
            </w:pPr>
            <w:r>
              <w:rPr>
                <w:rFonts w:ascii="Arial" w:cs="Arial" w:eastAsia="Arial" w:hAnsi="Arial"/>
                <w:sz w:val="14"/>
                <w:szCs w:val="14"/>
                <w:color w:val="auto"/>
              </w:rPr>
              <w:t>Total current liabilities</w:t>
            </w:r>
          </w:p>
        </w:tc>
        <w:tc>
          <w:tcPr>
            <w:tcW w:w="320" w:type="dxa"/>
            <w:vAlign w:val="bottom"/>
          </w:tcPr>
          <w:p>
            <w:pPr>
              <w:spacing w:after="0"/>
              <w:rPr>
                <w:sz w:val="21"/>
                <w:szCs w:val="21"/>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2,458.0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2,655.8</w:t>
            </w:r>
          </w:p>
        </w:tc>
        <w:tc>
          <w:tcPr>
            <w:tcW w:w="0" w:type="dxa"/>
            <w:vAlign w:val="bottom"/>
          </w:tcPr>
          <w:p>
            <w:pPr>
              <w:spacing w:after="0"/>
              <w:rPr>
                <w:sz w:val="1"/>
                <w:szCs w:val="1"/>
                <w:color w:val="auto"/>
              </w:rPr>
            </w:pPr>
          </w:p>
        </w:tc>
      </w:tr>
      <w:tr>
        <w:trPr>
          <w:trHeight w:val="445"/>
        </w:trPr>
        <w:tc>
          <w:tcPr>
            <w:tcW w:w="7420" w:type="dxa"/>
            <w:vAlign w:val="bottom"/>
          </w:tcPr>
          <w:p>
            <w:pPr>
              <w:spacing w:after="0"/>
              <w:rPr>
                <w:sz w:val="20"/>
                <w:szCs w:val="20"/>
                <w:color w:val="auto"/>
              </w:rPr>
            </w:pPr>
            <w:r>
              <w:rPr>
                <w:rFonts w:ascii="Arial" w:cs="Arial" w:eastAsia="Arial" w:hAnsi="Arial"/>
                <w:sz w:val="14"/>
                <w:szCs w:val="14"/>
                <w:color w:val="auto"/>
              </w:rPr>
              <w:t>Long-term debt, less current portion</w:t>
            </w:r>
          </w:p>
        </w:tc>
        <w:tc>
          <w:tcPr>
            <w:tcW w:w="320" w:type="dxa"/>
            <w:vAlign w:val="bottom"/>
          </w:tcPr>
          <w:p>
            <w:pPr>
              <w:spacing w:after="0"/>
              <w:rPr>
                <w:sz w:val="24"/>
                <w:szCs w:val="24"/>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5,790.2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5,789.8</w:t>
            </w:r>
          </w:p>
        </w:tc>
        <w:tc>
          <w:tcPr>
            <w:tcW w:w="0" w:type="dxa"/>
            <w:vAlign w:val="bottom"/>
          </w:tcPr>
          <w:p>
            <w:pPr>
              <w:spacing w:after="0"/>
              <w:rPr>
                <w:sz w:val="1"/>
                <w:szCs w:val="1"/>
                <w:color w:val="auto"/>
              </w:rPr>
            </w:pPr>
          </w:p>
        </w:tc>
      </w:tr>
      <w:tr>
        <w:trPr>
          <w:trHeight w:val="270"/>
        </w:trPr>
        <w:tc>
          <w:tcPr>
            <w:tcW w:w="7420" w:type="dxa"/>
            <w:vAlign w:val="bottom"/>
          </w:tcPr>
          <w:p>
            <w:pPr>
              <w:spacing w:after="0"/>
              <w:rPr>
                <w:sz w:val="20"/>
                <w:szCs w:val="20"/>
                <w:color w:val="auto"/>
              </w:rPr>
            </w:pPr>
            <w:r>
              <w:rPr>
                <w:rFonts w:ascii="Arial" w:cs="Arial" w:eastAsia="Arial" w:hAnsi="Arial"/>
                <w:sz w:val="14"/>
                <w:szCs w:val="14"/>
                <w:color w:val="auto"/>
              </w:rPr>
              <w:t>Operating lease liabilities</w:t>
            </w:r>
          </w:p>
        </w:tc>
        <w:tc>
          <w:tcPr>
            <w:tcW w:w="320" w:type="dxa"/>
            <w:vAlign w:val="bottom"/>
          </w:tcPr>
          <w:p>
            <w:pPr>
              <w:spacing w:after="0"/>
              <w:rPr>
                <w:sz w:val="23"/>
                <w:szCs w:val="23"/>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609.8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596.6</w:t>
            </w:r>
          </w:p>
        </w:tc>
        <w:tc>
          <w:tcPr>
            <w:tcW w:w="0" w:type="dxa"/>
            <w:vAlign w:val="bottom"/>
          </w:tcPr>
          <w:p>
            <w:pPr>
              <w:spacing w:after="0"/>
              <w:rPr>
                <w:sz w:val="1"/>
                <w:szCs w:val="1"/>
                <w:color w:val="auto"/>
              </w:rPr>
            </w:pPr>
          </w:p>
        </w:tc>
      </w:tr>
      <w:tr>
        <w:trPr>
          <w:trHeight w:val="270"/>
        </w:trPr>
        <w:tc>
          <w:tcPr>
            <w:tcW w:w="7420" w:type="dxa"/>
            <w:vAlign w:val="bottom"/>
          </w:tcPr>
          <w:p>
            <w:pPr>
              <w:spacing w:after="0"/>
              <w:rPr>
                <w:sz w:val="20"/>
                <w:szCs w:val="20"/>
                <w:color w:val="auto"/>
              </w:rPr>
            </w:pPr>
            <w:r>
              <w:rPr>
                <w:rFonts w:ascii="Arial" w:cs="Arial" w:eastAsia="Arial" w:hAnsi="Arial"/>
                <w:sz w:val="14"/>
                <w:szCs w:val="14"/>
                <w:color w:val="auto"/>
              </w:rPr>
              <w:t>Financing lease liabilities</w:t>
            </w:r>
          </w:p>
        </w:tc>
        <w:tc>
          <w:tcPr>
            <w:tcW w:w="320" w:type="dxa"/>
            <w:vAlign w:val="bottom"/>
          </w:tcPr>
          <w:p>
            <w:pPr>
              <w:spacing w:after="0"/>
              <w:rPr>
                <w:sz w:val="23"/>
                <w:szCs w:val="23"/>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89.3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91.1</w:t>
            </w:r>
          </w:p>
        </w:tc>
        <w:tc>
          <w:tcPr>
            <w:tcW w:w="0" w:type="dxa"/>
            <w:vAlign w:val="bottom"/>
          </w:tcPr>
          <w:p>
            <w:pPr>
              <w:spacing w:after="0"/>
              <w:rPr>
                <w:sz w:val="1"/>
                <w:szCs w:val="1"/>
                <w:color w:val="auto"/>
              </w:rPr>
            </w:pPr>
          </w:p>
        </w:tc>
      </w:tr>
      <w:tr>
        <w:trPr>
          <w:trHeight w:val="270"/>
        </w:trPr>
        <w:tc>
          <w:tcPr>
            <w:tcW w:w="7420" w:type="dxa"/>
            <w:vAlign w:val="bottom"/>
          </w:tcPr>
          <w:p>
            <w:pPr>
              <w:spacing w:after="0"/>
              <w:rPr>
                <w:sz w:val="20"/>
                <w:szCs w:val="20"/>
                <w:color w:val="auto"/>
              </w:rPr>
            </w:pPr>
            <w:r>
              <w:rPr>
                <w:rFonts w:ascii="Arial" w:cs="Arial" w:eastAsia="Arial" w:hAnsi="Arial"/>
                <w:sz w:val="14"/>
                <w:szCs w:val="14"/>
                <w:color w:val="auto"/>
              </w:rPr>
              <w:t>Deferred income taxes and other tax liabilities</w:t>
            </w:r>
          </w:p>
        </w:tc>
        <w:tc>
          <w:tcPr>
            <w:tcW w:w="320" w:type="dxa"/>
            <w:vAlign w:val="bottom"/>
          </w:tcPr>
          <w:p>
            <w:pPr>
              <w:spacing w:after="0"/>
              <w:rPr>
                <w:sz w:val="23"/>
                <w:szCs w:val="23"/>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943.1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942.8</w:t>
            </w:r>
          </w:p>
        </w:tc>
        <w:tc>
          <w:tcPr>
            <w:tcW w:w="0" w:type="dxa"/>
            <w:vAlign w:val="bottom"/>
          </w:tcPr>
          <w:p>
            <w:pPr>
              <w:spacing w:after="0"/>
              <w:rPr>
                <w:sz w:val="1"/>
                <w:szCs w:val="1"/>
                <w:color w:val="auto"/>
              </w:rPr>
            </w:pPr>
          </w:p>
        </w:tc>
      </w:tr>
      <w:tr>
        <w:trPr>
          <w:trHeight w:val="276"/>
        </w:trPr>
        <w:tc>
          <w:tcPr>
            <w:tcW w:w="7420" w:type="dxa"/>
            <w:vAlign w:val="bottom"/>
          </w:tcPr>
          <w:p>
            <w:pPr>
              <w:spacing w:after="0"/>
              <w:rPr>
                <w:sz w:val="20"/>
                <w:szCs w:val="20"/>
                <w:color w:val="auto"/>
              </w:rPr>
            </w:pPr>
            <w:r>
              <w:rPr>
                <w:rFonts w:ascii="Arial" w:cs="Arial" w:eastAsia="Arial" w:hAnsi="Arial"/>
                <w:sz w:val="14"/>
                <w:szCs w:val="14"/>
                <w:color w:val="auto"/>
              </w:rPr>
              <w:t>Other liabilities</w:t>
            </w:r>
          </w:p>
        </w:tc>
        <w:tc>
          <w:tcPr>
            <w:tcW w:w="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369.4</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383.2</w:t>
            </w:r>
          </w:p>
        </w:tc>
        <w:tc>
          <w:tcPr>
            <w:tcW w:w="0" w:type="dxa"/>
            <w:vAlign w:val="bottom"/>
          </w:tcPr>
          <w:p>
            <w:pPr>
              <w:spacing w:after="0"/>
              <w:rPr>
                <w:sz w:val="1"/>
                <w:szCs w:val="1"/>
                <w:color w:val="auto"/>
              </w:rPr>
            </w:pPr>
          </w:p>
        </w:tc>
      </w:tr>
      <w:tr>
        <w:trPr>
          <w:trHeight w:val="250"/>
        </w:trPr>
        <w:tc>
          <w:tcPr>
            <w:tcW w:w="7420" w:type="dxa"/>
            <w:vAlign w:val="bottom"/>
          </w:tcPr>
          <w:p>
            <w:pPr>
              <w:ind w:left="240"/>
              <w:spacing w:after="0"/>
              <w:rPr>
                <w:sz w:val="20"/>
                <w:szCs w:val="20"/>
                <w:color w:val="auto"/>
              </w:rPr>
            </w:pPr>
            <w:r>
              <w:rPr>
                <w:rFonts w:ascii="Arial" w:cs="Arial" w:eastAsia="Arial" w:hAnsi="Arial"/>
                <w:sz w:val="14"/>
                <w:szCs w:val="14"/>
                <w:color w:val="auto"/>
              </w:rPr>
              <w:t>Total liabilities</w:t>
            </w:r>
          </w:p>
        </w:tc>
        <w:tc>
          <w:tcPr>
            <w:tcW w:w="3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10,259.8</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10,459.3</w:t>
            </w:r>
          </w:p>
        </w:tc>
        <w:tc>
          <w:tcPr>
            <w:tcW w:w="0" w:type="dxa"/>
            <w:vAlign w:val="bottom"/>
          </w:tcPr>
          <w:p>
            <w:pPr>
              <w:spacing w:after="0"/>
              <w:rPr>
                <w:sz w:val="1"/>
                <w:szCs w:val="1"/>
                <w:color w:val="auto"/>
              </w:rPr>
            </w:pPr>
          </w:p>
        </w:tc>
      </w:tr>
      <w:tr>
        <w:trPr>
          <w:trHeight w:val="433"/>
        </w:trPr>
        <w:tc>
          <w:tcPr>
            <w:tcW w:w="7420" w:type="dxa"/>
            <w:vAlign w:val="bottom"/>
          </w:tcPr>
          <w:p>
            <w:pPr>
              <w:spacing w:after="0"/>
              <w:rPr>
                <w:sz w:val="20"/>
                <w:szCs w:val="20"/>
                <w:color w:val="auto"/>
              </w:rPr>
            </w:pPr>
            <w:r>
              <w:rPr>
                <w:rFonts w:ascii="Arial" w:cs="Arial" w:eastAsia="Arial" w:hAnsi="Arial"/>
                <w:sz w:val="14"/>
                <w:szCs w:val="14"/>
                <w:color w:val="auto"/>
              </w:rPr>
              <w:t>Commitments and contingent liabilities</w:t>
            </w: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20" w:type="dxa"/>
            <w:vAlign w:val="bottom"/>
          </w:tcPr>
          <w:p>
            <w:pPr>
              <w:spacing w:after="0"/>
              <w:rPr>
                <w:sz w:val="20"/>
                <w:szCs w:val="20"/>
                <w:color w:val="auto"/>
              </w:rPr>
            </w:pPr>
            <w:r>
              <w:rPr>
                <w:rFonts w:ascii="Arial" w:cs="Arial" w:eastAsia="Arial" w:hAnsi="Arial"/>
                <w:sz w:val="14"/>
                <w:szCs w:val="14"/>
                <w:color w:val="auto"/>
              </w:rPr>
              <w:t>Noncontrolling interest</w:t>
            </w:r>
          </w:p>
        </w:tc>
        <w:tc>
          <w:tcPr>
            <w:tcW w:w="320" w:type="dxa"/>
            <w:vAlign w:val="bottom"/>
          </w:tcPr>
          <w:p>
            <w:pPr>
              <w:spacing w:after="0"/>
              <w:rPr>
                <w:sz w:val="23"/>
                <w:szCs w:val="23"/>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445"/>
        </w:trPr>
        <w:tc>
          <w:tcPr>
            <w:tcW w:w="7420" w:type="dxa"/>
            <w:vAlign w:val="bottom"/>
          </w:tcPr>
          <w:p>
            <w:pPr>
              <w:spacing w:after="0"/>
              <w:rPr>
                <w:sz w:val="20"/>
                <w:szCs w:val="20"/>
                <w:color w:val="auto"/>
              </w:rPr>
            </w:pPr>
            <w:r>
              <w:rPr>
                <w:rFonts w:ascii="Arial" w:cs="Arial" w:eastAsia="Arial" w:hAnsi="Arial"/>
                <w:sz w:val="14"/>
                <w:szCs w:val="14"/>
                <w:color w:val="auto"/>
              </w:rPr>
              <w:t>Shareholders’ equity:</w:t>
            </w: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20" w:type="dxa"/>
            <w:vAlign w:val="bottom"/>
          </w:tcPr>
          <w:p>
            <w:pPr>
              <w:ind w:left="240"/>
              <w:spacing w:after="0"/>
              <w:rPr>
                <w:sz w:val="20"/>
                <w:szCs w:val="20"/>
                <w:color w:val="auto"/>
              </w:rPr>
            </w:pPr>
            <w:r>
              <w:rPr>
                <w:rFonts w:ascii="Arial" w:cs="Arial" w:eastAsia="Arial" w:hAnsi="Arial"/>
                <w:sz w:val="14"/>
                <w:szCs w:val="14"/>
                <w:color w:val="auto"/>
              </w:rPr>
              <w:t>Common stock, 97.1 and 97.2 shares outstanding at March 31, 2020 and December 31, 2019, respectively</w:t>
            </w:r>
          </w:p>
        </w:tc>
        <w:tc>
          <w:tcPr>
            <w:tcW w:w="320" w:type="dxa"/>
            <w:vAlign w:val="bottom"/>
          </w:tcPr>
          <w:p>
            <w:pPr>
              <w:spacing w:after="0"/>
              <w:rPr>
                <w:sz w:val="23"/>
                <w:szCs w:val="23"/>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70"/>
        </w:trPr>
        <w:tc>
          <w:tcPr>
            <w:tcW w:w="7420" w:type="dxa"/>
            <w:vAlign w:val="bottom"/>
          </w:tcPr>
          <w:p>
            <w:pPr>
              <w:ind w:left="240"/>
              <w:spacing w:after="0"/>
              <w:rPr>
                <w:sz w:val="20"/>
                <w:szCs w:val="20"/>
                <w:color w:val="auto"/>
              </w:rPr>
            </w:pPr>
            <w:r>
              <w:rPr>
                <w:rFonts w:ascii="Arial" w:cs="Arial" w:eastAsia="Arial" w:hAnsi="Arial"/>
                <w:sz w:val="14"/>
                <w:szCs w:val="14"/>
                <w:color w:val="auto"/>
              </w:rPr>
              <w:t>Additional paid-in capital</w:t>
            </w:r>
          </w:p>
        </w:tc>
        <w:tc>
          <w:tcPr>
            <w:tcW w:w="320" w:type="dxa"/>
            <w:vAlign w:val="bottom"/>
          </w:tcPr>
          <w:p>
            <w:pPr>
              <w:spacing w:after="0"/>
              <w:rPr>
                <w:sz w:val="23"/>
                <w:szCs w:val="23"/>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270"/>
        </w:trPr>
        <w:tc>
          <w:tcPr>
            <w:tcW w:w="7420" w:type="dxa"/>
            <w:vAlign w:val="bottom"/>
          </w:tcPr>
          <w:p>
            <w:pPr>
              <w:ind w:left="240"/>
              <w:spacing w:after="0"/>
              <w:rPr>
                <w:sz w:val="20"/>
                <w:szCs w:val="20"/>
                <w:color w:val="auto"/>
              </w:rPr>
            </w:pPr>
            <w:r>
              <w:rPr>
                <w:rFonts w:ascii="Arial" w:cs="Arial" w:eastAsia="Arial" w:hAnsi="Arial"/>
                <w:sz w:val="14"/>
                <w:szCs w:val="14"/>
                <w:color w:val="auto"/>
              </w:rPr>
              <w:t>Retained earnings</w:t>
            </w:r>
          </w:p>
        </w:tc>
        <w:tc>
          <w:tcPr>
            <w:tcW w:w="320" w:type="dxa"/>
            <w:vAlign w:val="bottom"/>
          </w:tcPr>
          <w:p>
            <w:pPr>
              <w:spacing w:after="0"/>
              <w:rPr>
                <w:sz w:val="23"/>
                <w:szCs w:val="23"/>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7,529.0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7,903.6</w:t>
            </w:r>
          </w:p>
        </w:tc>
        <w:tc>
          <w:tcPr>
            <w:tcW w:w="0" w:type="dxa"/>
            <w:vAlign w:val="bottom"/>
          </w:tcPr>
          <w:p>
            <w:pPr>
              <w:spacing w:after="0"/>
              <w:rPr>
                <w:sz w:val="1"/>
                <w:szCs w:val="1"/>
                <w:color w:val="auto"/>
              </w:rPr>
            </w:pPr>
          </w:p>
        </w:tc>
      </w:tr>
      <w:tr>
        <w:trPr>
          <w:trHeight w:val="270"/>
        </w:trPr>
        <w:tc>
          <w:tcPr>
            <w:tcW w:w="7420" w:type="dxa"/>
            <w:vAlign w:val="bottom"/>
          </w:tcPr>
          <w:p>
            <w:pPr>
              <w:ind w:left="240"/>
              <w:spacing w:after="0"/>
              <w:rPr>
                <w:sz w:val="20"/>
                <w:szCs w:val="20"/>
                <w:color w:val="auto"/>
              </w:rPr>
            </w:pPr>
            <w:r>
              <w:rPr>
                <w:rFonts w:ascii="Arial" w:cs="Arial" w:eastAsia="Arial" w:hAnsi="Arial"/>
                <w:sz w:val="14"/>
                <w:szCs w:val="14"/>
                <w:color w:val="auto"/>
              </w:rPr>
              <w:t>Less common stock held in treasury</w:t>
            </w:r>
          </w:p>
        </w:tc>
        <w:tc>
          <w:tcPr>
            <w:tcW w:w="320" w:type="dxa"/>
            <w:vAlign w:val="bottom"/>
          </w:tcPr>
          <w:p>
            <w:pPr>
              <w:spacing w:after="0"/>
              <w:rPr>
                <w:sz w:val="23"/>
                <w:szCs w:val="23"/>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420" w:type="dxa"/>
            <w:vAlign w:val="bottom"/>
          </w:tcPr>
          <w:p>
            <w:pPr>
              <w:ind w:left="240"/>
              <w:spacing w:after="0"/>
              <w:rPr>
                <w:sz w:val="20"/>
                <w:szCs w:val="20"/>
                <w:color w:val="auto"/>
              </w:rPr>
            </w:pPr>
            <w:r>
              <w:rPr>
                <w:rFonts w:ascii="Arial" w:cs="Arial" w:eastAsia="Arial" w:hAnsi="Arial"/>
                <w:sz w:val="14"/>
                <w:szCs w:val="14"/>
                <w:color w:val="auto"/>
              </w:rPr>
              <w:t>Accumulated other comprehensive loss</w:t>
            </w:r>
          </w:p>
        </w:tc>
        <w:tc>
          <w:tcPr>
            <w:tcW w:w="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(517.9)</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(372.4)</w:t>
            </w:r>
          </w:p>
        </w:tc>
        <w:tc>
          <w:tcPr>
            <w:tcW w:w="0" w:type="dxa"/>
            <w:vAlign w:val="bottom"/>
          </w:tcPr>
          <w:p>
            <w:pPr>
              <w:spacing w:after="0"/>
              <w:rPr>
                <w:sz w:val="1"/>
                <w:szCs w:val="1"/>
                <w:color w:val="auto"/>
              </w:rPr>
            </w:pPr>
          </w:p>
        </w:tc>
      </w:tr>
      <w:tr>
        <w:trPr>
          <w:trHeight w:val="250"/>
        </w:trPr>
        <w:tc>
          <w:tcPr>
            <w:tcW w:w="7420" w:type="dxa"/>
            <w:vAlign w:val="bottom"/>
          </w:tcPr>
          <w:p>
            <w:pPr>
              <w:ind w:left="240"/>
              <w:spacing w:after="0"/>
              <w:rPr>
                <w:sz w:val="20"/>
                <w:szCs w:val="20"/>
                <w:color w:val="auto"/>
              </w:rPr>
            </w:pPr>
            <w:r>
              <w:rPr>
                <w:rFonts w:ascii="Arial" w:cs="Arial" w:eastAsia="Arial" w:hAnsi="Arial"/>
                <w:sz w:val="14"/>
                <w:szCs w:val="14"/>
                <w:color w:val="auto"/>
              </w:rPr>
              <w:t>Total shareholders’ equity</w:t>
            </w:r>
          </w:p>
        </w:tc>
        <w:tc>
          <w:tcPr>
            <w:tcW w:w="3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7,020.1</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7,567.0</w:t>
            </w:r>
          </w:p>
        </w:tc>
        <w:tc>
          <w:tcPr>
            <w:tcW w:w="0" w:type="dxa"/>
            <w:vAlign w:val="bottom"/>
          </w:tcPr>
          <w:p>
            <w:pPr>
              <w:spacing w:after="0"/>
              <w:rPr>
                <w:sz w:val="1"/>
                <w:szCs w:val="1"/>
                <w:color w:val="auto"/>
              </w:rPr>
            </w:pPr>
          </w:p>
        </w:tc>
      </w:tr>
      <w:tr>
        <w:trPr>
          <w:trHeight w:val="243"/>
        </w:trPr>
        <w:tc>
          <w:tcPr>
            <w:tcW w:w="7420" w:type="dxa"/>
            <w:vAlign w:val="bottom"/>
          </w:tcPr>
          <w:p>
            <w:pPr>
              <w:spacing w:after="0"/>
              <w:rPr>
                <w:sz w:val="20"/>
                <w:szCs w:val="20"/>
                <w:color w:val="auto"/>
              </w:rPr>
            </w:pPr>
            <w:r>
              <w:rPr>
                <w:rFonts w:ascii="Arial" w:cs="Arial" w:eastAsia="Arial" w:hAnsi="Arial"/>
                <w:sz w:val="14"/>
                <w:szCs w:val="14"/>
                <w:color w:val="auto"/>
              </w:rPr>
              <w:t>Total liabilities and shareholders’ equity</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17,298.4</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18,046.4</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80"/>
          </w:cols>
          <w:pgMar w:left="360" w:top="549" w:right="459" w:bottom="1440" w:gutter="0" w:footer="0" w:header="0"/>
        </w:sectPr>
      </w:pP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080"/>
          </w:cols>
          <w:pgMar w:left="360" w:top="549" w:right="459" w:bottom="1440" w:gutter="0" w:footer="0" w:header="0"/>
          <w:type w:val="continuous"/>
        </w:sectPr>
      </w:pPr>
    </w:p>
    <w:bookmarkStart w:id="12" w:name="page13"/>
    <w:bookmarkEnd w:id="12"/>
    <w:p>
      <w:pPr>
        <w:jc w:val="center"/>
        <w:ind w:right="60"/>
        <w:spacing w:after="0"/>
        <w:rPr>
          <w:sz w:val="20"/>
          <w:szCs w:val="20"/>
          <w:color w:val="auto"/>
        </w:rPr>
      </w:pPr>
      <w:r>
        <w:rPr>
          <w:rFonts w:ascii="Arial" w:cs="Arial" w:eastAsia="Arial" w:hAnsi="Arial"/>
          <w:sz w:val="14"/>
          <w:szCs w:val="14"/>
          <w:b w:val="1"/>
          <w:bCs w:val="1"/>
          <w:color w:val="auto"/>
        </w:rPr>
        <w:t>LABORATORY CORPORATION OF AMERICA HOLDINGS AND SUBSIDIARIES</w:t>
      </w:r>
    </w:p>
    <w:p>
      <w:pPr>
        <w:spacing w:after="0" w:line="19"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(Dollars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840" w:type="dxa"/>
            <w:vAlign w:val="bottom"/>
          </w:tcPr>
          <w:p>
            <w:pPr>
              <w:spacing w:after="0"/>
              <w:rPr>
                <w:sz w:val="18"/>
                <w:szCs w:val="18"/>
                <w:color w:val="auto"/>
              </w:rPr>
            </w:pPr>
          </w:p>
        </w:tc>
        <w:tc>
          <w:tcPr>
            <w:tcW w:w="3060" w:type="dxa"/>
            <w:vAlign w:val="bottom"/>
            <w:tcBorders>
              <w:bottom w:val="single" w:sz="8" w:color="auto"/>
            </w:tcBorders>
            <w:gridSpan w:val="5"/>
          </w:tcPr>
          <w:p>
            <w:pPr>
              <w:jc w:val="right"/>
              <w:ind w:right="388"/>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784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258"/>
        </w:trPr>
        <w:tc>
          <w:tcPr>
            <w:tcW w:w="7840" w:type="dxa"/>
            <w:vAlign w:val="bottom"/>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8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0"/>
        </w:trPr>
        <w:tc>
          <w:tcPr>
            <w:tcW w:w="7840" w:type="dxa"/>
            <w:vAlign w:val="bottom"/>
          </w:tcPr>
          <w:p>
            <w:pPr>
              <w:spacing w:after="0"/>
              <w:rPr>
                <w:sz w:val="20"/>
                <w:szCs w:val="20"/>
                <w:color w:val="auto"/>
              </w:rPr>
            </w:pPr>
            <w:r>
              <w:rPr>
                <w:rFonts w:ascii="Arial" w:cs="Arial" w:eastAsia="Arial" w:hAnsi="Arial"/>
                <w:sz w:val="14"/>
                <w:szCs w:val="14"/>
                <w:color w:val="auto"/>
              </w:rPr>
              <w:t>Net earnings (loss)</w:t>
            </w:r>
          </w:p>
        </w:tc>
        <w:tc>
          <w:tcPr>
            <w:tcW w:w="88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(316.9)</w:t>
            </w:r>
          </w:p>
        </w:tc>
        <w:tc>
          <w:tcPr>
            <w:tcW w:w="200" w:type="dxa"/>
            <w:vAlign w:val="bottom"/>
          </w:tcPr>
          <w:p>
            <w:pPr>
              <w:spacing w:after="0"/>
              <w:rPr>
                <w:sz w:val="23"/>
                <w:szCs w:val="23"/>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185.9</w:t>
            </w:r>
          </w:p>
        </w:tc>
      </w:tr>
      <w:tr>
        <w:trPr>
          <w:trHeight w:val="392"/>
        </w:trPr>
        <w:tc>
          <w:tcPr>
            <w:tcW w:w="7840" w:type="dxa"/>
            <w:vAlign w:val="bottom"/>
          </w:tcPr>
          <w:p>
            <w:pPr>
              <w:spacing w:after="0"/>
              <w:rPr>
                <w:sz w:val="20"/>
                <w:szCs w:val="20"/>
                <w:color w:val="auto"/>
              </w:rPr>
            </w:pPr>
            <w:r>
              <w:rPr>
                <w:rFonts w:ascii="Arial" w:cs="Arial" w:eastAsia="Arial" w:hAnsi="Arial"/>
                <w:sz w:val="14"/>
                <w:szCs w:val="14"/>
                <w:color w:val="auto"/>
              </w:rPr>
              <w:t>Adjustments to reconcile net earnings (loss) to net cash provided by operating activities:</w:t>
            </w: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7840" w:type="dxa"/>
            <w:vAlign w:val="bottom"/>
          </w:tcPr>
          <w:p>
            <w:pPr>
              <w:ind w:left="240"/>
              <w:spacing w:after="0"/>
              <w:rPr>
                <w:sz w:val="20"/>
                <w:szCs w:val="20"/>
                <w:color w:val="auto"/>
              </w:rPr>
            </w:pPr>
            <w:r>
              <w:rPr>
                <w:rFonts w:ascii="Arial" w:cs="Arial" w:eastAsia="Arial" w:hAnsi="Arial"/>
                <w:sz w:val="14"/>
                <w:szCs w:val="14"/>
                <w:color w:val="auto"/>
              </w:rPr>
              <w:t>Depreciation and amortization</w:t>
            </w:r>
          </w:p>
        </w:tc>
        <w:tc>
          <w:tcPr>
            <w:tcW w:w="88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144.6</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135.5</w:t>
            </w:r>
          </w:p>
        </w:tc>
      </w:tr>
      <w:tr>
        <w:trPr>
          <w:trHeight w:val="270"/>
        </w:trPr>
        <w:tc>
          <w:tcPr>
            <w:tcW w:w="7840" w:type="dxa"/>
            <w:vAlign w:val="bottom"/>
          </w:tcPr>
          <w:p>
            <w:pPr>
              <w:ind w:left="240"/>
              <w:spacing w:after="0"/>
              <w:rPr>
                <w:sz w:val="20"/>
                <w:szCs w:val="20"/>
                <w:color w:val="auto"/>
              </w:rPr>
            </w:pPr>
            <w:r>
              <w:rPr>
                <w:rFonts w:ascii="Arial" w:cs="Arial" w:eastAsia="Arial" w:hAnsi="Arial"/>
                <w:sz w:val="14"/>
                <w:szCs w:val="14"/>
                <w:color w:val="auto"/>
              </w:rPr>
              <w:t>Stock compensation</w:t>
            </w:r>
          </w:p>
        </w:tc>
        <w:tc>
          <w:tcPr>
            <w:tcW w:w="88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17.9</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25.5</w:t>
            </w:r>
          </w:p>
        </w:tc>
      </w:tr>
      <w:tr>
        <w:trPr>
          <w:trHeight w:val="270"/>
        </w:trPr>
        <w:tc>
          <w:tcPr>
            <w:tcW w:w="7840" w:type="dxa"/>
            <w:vAlign w:val="bottom"/>
          </w:tcPr>
          <w:p>
            <w:pPr>
              <w:ind w:left="280"/>
              <w:spacing w:after="0"/>
              <w:rPr>
                <w:sz w:val="20"/>
                <w:szCs w:val="20"/>
                <w:color w:val="auto"/>
              </w:rPr>
            </w:pPr>
            <w:r>
              <w:rPr>
                <w:rFonts w:ascii="Arial" w:cs="Arial" w:eastAsia="Arial" w:hAnsi="Arial"/>
                <w:sz w:val="14"/>
                <w:szCs w:val="14"/>
                <w:color w:val="auto"/>
              </w:rPr>
              <w:t>Operating lease right-of-use asset expense</w:t>
            </w:r>
          </w:p>
        </w:tc>
        <w:tc>
          <w:tcPr>
            <w:tcW w:w="88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57.2</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61.2</w:t>
            </w:r>
          </w:p>
        </w:tc>
      </w:tr>
      <w:tr>
        <w:trPr>
          <w:trHeight w:val="270"/>
        </w:trPr>
        <w:tc>
          <w:tcPr>
            <w:tcW w:w="7840" w:type="dxa"/>
            <w:vAlign w:val="bottom"/>
          </w:tcPr>
          <w:p>
            <w:pPr>
              <w:ind w:left="240"/>
              <w:spacing w:after="0"/>
              <w:rPr>
                <w:sz w:val="20"/>
                <w:szCs w:val="20"/>
                <w:color w:val="auto"/>
              </w:rPr>
            </w:pPr>
            <w:r>
              <w:rPr>
                <w:rFonts w:ascii="Arial" w:cs="Arial" w:eastAsia="Arial" w:hAnsi="Arial"/>
                <w:sz w:val="14"/>
                <w:szCs w:val="14"/>
                <w:color w:val="auto"/>
              </w:rPr>
              <w:t>Goodwill and other asset impairments</w:t>
            </w:r>
          </w:p>
        </w:tc>
        <w:tc>
          <w:tcPr>
            <w:tcW w:w="88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437.4</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0"/>
        </w:trPr>
        <w:tc>
          <w:tcPr>
            <w:tcW w:w="7840" w:type="dxa"/>
            <w:vAlign w:val="bottom"/>
          </w:tcPr>
          <w:p>
            <w:pPr>
              <w:ind w:left="240"/>
              <w:spacing w:after="0"/>
              <w:rPr>
                <w:sz w:val="20"/>
                <w:szCs w:val="20"/>
                <w:color w:val="auto"/>
              </w:rPr>
            </w:pPr>
            <w:r>
              <w:rPr>
                <w:rFonts w:ascii="Arial" w:cs="Arial" w:eastAsia="Arial" w:hAnsi="Arial"/>
                <w:sz w:val="14"/>
                <w:szCs w:val="14"/>
                <w:color w:val="auto"/>
              </w:rPr>
              <w:t>Deferred income taxes</w:t>
            </w:r>
          </w:p>
        </w:tc>
        <w:tc>
          <w:tcPr>
            <w:tcW w:w="88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5.1</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17.1</w:t>
            </w:r>
          </w:p>
        </w:tc>
      </w:tr>
      <w:tr>
        <w:trPr>
          <w:trHeight w:val="270"/>
        </w:trPr>
        <w:tc>
          <w:tcPr>
            <w:tcW w:w="7840" w:type="dxa"/>
            <w:vAlign w:val="bottom"/>
          </w:tcPr>
          <w:p>
            <w:pPr>
              <w:ind w:left="240"/>
              <w:spacing w:after="0"/>
              <w:rPr>
                <w:sz w:val="20"/>
                <w:szCs w:val="20"/>
                <w:color w:val="auto"/>
              </w:rPr>
            </w:pPr>
            <w:r>
              <w:rPr>
                <w:rFonts w:ascii="Arial" w:cs="Arial" w:eastAsia="Arial" w:hAnsi="Arial"/>
                <w:sz w:val="14"/>
                <w:szCs w:val="14"/>
                <w:color w:val="auto"/>
              </w:rPr>
              <w:t>Other</w:t>
            </w:r>
          </w:p>
        </w:tc>
        <w:tc>
          <w:tcPr>
            <w:tcW w:w="88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43.3</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7.0</w:t>
            </w:r>
          </w:p>
        </w:tc>
      </w:tr>
      <w:tr>
        <w:trPr>
          <w:trHeight w:val="270"/>
        </w:trPr>
        <w:tc>
          <w:tcPr>
            <w:tcW w:w="7840" w:type="dxa"/>
            <w:vAlign w:val="bottom"/>
          </w:tcPr>
          <w:p>
            <w:pPr>
              <w:ind w:left="240"/>
              <w:spacing w:after="0"/>
              <w:rPr>
                <w:sz w:val="20"/>
                <w:szCs w:val="20"/>
                <w:color w:val="auto"/>
              </w:rPr>
            </w:pPr>
            <w:r>
              <w:rPr>
                <w:rFonts w:ascii="Arial" w:cs="Arial" w:eastAsia="Arial" w:hAnsi="Arial"/>
                <w:sz w:val="14"/>
                <w:szCs w:val="14"/>
                <w:color w:val="auto"/>
              </w:rPr>
              <w:t>Change in assets and liabilities (net of effects of acquisitions and divestitures):</w:t>
            </w:r>
          </w:p>
        </w:tc>
        <w:tc>
          <w:tcPr>
            <w:tcW w:w="8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7840" w:type="dxa"/>
            <w:vAlign w:val="bottom"/>
          </w:tcPr>
          <w:p>
            <w:pPr>
              <w:ind w:left="440"/>
              <w:spacing w:after="0"/>
              <w:rPr>
                <w:sz w:val="20"/>
                <w:szCs w:val="20"/>
                <w:color w:val="auto"/>
              </w:rPr>
            </w:pPr>
            <w:r>
              <w:rPr>
                <w:rFonts w:ascii="Arial" w:cs="Arial" w:eastAsia="Arial" w:hAnsi="Arial"/>
                <w:sz w:val="14"/>
                <w:szCs w:val="14"/>
                <w:color w:val="auto"/>
              </w:rPr>
              <w:t>Decrease (increase) in accounts receivable</w:t>
            </w:r>
          </w:p>
        </w:tc>
        <w:tc>
          <w:tcPr>
            <w:tcW w:w="88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46.7</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(90.8)</w:t>
            </w:r>
          </w:p>
        </w:tc>
      </w:tr>
      <w:tr>
        <w:trPr>
          <w:trHeight w:val="270"/>
        </w:trPr>
        <w:tc>
          <w:tcPr>
            <w:tcW w:w="7840" w:type="dxa"/>
            <w:vAlign w:val="bottom"/>
          </w:tcPr>
          <w:p>
            <w:pPr>
              <w:ind w:left="440"/>
              <w:spacing w:after="0"/>
              <w:rPr>
                <w:sz w:val="20"/>
                <w:szCs w:val="20"/>
                <w:color w:val="auto"/>
              </w:rPr>
            </w:pPr>
            <w:r>
              <w:rPr>
                <w:rFonts w:ascii="Arial" w:cs="Arial" w:eastAsia="Arial" w:hAnsi="Arial"/>
                <w:sz w:val="14"/>
                <w:szCs w:val="14"/>
                <w:color w:val="auto"/>
              </w:rPr>
              <w:t>Increase in unbilled services</w:t>
            </w:r>
          </w:p>
        </w:tc>
        <w:tc>
          <w:tcPr>
            <w:tcW w:w="880" w:type="dxa"/>
            <w:vAlign w:val="bottom"/>
          </w:tcPr>
          <w:p>
            <w:pPr>
              <w:spacing w:after="0"/>
              <w:rPr>
                <w:sz w:val="23"/>
                <w:szCs w:val="23"/>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(26.4)</w:t>
            </w:r>
          </w:p>
        </w:tc>
      </w:tr>
      <w:tr>
        <w:trPr>
          <w:trHeight w:val="270"/>
        </w:trPr>
        <w:tc>
          <w:tcPr>
            <w:tcW w:w="7840" w:type="dxa"/>
            <w:vAlign w:val="bottom"/>
          </w:tcPr>
          <w:p>
            <w:pPr>
              <w:ind w:left="440"/>
              <w:spacing w:after="0"/>
              <w:rPr>
                <w:sz w:val="20"/>
                <w:szCs w:val="20"/>
                <w:color w:val="auto"/>
              </w:rPr>
            </w:pPr>
            <w:r>
              <w:rPr>
                <w:rFonts w:ascii="Arial" w:cs="Arial" w:eastAsia="Arial" w:hAnsi="Arial"/>
                <w:sz w:val="14"/>
                <w:szCs w:val="14"/>
                <w:color w:val="auto"/>
              </w:rPr>
              <w:t>(Increase) decrease in supplies inventory</w:t>
            </w:r>
          </w:p>
        </w:tc>
        <w:tc>
          <w:tcPr>
            <w:tcW w:w="880" w:type="dxa"/>
            <w:vAlign w:val="bottom"/>
          </w:tcPr>
          <w:p>
            <w:pPr>
              <w:spacing w:after="0"/>
              <w:rPr>
                <w:sz w:val="23"/>
                <w:szCs w:val="23"/>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(10.6)</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3.4</w:t>
            </w:r>
          </w:p>
        </w:tc>
      </w:tr>
      <w:tr>
        <w:trPr>
          <w:trHeight w:val="270"/>
        </w:trPr>
        <w:tc>
          <w:tcPr>
            <w:tcW w:w="7840" w:type="dxa"/>
            <w:vAlign w:val="bottom"/>
          </w:tcPr>
          <w:p>
            <w:pPr>
              <w:ind w:left="440"/>
              <w:spacing w:after="0"/>
              <w:rPr>
                <w:sz w:val="20"/>
                <w:szCs w:val="20"/>
                <w:color w:val="auto"/>
              </w:rPr>
            </w:pPr>
            <w:r>
              <w:rPr>
                <w:rFonts w:ascii="Arial" w:cs="Arial" w:eastAsia="Arial" w:hAnsi="Arial"/>
                <w:sz w:val="14"/>
                <w:szCs w:val="14"/>
                <w:color w:val="auto"/>
              </w:rPr>
              <w:t>(Increase) decrease in prepaid expenses and other</w:t>
            </w:r>
          </w:p>
        </w:tc>
        <w:tc>
          <w:tcPr>
            <w:tcW w:w="880" w:type="dxa"/>
            <w:vAlign w:val="bottom"/>
          </w:tcPr>
          <w:p>
            <w:pPr>
              <w:spacing w:after="0"/>
              <w:rPr>
                <w:sz w:val="23"/>
                <w:szCs w:val="23"/>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(3.0)</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7.2</w:t>
            </w:r>
          </w:p>
        </w:tc>
      </w:tr>
      <w:tr>
        <w:trPr>
          <w:trHeight w:val="270"/>
        </w:trPr>
        <w:tc>
          <w:tcPr>
            <w:tcW w:w="7840" w:type="dxa"/>
            <w:vAlign w:val="bottom"/>
          </w:tcPr>
          <w:p>
            <w:pPr>
              <w:ind w:left="440"/>
              <w:spacing w:after="0"/>
              <w:rPr>
                <w:sz w:val="20"/>
                <w:szCs w:val="20"/>
                <w:color w:val="auto"/>
              </w:rPr>
            </w:pPr>
            <w:r>
              <w:rPr>
                <w:rFonts w:ascii="Arial" w:cs="Arial" w:eastAsia="Arial" w:hAnsi="Arial"/>
                <w:sz w:val="14"/>
                <w:szCs w:val="14"/>
                <w:color w:val="auto"/>
              </w:rPr>
              <w:t>Decrease in accounts payable</w:t>
            </w:r>
          </w:p>
        </w:tc>
        <w:tc>
          <w:tcPr>
            <w:tcW w:w="880" w:type="dxa"/>
            <w:vAlign w:val="bottom"/>
          </w:tcPr>
          <w:p>
            <w:pPr>
              <w:spacing w:after="0"/>
              <w:rPr>
                <w:sz w:val="23"/>
                <w:szCs w:val="23"/>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(56.5)</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(28.8)</w:t>
            </w:r>
          </w:p>
        </w:tc>
      </w:tr>
      <w:tr>
        <w:trPr>
          <w:trHeight w:val="270"/>
        </w:trPr>
        <w:tc>
          <w:tcPr>
            <w:tcW w:w="7840" w:type="dxa"/>
            <w:vAlign w:val="bottom"/>
          </w:tcPr>
          <w:p>
            <w:pPr>
              <w:ind w:left="440"/>
              <w:spacing w:after="0"/>
              <w:rPr>
                <w:sz w:val="20"/>
                <w:szCs w:val="20"/>
                <w:color w:val="auto"/>
              </w:rPr>
            </w:pPr>
            <w:r>
              <w:rPr>
                <w:rFonts w:ascii="Arial" w:cs="Arial" w:eastAsia="Arial" w:hAnsi="Arial"/>
                <w:sz w:val="14"/>
                <w:szCs w:val="14"/>
                <w:color w:val="auto"/>
              </w:rPr>
              <w:t>(Decrease) increase in deferred revenue</w:t>
            </w:r>
          </w:p>
        </w:tc>
        <w:tc>
          <w:tcPr>
            <w:tcW w:w="880" w:type="dxa"/>
            <w:vAlign w:val="bottom"/>
          </w:tcPr>
          <w:p>
            <w:pPr>
              <w:spacing w:after="0"/>
              <w:rPr>
                <w:sz w:val="23"/>
                <w:szCs w:val="23"/>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(11.2)</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5.6</w:t>
            </w:r>
          </w:p>
        </w:tc>
      </w:tr>
      <w:tr>
        <w:trPr>
          <w:trHeight w:val="276"/>
        </w:trPr>
        <w:tc>
          <w:tcPr>
            <w:tcW w:w="7840" w:type="dxa"/>
            <w:vAlign w:val="bottom"/>
          </w:tcPr>
          <w:p>
            <w:pPr>
              <w:ind w:left="440"/>
              <w:spacing w:after="0"/>
              <w:rPr>
                <w:sz w:val="20"/>
                <w:szCs w:val="20"/>
                <w:color w:val="auto"/>
              </w:rPr>
            </w:pPr>
            <w:r>
              <w:rPr>
                <w:rFonts w:ascii="Arial" w:cs="Arial" w:eastAsia="Arial" w:hAnsi="Arial"/>
                <w:sz w:val="14"/>
                <w:szCs w:val="14"/>
                <w:color w:val="auto"/>
              </w:rPr>
              <w:t>Decrease in accrued expenses and other</w:t>
            </w:r>
          </w:p>
        </w:tc>
        <w:tc>
          <w:tcPr>
            <w:tcW w:w="8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(149.1)</w:t>
            </w: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(136.6)</w:t>
            </w:r>
          </w:p>
        </w:tc>
      </w:tr>
      <w:tr>
        <w:trPr>
          <w:trHeight w:val="250"/>
        </w:trPr>
        <w:tc>
          <w:tcPr>
            <w:tcW w:w="7840" w:type="dxa"/>
            <w:vAlign w:val="bottom"/>
          </w:tcPr>
          <w:p>
            <w:pPr>
              <w:spacing w:after="0"/>
              <w:rPr>
                <w:sz w:val="20"/>
                <w:szCs w:val="20"/>
                <w:color w:val="auto"/>
              </w:rPr>
            </w:pPr>
            <w:r>
              <w:rPr>
                <w:rFonts w:ascii="Arial" w:cs="Arial" w:eastAsia="Arial" w:hAnsi="Arial"/>
                <w:sz w:val="14"/>
                <w:szCs w:val="14"/>
                <w:color w:val="auto"/>
              </w:rPr>
              <w:t>Net cash provided by operating activities</w:t>
            </w:r>
          </w:p>
        </w:tc>
        <w:tc>
          <w:tcPr>
            <w:tcW w:w="8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203.8</w:t>
            </w:r>
          </w:p>
        </w:tc>
        <w:tc>
          <w:tcPr>
            <w:tcW w:w="2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165.8</w:t>
            </w:r>
          </w:p>
        </w:tc>
      </w:tr>
      <w:tr>
        <w:trPr>
          <w:trHeight w:val="380"/>
        </w:trPr>
        <w:tc>
          <w:tcPr>
            <w:tcW w:w="784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7840" w:type="dxa"/>
            <w:vAlign w:val="bottom"/>
          </w:tcPr>
          <w:p>
            <w:pPr>
              <w:ind w:left="120"/>
              <w:spacing w:after="0"/>
              <w:rPr>
                <w:sz w:val="20"/>
                <w:szCs w:val="20"/>
                <w:color w:val="auto"/>
              </w:rPr>
            </w:pPr>
            <w:r>
              <w:rPr>
                <w:rFonts w:ascii="Arial" w:cs="Arial" w:eastAsia="Arial" w:hAnsi="Arial"/>
                <w:sz w:val="14"/>
                <w:szCs w:val="14"/>
                <w:color w:val="auto"/>
              </w:rPr>
              <w:t>Capital expenditures</w:t>
            </w:r>
          </w:p>
        </w:tc>
        <w:tc>
          <w:tcPr>
            <w:tcW w:w="880" w:type="dxa"/>
            <w:vAlign w:val="bottom"/>
          </w:tcPr>
          <w:p>
            <w:pPr>
              <w:spacing w:after="0"/>
              <w:rPr>
                <w:sz w:val="23"/>
                <w:szCs w:val="23"/>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(106.6)</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(94.2)</w:t>
            </w:r>
          </w:p>
        </w:tc>
      </w:tr>
      <w:tr>
        <w:trPr>
          <w:trHeight w:val="270"/>
        </w:trPr>
        <w:tc>
          <w:tcPr>
            <w:tcW w:w="7840" w:type="dxa"/>
            <w:vAlign w:val="bottom"/>
          </w:tcPr>
          <w:p>
            <w:pPr>
              <w:ind w:left="120"/>
              <w:spacing w:after="0"/>
              <w:rPr>
                <w:sz w:val="20"/>
                <w:szCs w:val="20"/>
                <w:color w:val="auto"/>
              </w:rPr>
            </w:pPr>
            <w:r>
              <w:rPr>
                <w:rFonts w:ascii="Arial" w:cs="Arial" w:eastAsia="Arial" w:hAnsi="Arial"/>
                <w:sz w:val="14"/>
                <w:szCs w:val="14"/>
                <w:color w:val="auto"/>
              </w:rPr>
              <w:t>Proceeds from sale of assets</w:t>
            </w:r>
          </w:p>
        </w:tc>
        <w:tc>
          <w:tcPr>
            <w:tcW w:w="88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7.0</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3.9</w:t>
            </w:r>
          </w:p>
        </w:tc>
      </w:tr>
      <w:tr>
        <w:trPr>
          <w:trHeight w:val="270"/>
        </w:trPr>
        <w:tc>
          <w:tcPr>
            <w:tcW w:w="7840" w:type="dxa"/>
            <w:vAlign w:val="bottom"/>
          </w:tcPr>
          <w:p>
            <w:pPr>
              <w:ind w:left="120"/>
              <w:spacing w:after="0"/>
              <w:rPr>
                <w:sz w:val="20"/>
                <w:szCs w:val="20"/>
                <w:color w:val="auto"/>
              </w:rPr>
            </w:pPr>
            <w:r>
              <w:rPr>
                <w:rFonts w:ascii="Arial" w:cs="Arial" w:eastAsia="Arial" w:hAnsi="Arial"/>
                <w:sz w:val="14"/>
                <w:szCs w:val="14"/>
                <w:color w:val="auto"/>
              </w:rPr>
              <w:t>Proceeds from sale or distribution of investments</w:t>
            </w:r>
          </w:p>
        </w:tc>
        <w:tc>
          <w:tcPr>
            <w:tcW w:w="88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0.9</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0.4</w:t>
            </w:r>
          </w:p>
        </w:tc>
      </w:tr>
      <w:tr>
        <w:trPr>
          <w:trHeight w:val="270"/>
        </w:trPr>
        <w:tc>
          <w:tcPr>
            <w:tcW w:w="7840" w:type="dxa"/>
            <w:vAlign w:val="bottom"/>
          </w:tcPr>
          <w:p>
            <w:pPr>
              <w:ind w:left="120"/>
              <w:spacing w:after="0"/>
              <w:rPr>
                <w:sz w:val="20"/>
                <w:szCs w:val="20"/>
                <w:color w:val="auto"/>
              </w:rPr>
            </w:pPr>
            <w:r>
              <w:rPr>
                <w:rFonts w:ascii="Arial" w:cs="Arial" w:eastAsia="Arial" w:hAnsi="Arial"/>
                <w:sz w:val="14"/>
                <w:szCs w:val="14"/>
                <w:color w:val="auto"/>
              </w:rPr>
              <w:t>Investments in equity affiliates</w:t>
            </w:r>
          </w:p>
        </w:tc>
        <w:tc>
          <w:tcPr>
            <w:tcW w:w="880" w:type="dxa"/>
            <w:vAlign w:val="bottom"/>
          </w:tcPr>
          <w:p>
            <w:pPr>
              <w:spacing w:after="0"/>
              <w:rPr>
                <w:sz w:val="23"/>
                <w:szCs w:val="23"/>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(7.9)</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(3.3)</w:t>
            </w:r>
          </w:p>
        </w:tc>
      </w:tr>
      <w:tr>
        <w:trPr>
          <w:trHeight w:val="276"/>
        </w:trPr>
        <w:tc>
          <w:tcPr>
            <w:tcW w:w="7840" w:type="dxa"/>
            <w:vAlign w:val="bottom"/>
          </w:tcPr>
          <w:p>
            <w:pPr>
              <w:ind w:left="120"/>
              <w:spacing w:after="0"/>
              <w:rPr>
                <w:sz w:val="20"/>
                <w:szCs w:val="20"/>
                <w:color w:val="auto"/>
              </w:rPr>
            </w:pPr>
            <w:r>
              <w:rPr>
                <w:rFonts w:ascii="Arial" w:cs="Arial" w:eastAsia="Arial" w:hAnsi="Arial"/>
                <w:sz w:val="14"/>
                <w:szCs w:val="14"/>
                <w:color w:val="auto"/>
              </w:rPr>
              <w:t>Acquisition of businesses, net of cash acquired</w:t>
            </w:r>
          </w:p>
        </w:tc>
        <w:tc>
          <w:tcPr>
            <w:tcW w:w="880" w:type="dxa"/>
            <w:vAlign w:val="bottom"/>
          </w:tcPr>
          <w:p>
            <w:pPr>
              <w:spacing w:after="0"/>
              <w:rPr>
                <w:sz w:val="24"/>
                <w:szCs w:val="2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(47.3)</w:t>
            </w:r>
          </w:p>
        </w:tc>
      </w:tr>
      <w:tr>
        <w:trPr>
          <w:trHeight w:val="249"/>
        </w:trPr>
        <w:tc>
          <w:tcPr>
            <w:tcW w:w="7840" w:type="dxa"/>
            <w:vAlign w:val="bottom"/>
          </w:tcPr>
          <w:p>
            <w:pPr>
              <w:ind w:left="120"/>
              <w:spacing w:after="0"/>
              <w:rPr>
                <w:sz w:val="20"/>
                <w:szCs w:val="20"/>
                <w:color w:val="auto"/>
              </w:rPr>
            </w:pPr>
            <w:r>
              <w:rPr>
                <w:rFonts w:ascii="Arial" w:cs="Arial" w:eastAsia="Arial" w:hAnsi="Arial"/>
                <w:sz w:val="14"/>
                <w:szCs w:val="14"/>
                <w:color w:val="auto"/>
              </w:rPr>
              <w:t>Net cash used for investing activities</w:t>
            </w:r>
          </w:p>
        </w:tc>
        <w:tc>
          <w:tcPr>
            <w:tcW w:w="88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(106.6)</w:t>
            </w:r>
          </w:p>
        </w:tc>
        <w:tc>
          <w:tcPr>
            <w:tcW w:w="20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(140.5)</w:t>
            </w:r>
          </w:p>
        </w:tc>
      </w:tr>
      <w:tr>
        <w:trPr>
          <w:trHeight w:val="380"/>
        </w:trPr>
        <w:tc>
          <w:tcPr>
            <w:tcW w:w="784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7840" w:type="dxa"/>
            <w:vAlign w:val="bottom"/>
          </w:tcPr>
          <w:p>
            <w:pPr>
              <w:ind w:left="120"/>
              <w:spacing w:after="0"/>
              <w:rPr>
                <w:sz w:val="20"/>
                <w:szCs w:val="20"/>
                <w:color w:val="auto"/>
              </w:rPr>
            </w:pPr>
            <w:r>
              <w:rPr>
                <w:rFonts w:ascii="Arial" w:cs="Arial" w:eastAsia="Arial" w:hAnsi="Arial"/>
                <w:sz w:val="14"/>
                <w:szCs w:val="14"/>
                <w:color w:val="auto"/>
              </w:rPr>
              <w:t>Proceeds from revolving credit facilities</w:t>
            </w:r>
          </w:p>
        </w:tc>
        <w:tc>
          <w:tcPr>
            <w:tcW w:w="88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151.7</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133.2</w:t>
            </w:r>
          </w:p>
        </w:tc>
      </w:tr>
      <w:tr>
        <w:trPr>
          <w:trHeight w:val="270"/>
        </w:trPr>
        <w:tc>
          <w:tcPr>
            <w:tcW w:w="7840" w:type="dxa"/>
            <w:vAlign w:val="bottom"/>
          </w:tcPr>
          <w:p>
            <w:pPr>
              <w:ind w:left="120"/>
              <w:spacing w:after="0"/>
              <w:rPr>
                <w:sz w:val="20"/>
                <w:szCs w:val="20"/>
                <w:color w:val="auto"/>
              </w:rPr>
            </w:pPr>
            <w:r>
              <w:rPr>
                <w:rFonts w:ascii="Arial" w:cs="Arial" w:eastAsia="Arial" w:hAnsi="Arial"/>
                <w:sz w:val="14"/>
                <w:szCs w:val="14"/>
                <w:color w:val="auto"/>
              </w:rPr>
              <w:t>Payments on revolving credit facilities</w:t>
            </w:r>
          </w:p>
        </w:tc>
        <w:tc>
          <w:tcPr>
            <w:tcW w:w="880" w:type="dxa"/>
            <w:vAlign w:val="bottom"/>
          </w:tcPr>
          <w:p>
            <w:pPr>
              <w:spacing w:after="0"/>
              <w:rPr>
                <w:sz w:val="23"/>
                <w:szCs w:val="23"/>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(151.7)</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(133.2)</w:t>
            </w:r>
          </w:p>
        </w:tc>
      </w:tr>
      <w:tr>
        <w:trPr>
          <w:trHeight w:val="270"/>
        </w:trPr>
        <w:tc>
          <w:tcPr>
            <w:tcW w:w="7840" w:type="dxa"/>
            <w:vAlign w:val="bottom"/>
          </w:tcPr>
          <w:p>
            <w:pPr>
              <w:ind w:left="120"/>
              <w:spacing w:after="0"/>
              <w:rPr>
                <w:sz w:val="20"/>
                <w:szCs w:val="20"/>
                <w:color w:val="auto"/>
              </w:rPr>
            </w:pPr>
            <w:r>
              <w:rPr>
                <w:rFonts w:ascii="Arial" w:cs="Arial" w:eastAsia="Arial" w:hAnsi="Arial"/>
                <w:sz w:val="14"/>
                <w:szCs w:val="14"/>
                <w:color w:val="auto"/>
              </w:rPr>
              <w:t>Net share settlement tax payments from issuance of stock to employees</w:t>
            </w:r>
          </w:p>
        </w:tc>
        <w:tc>
          <w:tcPr>
            <w:tcW w:w="880" w:type="dxa"/>
            <w:vAlign w:val="bottom"/>
          </w:tcPr>
          <w:p>
            <w:pPr>
              <w:spacing w:after="0"/>
              <w:rPr>
                <w:sz w:val="23"/>
                <w:szCs w:val="23"/>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(22.0)</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(19.4)</w:t>
            </w:r>
          </w:p>
        </w:tc>
      </w:tr>
      <w:tr>
        <w:trPr>
          <w:trHeight w:val="270"/>
        </w:trPr>
        <w:tc>
          <w:tcPr>
            <w:tcW w:w="7840" w:type="dxa"/>
            <w:vAlign w:val="bottom"/>
          </w:tcPr>
          <w:p>
            <w:pPr>
              <w:ind w:left="120"/>
              <w:spacing w:after="0"/>
              <w:rPr>
                <w:sz w:val="20"/>
                <w:szCs w:val="20"/>
                <w:color w:val="auto"/>
              </w:rPr>
            </w:pPr>
            <w:r>
              <w:rPr>
                <w:rFonts w:ascii="Arial" w:cs="Arial" w:eastAsia="Arial" w:hAnsi="Arial"/>
                <w:sz w:val="14"/>
                <w:szCs w:val="14"/>
                <w:color w:val="auto"/>
              </w:rPr>
              <w:t>Net proceeds from issuance of stock to employees</w:t>
            </w:r>
          </w:p>
        </w:tc>
        <w:tc>
          <w:tcPr>
            <w:tcW w:w="88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26.9</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24.7</w:t>
            </w:r>
          </w:p>
        </w:tc>
      </w:tr>
      <w:tr>
        <w:trPr>
          <w:trHeight w:val="270"/>
        </w:trPr>
        <w:tc>
          <w:tcPr>
            <w:tcW w:w="7840" w:type="dxa"/>
            <w:vAlign w:val="bottom"/>
          </w:tcPr>
          <w:p>
            <w:pPr>
              <w:ind w:left="120"/>
              <w:spacing w:after="0"/>
              <w:rPr>
                <w:sz w:val="20"/>
                <w:szCs w:val="20"/>
                <w:color w:val="auto"/>
              </w:rPr>
            </w:pPr>
            <w:r>
              <w:rPr>
                <w:rFonts w:ascii="Arial" w:cs="Arial" w:eastAsia="Arial" w:hAnsi="Arial"/>
                <w:sz w:val="14"/>
                <w:szCs w:val="14"/>
                <w:color w:val="auto"/>
              </w:rPr>
              <w:t>Purchase of common stock</w:t>
            </w:r>
          </w:p>
        </w:tc>
        <w:tc>
          <w:tcPr>
            <w:tcW w:w="880" w:type="dxa"/>
            <w:vAlign w:val="bottom"/>
          </w:tcPr>
          <w:p>
            <w:pPr>
              <w:spacing w:after="0"/>
              <w:rPr>
                <w:sz w:val="23"/>
                <w:szCs w:val="23"/>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(100.0)</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(100.1)</w:t>
            </w:r>
          </w:p>
        </w:tc>
      </w:tr>
      <w:tr>
        <w:trPr>
          <w:trHeight w:val="276"/>
        </w:trPr>
        <w:tc>
          <w:tcPr>
            <w:tcW w:w="7840" w:type="dxa"/>
            <w:vAlign w:val="bottom"/>
          </w:tcPr>
          <w:p>
            <w:pPr>
              <w:ind w:left="120"/>
              <w:spacing w:after="0"/>
              <w:rPr>
                <w:sz w:val="20"/>
                <w:szCs w:val="20"/>
                <w:color w:val="auto"/>
              </w:rPr>
            </w:pPr>
            <w:r>
              <w:rPr>
                <w:rFonts w:ascii="Arial" w:cs="Arial" w:eastAsia="Arial" w:hAnsi="Arial"/>
                <w:sz w:val="14"/>
                <w:szCs w:val="14"/>
                <w:color w:val="auto"/>
              </w:rPr>
              <w:t>Other</w:t>
            </w:r>
          </w:p>
        </w:tc>
        <w:tc>
          <w:tcPr>
            <w:tcW w:w="8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(7.7)</w:t>
            </w: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(8.4)</w:t>
            </w:r>
          </w:p>
        </w:tc>
      </w:tr>
      <w:tr>
        <w:trPr>
          <w:trHeight w:val="385"/>
        </w:trPr>
        <w:tc>
          <w:tcPr>
            <w:tcW w:w="7840" w:type="dxa"/>
            <w:vAlign w:val="bottom"/>
          </w:tcPr>
          <w:p>
            <w:pPr>
              <w:ind w:left="120"/>
              <w:spacing w:after="0"/>
              <w:rPr>
                <w:sz w:val="20"/>
                <w:szCs w:val="20"/>
                <w:color w:val="auto"/>
              </w:rPr>
            </w:pPr>
            <w:r>
              <w:rPr>
                <w:rFonts w:ascii="Arial" w:cs="Arial" w:eastAsia="Arial" w:hAnsi="Arial"/>
                <w:sz w:val="14"/>
                <w:szCs w:val="14"/>
                <w:color w:val="auto"/>
              </w:rPr>
              <w:t>Net cash used for financing activities</w:t>
            </w:r>
          </w:p>
        </w:tc>
        <w:tc>
          <w:tcPr>
            <w:tcW w:w="8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(102.8)</w:t>
            </w: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(103.2)</w:t>
            </w:r>
          </w:p>
        </w:tc>
      </w:tr>
      <w:tr>
        <w:trPr>
          <w:trHeight w:val="385"/>
        </w:trPr>
        <w:tc>
          <w:tcPr>
            <w:tcW w:w="7840" w:type="dxa"/>
            <w:vAlign w:val="bottom"/>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8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(8.3)</w:t>
            </w: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(0.1)</w:t>
            </w:r>
          </w:p>
        </w:tc>
      </w:tr>
      <w:tr>
        <w:trPr>
          <w:trHeight w:val="379"/>
        </w:trPr>
        <w:tc>
          <w:tcPr>
            <w:tcW w:w="7840" w:type="dxa"/>
            <w:vAlign w:val="bottom"/>
          </w:tcPr>
          <w:p>
            <w:pPr>
              <w:spacing w:after="0"/>
              <w:rPr>
                <w:sz w:val="20"/>
                <w:szCs w:val="20"/>
                <w:color w:val="auto"/>
              </w:rPr>
            </w:pPr>
            <w:r>
              <w:rPr>
                <w:rFonts w:ascii="Arial" w:cs="Arial" w:eastAsia="Arial" w:hAnsi="Arial"/>
                <w:sz w:val="14"/>
                <w:szCs w:val="14"/>
                <w:color w:val="auto"/>
              </w:rPr>
              <w:t>Net decrease in cash and cash equivalents</w:t>
            </w:r>
          </w:p>
        </w:tc>
        <w:tc>
          <w:tcPr>
            <w:tcW w:w="880" w:type="dxa"/>
            <w:vAlign w:val="bottom"/>
          </w:tcPr>
          <w:p>
            <w:pPr>
              <w:spacing w:after="0"/>
              <w:rPr>
                <w:sz w:val="24"/>
                <w:szCs w:val="24"/>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(13.9)</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(78.0)</w:t>
            </w:r>
          </w:p>
        </w:tc>
      </w:tr>
      <w:tr>
        <w:trPr>
          <w:trHeight w:val="270"/>
        </w:trPr>
        <w:tc>
          <w:tcPr>
            <w:tcW w:w="7840" w:type="dxa"/>
            <w:vAlign w:val="bottom"/>
          </w:tcPr>
          <w:p>
            <w:pPr>
              <w:spacing w:after="0"/>
              <w:rPr>
                <w:sz w:val="20"/>
                <w:szCs w:val="20"/>
                <w:color w:val="auto"/>
              </w:rPr>
            </w:pPr>
            <w:r>
              <w:rPr>
                <w:rFonts w:ascii="Arial" w:cs="Arial" w:eastAsia="Arial" w:hAnsi="Arial"/>
                <w:sz w:val="14"/>
                <w:szCs w:val="14"/>
                <w:color w:val="auto"/>
              </w:rPr>
              <w:t>Cash and cash equivalents at beginning of period</w:t>
            </w:r>
          </w:p>
        </w:tc>
        <w:tc>
          <w:tcPr>
            <w:tcW w:w="88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337.5</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426.8</w:t>
            </w:r>
          </w:p>
        </w:tc>
      </w:tr>
      <w:tr>
        <w:trPr>
          <w:trHeight w:val="134"/>
        </w:trPr>
        <w:tc>
          <w:tcPr>
            <w:tcW w:w="784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r>
      <w:tr>
        <w:trPr>
          <w:trHeight w:val="236"/>
        </w:trPr>
        <w:tc>
          <w:tcPr>
            <w:tcW w:w="7840" w:type="dxa"/>
            <w:vAlign w:val="bottom"/>
          </w:tcPr>
          <w:p>
            <w:pPr>
              <w:spacing w:after="0"/>
              <w:rPr>
                <w:sz w:val="20"/>
                <w:szCs w:val="20"/>
                <w:color w:val="auto"/>
              </w:rPr>
            </w:pPr>
            <w:r>
              <w:rPr>
                <w:rFonts w:ascii="Arial" w:cs="Arial" w:eastAsia="Arial" w:hAnsi="Arial"/>
                <w:sz w:val="14"/>
                <w:szCs w:val="14"/>
                <w:color w:val="auto"/>
              </w:rPr>
              <w:t>Cash and cash equivalents at end of period</w:t>
            </w:r>
          </w:p>
        </w:tc>
        <w:tc>
          <w:tcPr>
            <w:tcW w:w="8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323.6</w:t>
            </w:r>
          </w:p>
        </w:tc>
        <w:tc>
          <w:tcPr>
            <w:tcW w:w="200" w:type="dxa"/>
            <w:vAlign w:val="bottom"/>
          </w:tcPr>
          <w:p>
            <w:pPr>
              <w:spacing w:after="0"/>
              <w:rPr>
                <w:sz w:val="20"/>
                <w:szCs w:val="20"/>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348.8</w:t>
            </w:r>
          </w:p>
        </w:tc>
      </w:tr>
      <w:tr>
        <w:trPr>
          <w:trHeight w:val="20"/>
        </w:trPr>
        <w:tc>
          <w:tcPr>
            <w:tcW w:w="78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900"/>
          </w:cols>
          <w:pgMar w:left="520" w:top="1206" w:right="4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900"/>
          </w:cols>
          <w:pgMar w:left="520" w:top="1206" w:right="479" w:bottom="0" w:gutter="0" w:footer="0" w:header="0"/>
          <w:type w:val="continuous"/>
        </w:sectPr>
      </w:pPr>
    </w:p>
    <w:bookmarkStart w:id="13" w:name="page14"/>
    <w:bookmarkEnd w:id="13"/>
    <w:p>
      <w:pPr>
        <w:jc w:val="center"/>
        <w:spacing w:after="0" w:line="268" w:lineRule="auto"/>
        <w:rPr>
          <w:sz w:val="20"/>
          <w:szCs w:val="20"/>
          <w:color w:val="auto"/>
        </w:rPr>
      </w:pPr>
      <w:r>
        <w:rPr>
          <w:rFonts w:ascii="Arial" w:cs="Arial" w:eastAsia="Arial" w:hAnsi="Arial"/>
          <w:sz w:val="18"/>
          <w:szCs w:val="18"/>
          <w:b w:val="1"/>
          <w:bCs w:val="1"/>
          <w:color w:val="auto"/>
        </w:rPr>
        <w:t xml:space="preserve">LABORATORY CORPORATION OF AMERICA HOLDINGS Condensed Combined Non-GAAP Pro Forma Segment Information </w:t>
      </w:r>
      <w:r>
        <w:rPr>
          <w:rFonts w:ascii="Arial" w:cs="Arial" w:eastAsia="Arial" w:hAnsi="Arial"/>
          <w:sz w:val="18"/>
          <w:szCs w:val="18"/>
          <w:color w:val="auto"/>
        </w:rPr>
        <w:t>(Dollars in Millions)</w:t>
      </w:r>
    </w:p>
    <w:p>
      <w:pPr>
        <w:spacing w:after="0" w:line="333" w:lineRule="exact"/>
        <w:rPr>
          <w:sz w:val="20"/>
          <w:szCs w:val="20"/>
          <w:color w:val="auto"/>
        </w:rPr>
      </w:pPr>
    </w:p>
    <w:tbl>
      <w:tblPr>
        <w:tblLayout w:type="fixed"/>
        <w:tblInd w:w="1340" w:type="dxa"/>
        <w:tblCellMar>
          <w:top w:w="0" w:type="dxa"/>
          <w:left w:w="0" w:type="dxa"/>
          <w:bottom w:w="0" w:type="dxa"/>
          <w:right w:w="0" w:type="dxa"/>
        </w:tblCellMar>
      </w:tblPr>
      <w:tr>
        <w:trPr>
          <w:trHeight w:val="259"/>
        </w:trPr>
        <w:tc>
          <w:tcPr>
            <w:tcW w:w="1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288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8"/>
                <w:szCs w:val="18"/>
                <w:b w:val="1"/>
                <w:bCs w:val="1"/>
                <w:color w:val="auto"/>
              </w:rPr>
              <w:t>Three Months Ended March 31,</w:t>
            </w:r>
          </w:p>
        </w:tc>
      </w:tr>
      <w:tr>
        <w:trPr>
          <w:trHeight w:val="263"/>
        </w:trPr>
        <w:tc>
          <w:tcPr>
            <w:tcW w:w="1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16"/>
        </w:trPr>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LabCorp Diagnostics</w:t>
            </w:r>
          </w:p>
        </w:tc>
        <w:tc>
          <w:tcPr>
            <w:tcW w:w="39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91"/>
        </w:trPr>
        <w:tc>
          <w:tcPr>
            <w:tcW w:w="5720" w:type="dxa"/>
            <w:vAlign w:val="bottom"/>
            <w:gridSpan w:val="4"/>
          </w:tcPr>
          <w:p>
            <w:pPr>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1,702.0</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1,722.0</w:t>
            </w:r>
          </w:p>
        </w:tc>
      </w:tr>
      <w:tr>
        <w:trPr>
          <w:trHeight w:val="446"/>
        </w:trPr>
        <w:tc>
          <w:tcPr>
            <w:tcW w:w="5720" w:type="dxa"/>
            <w:vAlign w:val="bottom"/>
            <w:gridSpan w:val="4"/>
          </w:tcPr>
          <w:p>
            <w:pPr>
              <w:spacing w:after="0"/>
              <w:rPr>
                <w:sz w:val="20"/>
                <w:szCs w:val="20"/>
                <w:color w:val="auto"/>
              </w:rPr>
            </w:pPr>
            <w:r>
              <w:rPr>
                <w:rFonts w:ascii="Arial" w:cs="Arial" w:eastAsia="Arial" w:hAnsi="Arial"/>
                <w:sz w:val="18"/>
                <w:szCs w:val="18"/>
                <w:color w:val="auto"/>
              </w:rPr>
              <w:t>Adjusted Operating Income</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254.2</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310.4</w:t>
            </w:r>
          </w:p>
        </w:tc>
      </w:tr>
      <w:tr>
        <w:trPr>
          <w:trHeight w:val="270"/>
        </w:trPr>
        <w:tc>
          <w:tcPr>
            <w:tcW w:w="5720" w:type="dxa"/>
            <w:vAlign w:val="bottom"/>
            <w:gridSpan w:val="4"/>
          </w:tcPr>
          <w:p>
            <w:pPr>
              <w:ind w:left="240"/>
              <w:spacing w:after="0"/>
              <w:rPr>
                <w:sz w:val="20"/>
                <w:szCs w:val="20"/>
                <w:color w:val="auto"/>
              </w:rPr>
            </w:pPr>
            <w:r>
              <w:rPr>
                <w:rFonts w:ascii="Arial" w:cs="Arial" w:eastAsia="Arial" w:hAnsi="Arial"/>
                <w:sz w:val="18"/>
                <w:szCs w:val="18"/>
                <w:color w:val="auto"/>
              </w:rPr>
              <w:t>Adjusted Operating Margin</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553"/>
        </w:trPr>
        <w:tc>
          <w:tcPr>
            <w:tcW w:w="5720" w:type="dxa"/>
            <w:vAlign w:val="bottom"/>
            <w:gridSpan w:val="4"/>
          </w:tcPr>
          <w:p>
            <w:pPr>
              <w:spacing w:after="0"/>
              <w:rPr>
                <w:sz w:val="20"/>
                <w:szCs w:val="20"/>
                <w:color w:val="auto"/>
              </w:rPr>
            </w:pPr>
            <w:r>
              <w:rPr>
                <w:rFonts w:ascii="Arial" w:cs="Arial" w:eastAsia="Arial" w:hAnsi="Arial"/>
                <w:sz w:val="18"/>
                <w:szCs w:val="18"/>
                <w:b w:val="1"/>
                <w:bCs w:val="1"/>
                <w:color w:val="auto"/>
              </w:rPr>
              <w:t>Covance Drug Development</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91"/>
        </w:trPr>
        <w:tc>
          <w:tcPr>
            <w:tcW w:w="24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Revenues</w:t>
            </w:r>
          </w:p>
        </w:tc>
        <w:tc>
          <w:tcPr>
            <w:tcW w:w="3320" w:type="dxa"/>
            <w:vAlign w:val="bottom"/>
          </w:tcPr>
          <w:p>
            <w:pPr>
              <w:spacing w:after="0"/>
              <w:rPr>
                <w:sz w:val="24"/>
                <w:szCs w:val="24"/>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1,143.8</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1,074.7</w:t>
            </w:r>
          </w:p>
        </w:tc>
      </w:tr>
      <w:tr>
        <w:trPr>
          <w:trHeight w:val="446"/>
        </w:trPr>
        <w:tc>
          <w:tcPr>
            <w:tcW w:w="5720" w:type="dxa"/>
            <w:vAlign w:val="bottom"/>
            <w:gridSpan w:val="4"/>
          </w:tcPr>
          <w:p>
            <w:pPr>
              <w:spacing w:after="0"/>
              <w:rPr>
                <w:sz w:val="20"/>
                <w:szCs w:val="20"/>
                <w:color w:val="auto"/>
              </w:rPr>
            </w:pPr>
            <w:r>
              <w:rPr>
                <w:rFonts w:ascii="Arial" w:cs="Arial" w:eastAsia="Arial" w:hAnsi="Arial"/>
                <w:sz w:val="18"/>
                <w:szCs w:val="18"/>
                <w:color w:val="auto"/>
              </w:rPr>
              <w:t>Adjusted Operating Income</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150.8</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138.0</w:t>
            </w:r>
          </w:p>
        </w:tc>
      </w:tr>
      <w:tr>
        <w:trPr>
          <w:trHeight w:val="270"/>
        </w:trPr>
        <w:tc>
          <w:tcPr>
            <w:tcW w:w="5720" w:type="dxa"/>
            <w:vAlign w:val="bottom"/>
            <w:gridSpan w:val="4"/>
          </w:tcPr>
          <w:p>
            <w:pPr>
              <w:ind w:left="240"/>
              <w:spacing w:after="0"/>
              <w:rPr>
                <w:sz w:val="20"/>
                <w:szCs w:val="20"/>
                <w:color w:val="auto"/>
              </w:rPr>
            </w:pPr>
            <w:r>
              <w:rPr>
                <w:rFonts w:ascii="Arial" w:cs="Arial" w:eastAsia="Arial" w:hAnsi="Arial"/>
                <w:sz w:val="18"/>
                <w:szCs w:val="18"/>
                <w:color w:val="auto"/>
              </w:rPr>
              <w:t>Adjusted Operating Margin</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553"/>
        </w:trPr>
        <w:tc>
          <w:tcPr>
            <w:tcW w:w="5720" w:type="dxa"/>
            <w:vAlign w:val="bottom"/>
            <w:gridSpan w:val="4"/>
          </w:tcPr>
          <w:p>
            <w:pPr>
              <w:spacing w:after="0"/>
              <w:rPr>
                <w:sz w:val="20"/>
                <w:szCs w:val="20"/>
                <w:color w:val="auto"/>
              </w:rPr>
            </w:pPr>
            <w:r>
              <w:rPr>
                <w:rFonts w:ascii="Arial" w:cs="Arial" w:eastAsia="Arial" w:hAnsi="Arial"/>
                <w:sz w:val="18"/>
                <w:szCs w:val="18"/>
                <w:b w:val="1"/>
                <w:bCs w:val="1"/>
                <w:color w:val="auto"/>
              </w:rPr>
              <w:t>Consolidated</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91"/>
        </w:trPr>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Revenues</w:t>
            </w:r>
          </w:p>
        </w:tc>
        <w:tc>
          <w:tcPr>
            <w:tcW w:w="4580" w:type="dxa"/>
            <w:vAlign w:val="bottom"/>
            <w:gridSpan w:val="3"/>
          </w:tcPr>
          <w:p>
            <w:pPr>
              <w:spacing w:after="0"/>
              <w:rPr>
                <w:sz w:val="24"/>
                <w:szCs w:val="24"/>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2,823.8</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2,791.2</w:t>
            </w:r>
          </w:p>
        </w:tc>
      </w:tr>
      <w:tr>
        <w:trPr>
          <w:trHeight w:val="445"/>
        </w:trPr>
        <w:tc>
          <w:tcPr>
            <w:tcW w:w="5720" w:type="dxa"/>
            <w:vAlign w:val="bottom"/>
            <w:gridSpan w:val="4"/>
          </w:tcPr>
          <w:p>
            <w:pPr>
              <w:spacing w:after="0"/>
              <w:rPr>
                <w:sz w:val="20"/>
                <w:szCs w:val="20"/>
                <w:color w:val="auto"/>
              </w:rPr>
            </w:pPr>
            <w:r>
              <w:rPr>
                <w:rFonts w:ascii="Arial" w:cs="Arial" w:eastAsia="Arial" w:hAnsi="Arial"/>
                <w:sz w:val="18"/>
                <w:szCs w:val="18"/>
                <w:color w:val="auto"/>
              </w:rPr>
              <w:t>Adjusted Segment Operating Income</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405.0</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448.4</w:t>
            </w:r>
          </w:p>
        </w:tc>
      </w:tr>
      <w:tr>
        <w:trPr>
          <w:trHeight w:val="277"/>
        </w:trPr>
        <w:tc>
          <w:tcPr>
            <w:tcW w:w="5720" w:type="dxa"/>
            <w:vAlign w:val="bottom"/>
            <w:gridSpan w:val="4"/>
          </w:tcPr>
          <w:p>
            <w:pPr>
              <w:spacing w:after="0"/>
              <w:rPr>
                <w:sz w:val="20"/>
                <w:szCs w:val="20"/>
                <w:color w:val="auto"/>
              </w:rPr>
            </w:pPr>
            <w:r>
              <w:rPr>
                <w:rFonts w:ascii="Arial" w:cs="Arial" w:eastAsia="Arial" w:hAnsi="Arial"/>
                <w:sz w:val="18"/>
                <w:szCs w:val="18"/>
                <w:color w:val="auto"/>
              </w:rPr>
              <w:t>Unallocated corporate expense</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(39.1)</w:t>
            </w: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(37.0)</w:t>
            </w:r>
          </w:p>
        </w:tc>
      </w:tr>
      <w:tr>
        <w:trPr>
          <w:trHeight w:val="257"/>
        </w:trPr>
        <w:tc>
          <w:tcPr>
            <w:tcW w:w="5720" w:type="dxa"/>
            <w:vAlign w:val="bottom"/>
            <w:gridSpan w:val="4"/>
          </w:tcPr>
          <w:p>
            <w:pPr>
              <w:ind w:left="260"/>
              <w:spacing w:after="0"/>
              <w:rPr>
                <w:sz w:val="20"/>
                <w:szCs w:val="20"/>
                <w:color w:val="auto"/>
              </w:rPr>
            </w:pPr>
            <w:r>
              <w:rPr>
                <w:rFonts w:ascii="Arial" w:cs="Arial" w:eastAsia="Arial" w:hAnsi="Arial"/>
                <w:sz w:val="18"/>
                <w:szCs w:val="18"/>
                <w:color w:val="auto"/>
              </w:rPr>
              <w:t>Consolidated Adjusted Operating Income</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365.9</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411.4</w:t>
            </w:r>
          </w:p>
        </w:tc>
      </w:tr>
      <w:tr>
        <w:trPr>
          <w:trHeight w:val="270"/>
        </w:trPr>
        <w:tc>
          <w:tcPr>
            <w:tcW w:w="5720" w:type="dxa"/>
            <w:vAlign w:val="bottom"/>
            <w:gridSpan w:val="4"/>
          </w:tcPr>
          <w:p>
            <w:pPr>
              <w:ind w:left="240"/>
              <w:spacing w:after="0"/>
              <w:rPr>
                <w:sz w:val="20"/>
                <w:szCs w:val="20"/>
                <w:color w:val="auto"/>
              </w:rPr>
            </w:pPr>
            <w:r>
              <w:rPr>
                <w:rFonts w:ascii="Arial" w:cs="Arial" w:eastAsia="Arial" w:hAnsi="Arial"/>
                <w:sz w:val="18"/>
                <w:szCs w:val="18"/>
                <w:color w:val="auto"/>
              </w:rPr>
              <w:t>Adjusted Operating Margin</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14.7%</w:t>
            </w:r>
          </w:p>
        </w:tc>
      </w:tr>
    </w:tbl>
    <w:p>
      <w:pPr>
        <w:spacing w:after="0" w:line="280" w:lineRule="exact"/>
        <w:rPr>
          <w:sz w:val="20"/>
          <w:szCs w:val="20"/>
          <w:color w:val="auto"/>
        </w:rPr>
      </w:pPr>
    </w:p>
    <w:p>
      <w:pPr>
        <w:jc w:val="both"/>
        <w:spacing w:after="0" w:line="355" w:lineRule="auto"/>
        <w:rPr>
          <w:sz w:val="20"/>
          <w:szCs w:val="20"/>
          <w:color w:val="auto"/>
        </w:rPr>
      </w:pPr>
      <w:r>
        <w:rPr>
          <w:rFonts w:ascii="Arial" w:cs="Arial" w:eastAsia="Arial" w:hAnsi="Arial"/>
          <w:sz w:val="20"/>
          <w:szCs w:val="20"/>
          <w:color w:val="auto"/>
        </w:rPr>
        <w:t>The consolidated revenue and adjusted segment operating income are presented net of intersegment transaction eliminations and other amounts not used in determining segment performance. Adjusted operating income and adjusted operating margin are non-GAAP measures. See the subsequent reconciliation of non-GAAP financial measures.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765" w:right="339" w:bottom="1440" w:gutter="0" w:footer="0" w:header="0"/>
        </w:sectPr>
      </w:pPr>
    </w:p>
    <w:bookmarkStart w:id="14" w:name="page15"/>
    <w:bookmarkEnd w:id="14"/>
    <w:p>
      <w:pPr>
        <w:jc w:val="center"/>
        <w:ind w:right="-64"/>
        <w:spacing w:after="0"/>
        <w:rPr>
          <w:sz w:val="20"/>
          <w:szCs w:val="20"/>
          <w:color w:val="auto"/>
        </w:rPr>
      </w:pPr>
      <w:r>
        <w:rPr>
          <w:rFonts w:ascii="Arial" w:cs="Arial" w:eastAsia="Arial" w:hAnsi="Arial"/>
          <w:sz w:val="18"/>
          <w:szCs w:val="18"/>
          <w:b w:val="1"/>
          <w:bCs w:val="1"/>
          <w:color w:val="auto"/>
        </w:rPr>
        <w:t>LABORATORY CORPORATION OF AMERICA HOLDINGS</w:t>
      </w:r>
    </w:p>
    <w:p>
      <w:pPr>
        <w:spacing w:after="0" w:line="31" w:lineRule="exact"/>
        <w:rPr>
          <w:sz w:val="20"/>
          <w:szCs w:val="20"/>
          <w:color w:val="auto"/>
        </w:rPr>
      </w:pPr>
    </w:p>
    <w:p>
      <w:pPr>
        <w:ind w:left="3925"/>
        <w:spacing w:after="0"/>
        <w:rPr>
          <w:sz w:val="20"/>
          <w:szCs w:val="20"/>
          <w:color w:val="auto"/>
        </w:rPr>
      </w:pPr>
      <w:r>
        <w:rPr>
          <w:rFonts w:ascii="Arial" w:cs="Arial" w:eastAsia="Arial" w:hAnsi="Arial"/>
          <w:sz w:val="18"/>
          <w:szCs w:val="18"/>
          <w:b w:val="1"/>
          <w:bCs w:val="1"/>
          <w:color w:val="auto"/>
        </w:rPr>
        <w:t>Reconciliation of Non-GAAP Measures</w:t>
      </w:r>
    </w:p>
    <w:p>
      <w:pPr>
        <w:spacing w:after="0" w:line="9" w:lineRule="exact"/>
        <w:rPr>
          <w:sz w:val="20"/>
          <w:szCs w:val="20"/>
          <w:color w:val="auto"/>
        </w:rPr>
      </w:pPr>
    </w:p>
    <w:p>
      <w:pPr>
        <w:ind w:left="3905"/>
        <w:spacing w:after="0"/>
        <w:rPr>
          <w:sz w:val="20"/>
          <w:szCs w:val="20"/>
          <w:color w:val="auto"/>
        </w:rPr>
      </w:pPr>
      <w:r>
        <w:rPr>
          <w:rFonts w:ascii="Arial" w:cs="Arial" w:eastAsia="Arial" w:hAnsi="Arial"/>
          <w:sz w:val="18"/>
          <w:szCs w:val="18"/>
          <w:color w:val="auto"/>
        </w:rPr>
        <w:t>(Dollars in millions, except per share data)</w:t>
      </w:r>
    </w:p>
    <w:p>
      <w:pPr>
        <w:spacing w:after="0" w:line="167" w:lineRule="exact"/>
        <w:rPr>
          <w:sz w:val="20"/>
          <w:szCs w:val="20"/>
          <w:color w:val="auto"/>
        </w:rPr>
      </w:pPr>
    </w:p>
    <w:tbl>
      <w:tblPr>
        <w:tblLayout w:type="fixed"/>
        <w:tblInd w:w="1325" w:type="dxa"/>
        <w:tblCellMar>
          <w:top w:w="0" w:type="dxa"/>
          <w:left w:w="0" w:type="dxa"/>
          <w:bottom w:w="0" w:type="dxa"/>
          <w:right w:w="0" w:type="dxa"/>
        </w:tblCellMar>
      </w:tblPr>
      <w:tr>
        <w:trPr>
          <w:trHeight w:val="241"/>
        </w:trPr>
        <w:tc>
          <w:tcPr>
            <w:tcW w:w="1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48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63"/>
        </w:trPr>
        <w:tc>
          <w:tcPr>
            <w:tcW w:w="1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405"/>
        </w:trPr>
        <w:tc>
          <w:tcPr>
            <w:tcW w:w="2260" w:type="dxa"/>
            <w:vAlign w:val="bottom"/>
            <w:gridSpan w:val="4"/>
          </w:tcPr>
          <w:p>
            <w:pPr>
              <w:spacing w:after="0"/>
              <w:rPr>
                <w:sz w:val="20"/>
                <w:szCs w:val="20"/>
                <w:color w:val="auto"/>
              </w:rPr>
            </w:pPr>
            <w:r>
              <w:rPr>
                <w:rFonts w:ascii="Arial" w:cs="Arial" w:eastAsia="Arial" w:hAnsi="Arial"/>
                <w:sz w:val="16"/>
                <w:szCs w:val="16"/>
                <w:b w:val="1"/>
                <w:bCs w:val="1"/>
                <w:color w:val="auto"/>
              </w:rPr>
              <w:t>Adjusted Operating Income</w:t>
            </w:r>
          </w:p>
        </w:tc>
        <w:tc>
          <w:tcPr>
            <w:tcW w:w="3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66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Operating Income</w:t>
            </w:r>
          </w:p>
        </w:tc>
        <w:tc>
          <w:tcPr>
            <w:tcW w:w="4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(192.6)</w:t>
            </w:r>
          </w:p>
        </w:tc>
        <w:tc>
          <w:tcPr>
            <w:tcW w:w="10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318.2</w:t>
            </w:r>
          </w:p>
        </w:tc>
        <w:tc>
          <w:tcPr>
            <w:tcW w:w="0" w:type="dxa"/>
            <w:vAlign w:val="bottom"/>
          </w:tcPr>
          <w:p>
            <w:pPr>
              <w:spacing w:after="0"/>
              <w:rPr>
                <w:sz w:val="1"/>
                <w:szCs w:val="1"/>
                <w:color w:val="auto"/>
              </w:rPr>
            </w:pPr>
          </w:p>
        </w:tc>
      </w:tr>
      <w:tr>
        <w:trPr>
          <w:trHeight w:val="235"/>
        </w:trPr>
        <w:tc>
          <w:tcPr>
            <w:tcW w:w="6080" w:type="dxa"/>
            <w:vAlign w:val="bottom"/>
            <w:gridSpan w:val="5"/>
          </w:tcPr>
          <w:p>
            <w:pPr>
              <w:spacing w:after="0"/>
              <w:rPr>
                <w:sz w:val="20"/>
                <w:szCs w:val="20"/>
                <w:color w:val="auto"/>
              </w:rPr>
            </w:pPr>
            <w:r>
              <w:rPr>
                <w:rFonts w:ascii="Arial" w:cs="Arial" w:eastAsia="Arial" w:hAnsi="Arial"/>
                <w:sz w:val="16"/>
                <w:szCs w:val="16"/>
                <w:color w:val="auto"/>
              </w:rPr>
              <w:t>Amortization of intangibles and other</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1660" w:type="dxa"/>
            <w:vAlign w:val="bottom"/>
            <w:gridSpan w:val="2"/>
          </w:tcPr>
          <w:p>
            <w:pPr>
              <w:spacing w:after="0"/>
              <w:rPr>
                <w:sz w:val="20"/>
                <w:szCs w:val="20"/>
                <w:color w:val="auto"/>
              </w:rPr>
            </w:pPr>
            <w:r>
              <w:rPr>
                <w:rFonts w:ascii="Arial" w:cs="Arial" w:eastAsia="Arial" w:hAnsi="Arial"/>
                <w:sz w:val="16"/>
                <w:szCs w:val="16"/>
                <w:color w:val="auto"/>
              </w:rPr>
              <w:t>assets</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20" w:type="dxa"/>
            <w:vAlign w:val="bottom"/>
          </w:tcPr>
          <w:p>
            <w:pPr>
              <w:ind w:left="720"/>
              <w:spacing w:after="0"/>
              <w:rPr>
                <w:sz w:val="20"/>
                <w:szCs w:val="20"/>
                <w:color w:val="auto"/>
              </w:rPr>
            </w:pPr>
            <w:r>
              <w:rPr>
                <w:rFonts w:ascii="Arial" w:cs="Arial" w:eastAsia="Arial" w:hAnsi="Arial"/>
                <w:sz w:val="13"/>
                <w:szCs w:val="13"/>
                <w:color w:val="auto"/>
              </w:rPr>
              <w:t>(a)</w:t>
            </w:r>
          </w:p>
        </w:tc>
        <w:tc>
          <w:tcPr>
            <w:tcW w:w="260" w:type="dxa"/>
            <w:vAlign w:val="bottom"/>
          </w:tcPr>
          <w:p>
            <w:pPr>
              <w:spacing w:after="0"/>
              <w:rPr>
                <w:sz w:val="17"/>
                <w:szCs w:val="17"/>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62.3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57.1</w:t>
            </w:r>
          </w:p>
        </w:tc>
        <w:tc>
          <w:tcPr>
            <w:tcW w:w="0" w:type="dxa"/>
            <w:vAlign w:val="bottom"/>
          </w:tcPr>
          <w:p>
            <w:pPr>
              <w:spacing w:after="0"/>
              <w:rPr>
                <w:sz w:val="1"/>
                <w:szCs w:val="1"/>
                <w:color w:val="auto"/>
              </w:rPr>
            </w:pPr>
          </w:p>
        </w:tc>
      </w:tr>
      <w:tr>
        <w:trPr>
          <w:trHeight w:val="237"/>
        </w:trPr>
        <w:tc>
          <w:tcPr>
            <w:tcW w:w="2260" w:type="dxa"/>
            <w:vAlign w:val="bottom"/>
            <w:gridSpan w:val="4"/>
          </w:tcPr>
          <w:p>
            <w:pPr>
              <w:spacing w:after="0"/>
              <w:rPr>
                <w:sz w:val="20"/>
                <w:szCs w:val="20"/>
                <w:color w:val="auto"/>
              </w:rPr>
            </w:pPr>
            <w:r>
              <w:rPr>
                <w:rFonts w:ascii="Arial" w:cs="Arial" w:eastAsia="Arial" w:hAnsi="Arial"/>
                <w:sz w:val="16"/>
                <w:szCs w:val="16"/>
                <w:color w:val="auto"/>
              </w:rPr>
              <w:t>Restructuring and other</w:t>
            </w:r>
          </w:p>
        </w:tc>
        <w:tc>
          <w:tcPr>
            <w:tcW w:w="3820" w:type="dxa"/>
            <w:vAlign w:val="bottom"/>
            <w:vMerge w:val="restart"/>
          </w:tcPr>
          <w:p>
            <w:pPr>
              <w:ind w:left="60"/>
              <w:spacing w:after="0"/>
              <w:rPr>
                <w:sz w:val="20"/>
                <w:szCs w:val="20"/>
                <w:color w:val="auto"/>
              </w:rPr>
            </w:pPr>
            <w:r>
              <w:rPr>
                <w:rFonts w:ascii="Arial" w:cs="Arial" w:eastAsia="Arial" w:hAnsi="Arial"/>
                <w:sz w:val="13"/>
                <w:szCs w:val="13"/>
                <w:color w:val="auto"/>
              </w:rPr>
              <w:t>(b)</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660" w:type="dxa"/>
            <w:vAlign w:val="bottom"/>
            <w:gridSpan w:val="2"/>
          </w:tcPr>
          <w:p>
            <w:pPr>
              <w:spacing w:after="0"/>
              <w:rPr>
                <w:sz w:val="20"/>
                <w:szCs w:val="20"/>
                <w:color w:val="auto"/>
              </w:rPr>
            </w:pPr>
            <w:r>
              <w:rPr>
                <w:rFonts w:ascii="Arial" w:cs="Arial" w:eastAsia="Arial" w:hAnsi="Arial"/>
                <w:sz w:val="16"/>
                <w:szCs w:val="16"/>
                <w:color w:val="auto"/>
              </w:rPr>
              <w:t>charges</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25.4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35"/>
        </w:trPr>
        <w:tc>
          <w:tcPr>
            <w:tcW w:w="6080" w:type="dxa"/>
            <w:vAlign w:val="bottom"/>
            <w:gridSpan w:val="5"/>
          </w:tcPr>
          <w:p>
            <w:pPr>
              <w:spacing w:after="0"/>
              <w:rPr>
                <w:sz w:val="20"/>
                <w:szCs w:val="20"/>
                <w:color w:val="auto"/>
              </w:rPr>
            </w:pPr>
            <w:r>
              <w:rPr>
                <w:rFonts w:ascii="Arial" w:cs="Arial" w:eastAsia="Arial" w:hAnsi="Arial"/>
                <w:sz w:val="16"/>
                <w:szCs w:val="16"/>
                <w:color w:val="auto"/>
              </w:rPr>
              <w:t>Acquisition and disposition-related</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1660" w:type="dxa"/>
            <w:vAlign w:val="bottom"/>
            <w:gridSpan w:val="2"/>
          </w:tcPr>
          <w:p>
            <w:pPr>
              <w:spacing w:after="0"/>
              <w:rPr>
                <w:sz w:val="20"/>
                <w:szCs w:val="20"/>
                <w:color w:val="auto"/>
              </w:rPr>
            </w:pPr>
            <w:r>
              <w:rPr>
                <w:rFonts w:ascii="Arial" w:cs="Arial" w:eastAsia="Arial" w:hAnsi="Arial"/>
                <w:sz w:val="16"/>
                <w:szCs w:val="16"/>
                <w:color w:val="auto"/>
              </w:rPr>
              <w:t>costs</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20" w:type="dxa"/>
            <w:vAlign w:val="bottom"/>
          </w:tcPr>
          <w:p>
            <w:pPr>
              <w:ind w:left="520"/>
              <w:spacing w:after="0"/>
              <w:rPr>
                <w:sz w:val="20"/>
                <w:szCs w:val="20"/>
                <w:color w:val="auto"/>
              </w:rPr>
            </w:pPr>
            <w:r>
              <w:rPr>
                <w:rFonts w:ascii="Arial" w:cs="Arial" w:eastAsia="Arial" w:hAnsi="Arial"/>
                <w:sz w:val="13"/>
                <w:szCs w:val="13"/>
                <w:color w:val="auto"/>
              </w:rPr>
              <w:t>(c)</w:t>
            </w:r>
          </w:p>
        </w:tc>
        <w:tc>
          <w:tcPr>
            <w:tcW w:w="260" w:type="dxa"/>
            <w:vAlign w:val="bottom"/>
          </w:tcPr>
          <w:p>
            <w:pPr>
              <w:spacing w:after="0"/>
              <w:rPr>
                <w:sz w:val="17"/>
                <w:szCs w:val="17"/>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35"/>
        </w:trPr>
        <w:tc>
          <w:tcPr>
            <w:tcW w:w="6080" w:type="dxa"/>
            <w:vAlign w:val="bottom"/>
            <w:gridSpan w:val="5"/>
          </w:tcPr>
          <w:p>
            <w:pPr>
              <w:spacing w:after="0"/>
              <w:rPr>
                <w:sz w:val="20"/>
                <w:szCs w:val="20"/>
                <w:color w:val="auto"/>
              </w:rPr>
            </w:pPr>
            <w:r>
              <w:rPr>
                <w:rFonts w:ascii="Arial" w:cs="Arial" w:eastAsia="Arial" w:hAnsi="Arial"/>
                <w:sz w:val="16"/>
                <w:szCs w:val="16"/>
                <w:color w:val="auto"/>
              </w:rPr>
              <w:t>LaunchPad system implementation</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1660" w:type="dxa"/>
            <w:vAlign w:val="bottom"/>
            <w:gridSpan w:val="2"/>
          </w:tcPr>
          <w:p>
            <w:pPr>
              <w:spacing w:after="0"/>
              <w:rPr>
                <w:sz w:val="20"/>
                <w:szCs w:val="20"/>
                <w:color w:val="auto"/>
              </w:rPr>
            </w:pPr>
            <w:r>
              <w:rPr>
                <w:rFonts w:ascii="Arial" w:cs="Arial" w:eastAsia="Arial" w:hAnsi="Arial"/>
                <w:sz w:val="16"/>
                <w:szCs w:val="16"/>
                <w:color w:val="auto"/>
              </w:rPr>
              <w:t>costs</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20" w:type="dxa"/>
            <w:vAlign w:val="bottom"/>
          </w:tcPr>
          <w:p>
            <w:pPr>
              <w:ind w:left="520"/>
              <w:spacing w:after="0"/>
              <w:rPr>
                <w:sz w:val="20"/>
                <w:szCs w:val="20"/>
                <w:color w:val="auto"/>
              </w:rPr>
            </w:pPr>
            <w:r>
              <w:rPr>
                <w:rFonts w:ascii="Arial" w:cs="Arial" w:eastAsia="Arial" w:hAnsi="Arial"/>
                <w:sz w:val="13"/>
                <w:szCs w:val="13"/>
                <w:color w:val="auto"/>
              </w:rPr>
              <w:t>(d)</w:t>
            </w:r>
          </w:p>
        </w:tc>
        <w:tc>
          <w:tcPr>
            <w:tcW w:w="260" w:type="dxa"/>
            <w:vAlign w:val="bottom"/>
          </w:tcPr>
          <w:p>
            <w:pPr>
              <w:spacing w:after="0"/>
              <w:rPr>
                <w:sz w:val="17"/>
                <w:szCs w:val="17"/>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70"/>
        </w:trPr>
        <w:tc>
          <w:tcPr>
            <w:tcW w:w="2260" w:type="dxa"/>
            <w:vAlign w:val="bottom"/>
            <w:gridSpan w:val="4"/>
          </w:tcPr>
          <w:p>
            <w:pPr>
              <w:spacing w:after="0"/>
              <w:rPr>
                <w:sz w:val="20"/>
                <w:szCs w:val="20"/>
                <w:color w:val="auto"/>
              </w:rPr>
            </w:pPr>
            <w:r>
              <w:rPr>
                <w:rFonts w:ascii="Arial" w:cs="Arial" w:eastAsia="Arial" w:hAnsi="Arial"/>
                <w:sz w:val="16"/>
                <w:szCs w:val="16"/>
                <w:color w:val="auto"/>
              </w:rPr>
              <w:t>Executive transition expenses</w:t>
            </w:r>
          </w:p>
        </w:tc>
        <w:tc>
          <w:tcPr>
            <w:tcW w:w="3820" w:type="dxa"/>
            <w:vAlign w:val="bottom"/>
          </w:tcPr>
          <w:p>
            <w:pPr>
              <w:ind w:left="60"/>
              <w:spacing w:after="0"/>
              <w:rPr>
                <w:sz w:val="20"/>
                <w:szCs w:val="20"/>
                <w:color w:val="auto"/>
              </w:rPr>
            </w:pPr>
            <w:r>
              <w:rPr>
                <w:rFonts w:ascii="Arial" w:cs="Arial" w:eastAsia="Arial" w:hAnsi="Arial"/>
                <w:sz w:val="13"/>
                <w:szCs w:val="13"/>
                <w:color w:val="auto"/>
              </w:rPr>
              <w:t>(e)</w:t>
            </w:r>
          </w:p>
        </w:tc>
        <w:tc>
          <w:tcPr>
            <w:tcW w:w="260" w:type="dxa"/>
            <w:vAlign w:val="bottom"/>
          </w:tcPr>
          <w:p>
            <w:pPr>
              <w:spacing w:after="0"/>
              <w:rPr>
                <w:sz w:val="23"/>
                <w:szCs w:val="23"/>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1660" w:type="dxa"/>
            <w:vAlign w:val="bottom"/>
            <w:gridSpan w:val="2"/>
          </w:tcPr>
          <w:p>
            <w:pPr>
              <w:spacing w:after="0"/>
              <w:rPr>
                <w:sz w:val="20"/>
                <w:szCs w:val="20"/>
                <w:color w:val="auto"/>
              </w:rPr>
            </w:pPr>
            <w:r>
              <w:rPr>
                <w:rFonts w:ascii="Arial" w:cs="Arial" w:eastAsia="Arial" w:hAnsi="Arial"/>
                <w:sz w:val="16"/>
                <w:szCs w:val="16"/>
                <w:color w:val="auto"/>
              </w:rPr>
              <w:t>COVID-19 related</w:t>
            </w:r>
          </w:p>
        </w:tc>
        <w:tc>
          <w:tcPr>
            <w:tcW w:w="600" w:type="dxa"/>
            <w:vAlign w:val="bottom"/>
            <w:gridSpan w:val="2"/>
            <w:vMerge w:val="restart"/>
          </w:tcPr>
          <w:p>
            <w:pPr>
              <w:ind w:left="40"/>
              <w:spacing w:after="0"/>
              <w:rPr>
                <w:sz w:val="20"/>
                <w:szCs w:val="20"/>
                <w:color w:val="auto"/>
              </w:rPr>
            </w:pPr>
            <w:r>
              <w:rPr>
                <w:rFonts w:ascii="Arial" w:cs="Arial" w:eastAsia="Arial" w:hAnsi="Arial"/>
                <w:sz w:val="13"/>
                <w:szCs w:val="13"/>
                <w:color w:val="auto"/>
              </w:rPr>
              <w:t>(f)</w:t>
            </w:r>
          </w:p>
        </w:tc>
        <w:tc>
          <w:tcPr>
            <w:tcW w:w="3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660" w:type="dxa"/>
            <w:vAlign w:val="bottom"/>
            <w:gridSpan w:val="2"/>
          </w:tcPr>
          <w:p>
            <w:pPr>
              <w:spacing w:after="0"/>
              <w:rPr>
                <w:sz w:val="20"/>
                <w:szCs w:val="20"/>
                <w:color w:val="auto"/>
              </w:rPr>
            </w:pPr>
            <w:r>
              <w:rPr>
                <w:rFonts w:ascii="Arial" w:cs="Arial" w:eastAsia="Arial" w:hAnsi="Arial"/>
                <w:sz w:val="16"/>
                <w:szCs w:val="16"/>
                <w:color w:val="auto"/>
              </w:rPr>
              <w:t>costs</w:t>
            </w:r>
          </w:p>
        </w:tc>
        <w:tc>
          <w:tcPr>
            <w:tcW w:w="600" w:type="dxa"/>
            <w:vAlign w:val="bottom"/>
            <w:gridSpan w:val="2"/>
            <w:vMerge w:val="continue"/>
          </w:tcPr>
          <w:p>
            <w:pPr>
              <w:spacing w:after="0"/>
              <w:rPr>
                <w:sz w:val="16"/>
                <w:szCs w:val="16"/>
                <w:color w:val="auto"/>
              </w:rPr>
            </w:pPr>
          </w:p>
        </w:tc>
        <w:tc>
          <w:tcPr>
            <w:tcW w:w="3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5"/>
        </w:trPr>
        <w:tc>
          <w:tcPr>
            <w:tcW w:w="6080" w:type="dxa"/>
            <w:vAlign w:val="bottom"/>
            <w:gridSpan w:val="5"/>
          </w:tcPr>
          <w:p>
            <w:pPr>
              <w:spacing w:after="0"/>
              <w:rPr>
                <w:sz w:val="20"/>
                <w:szCs w:val="20"/>
                <w:color w:val="auto"/>
              </w:rPr>
            </w:pPr>
            <w:r>
              <w:rPr>
                <w:rFonts w:ascii="Arial" w:cs="Arial" w:eastAsia="Arial" w:hAnsi="Arial"/>
                <w:sz w:val="16"/>
                <w:szCs w:val="16"/>
                <w:color w:val="auto"/>
              </w:rPr>
              <w:t xml:space="preserve">Goodwill and other asset impairments </w:t>
            </w:r>
            <w:r>
              <w:rPr>
                <w:rFonts w:ascii="Arial" w:cs="Arial" w:eastAsia="Arial" w:hAnsi="Arial"/>
                <w:sz w:val="26"/>
                <w:szCs w:val="26"/>
                <w:color w:val="auto"/>
                <w:vertAlign w:val="superscript"/>
              </w:rPr>
              <w:t>(g)</w:t>
            </w:r>
          </w:p>
        </w:tc>
        <w:tc>
          <w:tcPr>
            <w:tcW w:w="260" w:type="dxa"/>
            <w:vAlign w:val="bottom"/>
          </w:tcPr>
          <w:p>
            <w:pPr>
              <w:spacing w:after="0"/>
              <w:rPr>
                <w:sz w:val="24"/>
                <w:szCs w:val="24"/>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437.4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1660" w:type="dxa"/>
            <w:vAlign w:val="bottom"/>
            <w:gridSpan w:val="2"/>
          </w:tcPr>
          <w:p>
            <w:pPr>
              <w:spacing w:after="0"/>
              <w:rPr>
                <w:sz w:val="20"/>
                <w:szCs w:val="20"/>
                <w:color w:val="auto"/>
              </w:rPr>
            </w:pPr>
            <w:r>
              <w:rPr>
                <w:rFonts w:ascii="Arial" w:cs="Arial" w:eastAsia="Arial" w:hAnsi="Arial"/>
                <w:sz w:val="16"/>
                <w:szCs w:val="16"/>
                <w:color w:val="auto"/>
              </w:rPr>
              <w:t>Other</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37"/>
        </w:trPr>
        <w:tc>
          <w:tcPr>
            <w:tcW w:w="2260" w:type="dxa"/>
            <w:vAlign w:val="bottom"/>
            <w:gridSpan w:val="4"/>
          </w:tcPr>
          <w:p>
            <w:pPr>
              <w:spacing w:after="0"/>
              <w:rPr>
                <w:sz w:val="20"/>
                <w:szCs w:val="20"/>
                <w:color w:val="auto"/>
              </w:rPr>
            </w:pPr>
            <w:r>
              <w:rPr>
                <w:rFonts w:ascii="Arial" w:cs="Arial" w:eastAsia="Arial" w:hAnsi="Arial"/>
                <w:sz w:val="16"/>
                <w:szCs w:val="16"/>
                <w:color w:val="auto"/>
              </w:rPr>
              <w:t>Adjusted operating income</w:t>
            </w:r>
          </w:p>
        </w:tc>
        <w:tc>
          <w:tcPr>
            <w:tcW w:w="3820" w:type="dxa"/>
            <w:vAlign w:val="bottom"/>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365.9</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411.4</w:t>
            </w:r>
          </w:p>
        </w:tc>
        <w:tc>
          <w:tcPr>
            <w:tcW w:w="0" w:type="dxa"/>
            <w:vAlign w:val="bottom"/>
          </w:tcPr>
          <w:p>
            <w:pPr>
              <w:spacing w:after="0"/>
              <w:rPr>
                <w:sz w:val="1"/>
                <w:szCs w:val="1"/>
                <w:color w:val="auto"/>
              </w:rPr>
            </w:pPr>
          </w:p>
        </w:tc>
      </w:tr>
      <w:tr>
        <w:trPr>
          <w:trHeight w:val="20"/>
        </w:trPr>
        <w:tc>
          <w:tcPr>
            <w:tcW w:w="1660" w:type="dxa"/>
            <w:vAlign w:val="bottom"/>
            <w:gridSpan w:val="2"/>
            <w:vMerge w:val="restart"/>
          </w:tcPr>
          <w:p>
            <w:pPr>
              <w:spacing w:after="0"/>
              <w:rPr>
                <w:sz w:val="20"/>
                <w:szCs w:val="20"/>
                <w:color w:val="auto"/>
              </w:rPr>
            </w:pPr>
            <w:r>
              <w:rPr>
                <w:rFonts w:ascii="Arial" w:cs="Arial" w:eastAsia="Arial" w:hAnsi="Arial"/>
                <w:sz w:val="16"/>
                <w:szCs w:val="16"/>
                <w:color w:val="auto"/>
              </w:rPr>
              <w:t>Adjustments impacting</w:t>
            </w: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20" w:type="dxa"/>
            <w:vAlign w:val="bottom"/>
            <w:vMerge w:val="restart"/>
          </w:tcPr>
          <w:p>
            <w:pPr>
              <w:ind w:left="180"/>
              <w:spacing w:after="0"/>
              <w:rPr>
                <w:sz w:val="20"/>
                <w:szCs w:val="20"/>
                <w:color w:val="auto"/>
              </w:rPr>
            </w:pPr>
            <w:r>
              <w:rPr>
                <w:rFonts w:ascii="Arial" w:cs="Arial" w:eastAsia="Arial" w:hAnsi="Arial"/>
                <w:sz w:val="13"/>
                <w:szCs w:val="13"/>
                <w:color w:val="auto"/>
              </w:rPr>
              <w:t>(h)</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166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660" w:type="dxa"/>
            <w:vAlign w:val="bottom"/>
            <w:gridSpan w:val="2"/>
          </w:tcPr>
          <w:p>
            <w:pPr>
              <w:spacing w:after="0"/>
              <w:rPr>
                <w:sz w:val="20"/>
                <w:szCs w:val="20"/>
                <w:color w:val="auto"/>
              </w:rPr>
            </w:pPr>
            <w:r>
              <w:rPr>
                <w:rFonts w:ascii="Arial" w:cs="Arial" w:eastAsia="Arial" w:hAnsi="Arial"/>
                <w:sz w:val="16"/>
                <w:szCs w:val="16"/>
                <w:color w:val="auto"/>
              </w:rPr>
              <w:t>revenues</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20" w:type="dxa"/>
            <w:vAlign w:val="bottom"/>
            <w:vMerge w:val="continue"/>
          </w:tcPr>
          <w:p>
            <w:pPr>
              <w:spacing w:after="0"/>
              <w:rPr>
                <w:sz w:val="16"/>
                <w:szCs w:val="16"/>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6"/>
                <w:szCs w:val="16"/>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05"/>
        </w:trPr>
        <w:tc>
          <w:tcPr>
            <w:tcW w:w="2260" w:type="dxa"/>
            <w:vAlign w:val="bottom"/>
            <w:gridSpan w:val="4"/>
          </w:tcPr>
          <w:p>
            <w:pPr>
              <w:spacing w:after="0"/>
              <w:rPr>
                <w:sz w:val="20"/>
                <w:szCs w:val="20"/>
                <w:color w:val="auto"/>
              </w:rPr>
            </w:pPr>
            <w:r>
              <w:rPr>
                <w:rFonts w:ascii="Arial" w:cs="Arial" w:eastAsia="Arial" w:hAnsi="Arial"/>
                <w:sz w:val="16"/>
                <w:szCs w:val="16"/>
                <w:color w:val="auto"/>
              </w:rPr>
              <w:t>Adjusted operating margin</w:t>
            </w:r>
          </w:p>
        </w:tc>
        <w:tc>
          <w:tcPr>
            <w:tcW w:w="3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370"/>
        </w:trPr>
        <w:tc>
          <w:tcPr>
            <w:tcW w:w="16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Adjusted Net Income</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166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(317.2)</w:t>
            </w:r>
          </w:p>
        </w:tc>
        <w:tc>
          <w:tcPr>
            <w:tcW w:w="10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185.6</w:t>
            </w:r>
          </w:p>
        </w:tc>
        <w:tc>
          <w:tcPr>
            <w:tcW w:w="0" w:type="dxa"/>
            <w:vAlign w:val="bottom"/>
          </w:tcPr>
          <w:p>
            <w:pPr>
              <w:spacing w:after="0"/>
              <w:rPr>
                <w:sz w:val="1"/>
                <w:szCs w:val="1"/>
                <w:color w:val="auto"/>
              </w:rPr>
            </w:pPr>
          </w:p>
        </w:tc>
      </w:tr>
      <w:tr>
        <w:trPr>
          <w:trHeight w:val="270"/>
        </w:trPr>
        <w:tc>
          <w:tcPr>
            <w:tcW w:w="6080" w:type="dxa"/>
            <w:vAlign w:val="bottom"/>
            <w:gridSpan w:val="5"/>
          </w:tcPr>
          <w:p>
            <w:pPr>
              <w:ind w:left="140"/>
              <w:spacing w:after="0"/>
              <w:rPr>
                <w:sz w:val="20"/>
                <w:szCs w:val="20"/>
                <w:color w:val="auto"/>
              </w:rPr>
            </w:pPr>
            <w:r>
              <w:rPr>
                <w:rFonts w:ascii="Arial" w:cs="Arial" w:eastAsia="Arial" w:hAnsi="Arial"/>
                <w:sz w:val="16"/>
                <w:szCs w:val="16"/>
                <w:color w:val="auto"/>
              </w:rPr>
              <w:t>Impact of adjustments to operating income</w:t>
            </w:r>
          </w:p>
        </w:tc>
        <w:tc>
          <w:tcPr>
            <w:tcW w:w="260" w:type="dxa"/>
            <w:vAlign w:val="bottom"/>
          </w:tcPr>
          <w:p>
            <w:pPr>
              <w:spacing w:after="0"/>
              <w:rPr>
                <w:sz w:val="23"/>
                <w:szCs w:val="23"/>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558.5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93.2</w:t>
            </w:r>
          </w:p>
        </w:tc>
        <w:tc>
          <w:tcPr>
            <w:tcW w:w="0" w:type="dxa"/>
            <w:vAlign w:val="bottom"/>
          </w:tcPr>
          <w:p>
            <w:pPr>
              <w:spacing w:after="0"/>
              <w:rPr>
                <w:sz w:val="1"/>
                <w:szCs w:val="1"/>
                <w:color w:val="auto"/>
              </w:rPr>
            </w:pPr>
          </w:p>
        </w:tc>
      </w:tr>
      <w:tr>
        <w:trPr>
          <w:trHeight w:val="235"/>
        </w:trPr>
        <w:tc>
          <w:tcPr>
            <w:tcW w:w="6080" w:type="dxa"/>
            <w:vAlign w:val="bottom"/>
            <w:gridSpan w:val="5"/>
          </w:tcPr>
          <w:p>
            <w:pPr>
              <w:ind w:left="140"/>
              <w:spacing w:after="0"/>
              <w:rPr>
                <w:sz w:val="20"/>
                <w:szCs w:val="20"/>
                <w:color w:val="auto"/>
              </w:rPr>
            </w:pPr>
            <w:r>
              <w:rPr>
                <w:rFonts w:ascii="Arial" w:cs="Arial" w:eastAsia="Arial" w:hAnsi="Arial"/>
                <w:sz w:val="16"/>
                <w:szCs w:val="16"/>
                <w:color w:val="auto"/>
              </w:rPr>
              <w:t>Losses on venture fund investments,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1660" w:type="dxa"/>
            <w:vAlign w:val="bottom"/>
            <w:gridSpan w:val="2"/>
          </w:tcPr>
          <w:p>
            <w:pPr>
              <w:spacing w:after="0"/>
              <w:rPr>
                <w:sz w:val="20"/>
                <w:szCs w:val="20"/>
                <w:color w:val="auto"/>
              </w:rPr>
            </w:pPr>
            <w:r>
              <w:rPr>
                <w:rFonts w:ascii="Arial" w:cs="Arial" w:eastAsia="Arial" w:hAnsi="Arial"/>
                <w:sz w:val="16"/>
                <w:szCs w:val="16"/>
                <w:color w:val="auto"/>
              </w:rPr>
              <w:t>net</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20" w:type="dxa"/>
            <w:vAlign w:val="bottom"/>
          </w:tcPr>
          <w:p>
            <w:pPr>
              <w:ind w:left="720"/>
              <w:spacing w:after="0"/>
              <w:rPr>
                <w:sz w:val="20"/>
                <w:szCs w:val="20"/>
                <w:color w:val="auto"/>
              </w:rPr>
            </w:pPr>
            <w:r>
              <w:rPr>
                <w:rFonts w:ascii="Arial" w:cs="Arial" w:eastAsia="Arial" w:hAnsi="Arial"/>
                <w:sz w:val="13"/>
                <w:szCs w:val="13"/>
                <w:color w:val="auto"/>
              </w:rPr>
              <w:t>(i)</w:t>
            </w:r>
          </w:p>
        </w:tc>
        <w:tc>
          <w:tcPr>
            <w:tcW w:w="260" w:type="dxa"/>
            <w:vAlign w:val="bottom"/>
          </w:tcPr>
          <w:p>
            <w:pPr>
              <w:spacing w:after="0"/>
              <w:rPr>
                <w:sz w:val="17"/>
                <w:szCs w:val="17"/>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37"/>
        </w:trPr>
        <w:tc>
          <w:tcPr>
            <w:tcW w:w="1660" w:type="dxa"/>
            <w:vAlign w:val="bottom"/>
            <w:gridSpan w:val="2"/>
          </w:tcPr>
          <w:p>
            <w:pPr>
              <w:ind w:left="140"/>
              <w:spacing w:after="0"/>
              <w:rPr>
                <w:sz w:val="20"/>
                <w:szCs w:val="20"/>
                <w:color w:val="auto"/>
              </w:rPr>
            </w:pPr>
            <w:r>
              <w:rPr>
                <w:rFonts w:ascii="Arial" w:cs="Arial" w:eastAsia="Arial" w:hAnsi="Arial"/>
                <w:sz w:val="16"/>
                <w:szCs w:val="16"/>
                <w:color w:val="auto"/>
              </w:rPr>
              <w:t>Income tax impact of</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20" w:type="dxa"/>
            <w:vAlign w:val="bottom"/>
            <w:vMerge w:val="restart"/>
          </w:tcPr>
          <w:p>
            <w:pPr>
              <w:ind w:left="180"/>
              <w:spacing w:after="0"/>
              <w:rPr>
                <w:sz w:val="20"/>
                <w:szCs w:val="20"/>
                <w:color w:val="auto"/>
              </w:rPr>
            </w:pPr>
            <w:r>
              <w:rPr>
                <w:rFonts w:ascii="Arial" w:cs="Arial" w:eastAsia="Arial" w:hAnsi="Arial"/>
                <w:sz w:val="13"/>
                <w:szCs w:val="13"/>
                <w:color w:val="auto"/>
              </w:rPr>
              <w:t>(j)</w:t>
            </w:r>
          </w:p>
        </w:tc>
        <w:tc>
          <w:tcPr>
            <w:tcW w:w="260" w:type="dxa"/>
            <w:vAlign w:val="bottom"/>
          </w:tcPr>
          <w:p>
            <w:pPr>
              <w:spacing w:after="0"/>
              <w:rPr>
                <w:sz w:val="20"/>
                <w:szCs w:val="20"/>
                <w:color w:val="auto"/>
              </w:rPr>
            </w:pPr>
          </w:p>
        </w:tc>
        <w:tc>
          <w:tcPr>
            <w:tcW w:w="920" w:type="dxa"/>
            <w:vAlign w:val="bottom"/>
            <w:vMerge w:val="restart"/>
          </w:tcPr>
          <w:p>
            <w:pPr>
              <w:jc w:val="right"/>
              <w:ind w:right="39"/>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vMerge w:val="restart"/>
          </w:tcPr>
          <w:p>
            <w:pPr>
              <w:jc w:val="right"/>
              <w:ind w:right="59"/>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08"/>
        </w:trPr>
        <w:tc>
          <w:tcPr>
            <w:tcW w:w="1660" w:type="dxa"/>
            <w:vAlign w:val="bottom"/>
            <w:gridSpan w:val="2"/>
          </w:tcPr>
          <w:p>
            <w:pPr>
              <w:spacing w:after="0"/>
              <w:rPr>
                <w:sz w:val="20"/>
                <w:szCs w:val="20"/>
                <w:color w:val="auto"/>
              </w:rPr>
            </w:pPr>
            <w:r>
              <w:rPr>
                <w:rFonts w:ascii="Arial" w:cs="Arial" w:eastAsia="Arial" w:hAnsi="Arial"/>
                <w:sz w:val="16"/>
                <w:szCs w:val="16"/>
                <w:color w:val="auto"/>
              </w:rPr>
              <w:t>adjustments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2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1660" w:type="dxa"/>
            <w:vAlign w:val="bottom"/>
            <w:gridSpan w:val="2"/>
          </w:tcPr>
          <w:p>
            <w:pPr>
              <w:spacing w:after="0"/>
              <w:rPr>
                <w:sz w:val="20"/>
                <w:szCs w:val="20"/>
                <w:color w:val="auto"/>
              </w:rPr>
            </w:pPr>
            <w:r>
              <w:rPr>
                <w:rFonts w:ascii="Arial" w:cs="Arial" w:eastAsia="Arial" w:hAnsi="Arial"/>
                <w:sz w:val="16"/>
                <w:szCs w:val="16"/>
                <w:color w:val="auto"/>
              </w:rPr>
              <w:t>Adjusted net income</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232.1</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260.7</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6080" w:type="dxa"/>
            <w:vAlign w:val="bottom"/>
            <w:gridSpan w:val="5"/>
          </w:tcPr>
          <w:p>
            <w:pPr>
              <w:spacing w:after="0"/>
              <w:rPr>
                <w:sz w:val="20"/>
                <w:szCs w:val="20"/>
                <w:color w:val="auto"/>
              </w:rPr>
            </w:pPr>
            <w:r>
              <w:rPr>
                <w:rFonts w:ascii="Arial" w:cs="Arial" w:eastAsia="Arial" w:hAnsi="Arial"/>
                <w:sz w:val="16"/>
                <w:szCs w:val="16"/>
                <w:color w:val="auto"/>
              </w:rPr>
              <w:t>Weighted average diluted shares outstanding</w:t>
            </w:r>
          </w:p>
        </w:tc>
        <w:tc>
          <w:tcPr>
            <w:tcW w:w="260" w:type="dxa"/>
            <w:vAlign w:val="bottom"/>
          </w:tcPr>
          <w:p>
            <w:pPr>
              <w:spacing w:after="0"/>
              <w:rPr>
                <w:sz w:val="24"/>
                <w:szCs w:val="24"/>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97.9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99.5</w:t>
            </w:r>
          </w:p>
        </w:tc>
        <w:tc>
          <w:tcPr>
            <w:tcW w:w="0" w:type="dxa"/>
            <w:vAlign w:val="bottom"/>
          </w:tcPr>
          <w:p>
            <w:pPr>
              <w:spacing w:after="0"/>
              <w:rPr>
                <w:sz w:val="1"/>
                <w:szCs w:val="1"/>
                <w:color w:val="auto"/>
              </w:rPr>
            </w:pPr>
          </w:p>
        </w:tc>
      </w:tr>
      <w:tr>
        <w:trPr>
          <w:trHeight w:val="459"/>
        </w:trPr>
        <w:tc>
          <w:tcPr>
            <w:tcW w:w="2260" w:type="dxa"/>
            <w:vAlign w:val="bottom"/>
            <w:gridSpan w:val="4"/>
          </w:tcPr>
          <w:p>
            <w:pPr>
              <w:spacing w:after="0"/>
              <w:rPr>
                <w:sz w:val="20"/>
                <w:szCs w:val="20"/>
                <w:color w:val="auto"/>
              </w:rPr>
            </w:pPr>
            <w:r>
              <w:rPr>
                <w:rFonts w:ascii="Arial" w:cs="Arial" w:eastAsia="Arial" w:hAnsi="Arial"/>
                <w:sz w:val="16"/>
                <w:szCs w:val="16"/>
                <w:color w:val="auto"/>
              </w:rPr>
              <w:t>Adjusted net income per share</w:t>
            </w:r>
          </w:p>
        </w:tc>
        <w:tc>
          <w:tcPr>
            <w:tcW w:w="382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565" w:hanging="565"/>
        <w:spacing w:after="0"/>
        <w:tabs>
          <w:tab w:leader="none" w:pos="565" w:val="left"/>
        </w:tabs>
        <w:numPr>
          <w:ilvl w:val="0"/>
          <w:numId w:val="3"/>
        </w:numPr>
        <w:rPr>
          <w:rFonts w:ascii="Arial" w:cs="Arial" w:eastAsia="Arial" w:hAnsi="Arial"/>
          <w:sz w:val="13"/>
          <w:szCs w:val="13"/>
          <w:color w:val="auto"/>
        </w:rPr>
      </w:pPr>
      <w:r>
        <w:rPr>
          <w:rFonts w:ascii="Arial" w:cs="Arial" w:eastAsia="Arial" w:hAnsi="Arial"/>
          <w:sz w:val="13"/>
          <w:szCs w:val="13"/>
          <w:color w:val="auto"/>
        </w:rPr>
        <w:t>Amortization of intangible assets acquired as part of business acquisitions.</w:t>
      </w:r>
    </w:p>
    <w:p>
      <w:pPr>
        <w:spacing w:after="0" w:line="39" w:lineRule="exact"/>
        <w:rPr>
          <w:rFonts w:ascii="Arial" w:cs="Arial" w:eastAsia="Arial" w:hAnsi="Arial"/>
          <w:sz w:val="13"/>
          <w:szCs w:val="13"/>
          <w:color w:val="auto"/>
        </w:rPr>
      </w:pPr>
    </w:p>
    <w:p>
      <w:pPr>
        <w:ind w:left="565" w:hanging="565"/>
        <w:spacing w:after="0" w:line="230" w:lineRule="auto"/>
        <w:tabs>
          <w:tab w:leader="none" w:pos="565" w:val="left"/>
        </w:tabs>
        <w:numPr>
          <w:ilvl w:val="0"/>
          <w:numId w:val="3"/>
        </w:numPr>
        <w:rPr>
          <w:rFonts w:ascii="Arial" w:cs="Arial" w:eastAsia="Arial" w:hAnsi="Arial"/>
          <w:sz w:val="13"/>
          <w:szCs w:val="13"/>
          <w:color w:val="auto"/>
        </w:rPr>
      </w:pPr>
      <w:r>
        <w:rPr>
          <w:rFonts w:ascii="Arial" w:cs="Arial" w:eastAsia="Arial" w:hAnsi="Arial"/>
          <w:sz w:val="13"/>
          <w:szCs w:val="13"/>
          <w:color w:val="auto"/>
        </w:rPr>
        <w:t>Restructuring and other charges represent amounts incurred in connection with the elimination of redundant positions within the organization in connection with our LaunchPad initiatives and acquisitions or dispositions of businesses by the Company.</w:t>
      </w:r>
    </w:p>
    <w:p>
      <w:pPr>
        <w:spacing w:after="0" w:line="37" w:lineRule="exact"/>
        <w:rPr>
          <w:rFonts w:ascii="Arial" w:cs="Arial" w:eastAsia="Arial" w:hAnsi="Arial"/>
          <w:sz w:val="13"/>
          <w:szCs w:val="13"/>
          <w:color w:val="auto"/>
        </w:rPr>
      </w:pPr>
    </w:p>
    <w:p>
      <w:pPr>
        <w:ind w:left="565" w:right="640" w:hanging="565"/>
        <w:spacing w:after="0" w:line="230" w:lineRule="auto"/>
        <w:tabs>
          <w:tab w:leader="none" w:pos="565" w:val="left"/>
        </w:tabs>
        <w:numPr>
          <w:ilvl w:val="0"/>
          <w:numId w:val="3"/>
        </w:numPr>
        <w:rPr>
          <w:rFonts w:ascii="Arial" w:cs="Arial" w:eastAsia="Arial" w:hAnsi="Arial"/>
          <w:sz w:val="13"/>
          <w:szCs w:val="13"/>
          <w:color w:val="auto"/>
        </w:rPr>
      </w:pPr>
      <w:r>
        <w:rPr>
          <w:rFonts w:ascii="Arial" w:cs="Arial" w:eastAsia="Arial" w:hAnsi="Arial"/>
          <w:sz w:val="13"/>
          <w:szCs w:val="13"/>
          <w:color w:val="auto"/>
        </w:rPr>
        <w:t>Acquisition and disposition-related costs include due-diligence legal and advisory fees, retention bonuses and other integration and disposition related activities in connection with contemplated and completed transactions.</w:t>
      </w:r>
    </w:p>
    <w:p>
      <w:pPr>
        <w:spacing w:after="0" w:line="37" w:lineRule="exact"/>
        <w:rPr>
          <w:rFonts w:ascii="Arial" w:cs="Arial" w:eastAsia="Arial" w:hAnsi="Arial"/>
          <w:sz w:val="13"/>
          <w:szCs w:val="13"/>
          <w:color w:val="auto"/>
        </w:rPr>
      </w:pPr>
    </w:p>
    <w:p>
      <w:pPr>
        <w:ind w:left="565" w:hanging="565"/>
        <w:spacing w:after="0"/>
        <w:tabs>
          <w:tab w:leader="none" w:pos="565" w:val="left"/>
        </w:tabs>
        <w:numPr>
          <w:ilvl w:val="0"/>
          <w:numId w:val="3"/>
        </w:numPr>
        <w:rPr>
          <w:rFonts w:ascii="Arial" w:cs="Arial" w:eastAsia="Arial" w:hAnsi="Arial"/>
          <w:sz w:val="12"/>
          <w:szCs w:val="12"/>
          <w:color w:val="auto"/>
        </w:rPr>
      </w:pPr>
      <w:r>
        <w:rPr>
          <w:rFonts w:ascii="Arial" w:cs="Arial" w:eastAsia="Arial" w:hAnsi="Arial"/>
          <w:sz w:val="12"/>
          <w:szCs w:val="12"/>
          <w:color w:val="auto"/>
        </w:rPr>
        <w:t>LaunchPad system implementation costs include non-capitalized costs associated with the implementation of a system as part of the LaunchPad business process improvement initiative.</w:t>
      </w:r>
    </w:p>
    <w:p>
      <w:pPr>
        <w:spacing w:after="0" w:line="51" w:lineRule="exact"/>
        <w:rPr>
          <w:rFonts w:ascii="Arial" w:cs="Arial" w:eastAsia="Arial" w:hAnsi="Arial"/>
          <w:sz w:val="12"/>
          <w:szCs w:val="12"/>
          <w:color w:val="auto"/>
        </w:rPr>
      </w:pPr>
    </w:p>
    <w:p>
      <w:pPr>
        <w:ind w:left="565" w:hanging="565"/>
        <w:spacing w:after="0"/>
        <w:tabs>
          <w:tab w:leader="none" w:pos="565" w:val="left"/>
        </w:tabs>
        <w:numPr>
          <w:ilvl w:val="0"/>
          <w:numId w:val="3"/>
        </w:numPr>
        <w:rPr>
          <w:rFonts w:ascii="Arial" w:cs="Arial" w:eastAsia="Arial" w:hAnsi="Arial"/>
          <w:sz w:val="13"/>
          <w:szCs w:val="13"/>
          <w:color w:val="auto"/>
        </w:rPr>
      </w:pPr>
      <w:r>
        <w:rPr>
          <w:rFonts w:ascii="Arial" w:cs="Arial" w:eastAsia="Arial" w:hAnsi="Arial"/>
          <w:sz w:val="13"/>
          <w:szCs w:val="13"/>
          <w:color w:val="auto"/>
        </w:rPr>
        <w:t>Represents executive transition expenses related to various management reorganizations.</w:t>
      </w:r>
    </w:p>
    <w:p>
      <w:pPr>
        <w:spacing w:after="0" w:line="39" w:lineRule="exact"/>
        <w:rPr>
          <w:rFonts w:ascii="Arial" w:cs="Arial" w:eastAsia="Arial" w:hAnsi="Arial"/>
          <w:sz w:val="13"/>
          <w:szCs w:val="13"/>
          <w:color w:val="auto"/>
        </w:rPr>
      </w:pPr>
    </w:p>
    <w:p>
      <w:pPr>
        <w:ind w:left="565" w:hanging="565"/>
        <w:spacing w:after="0"/>
        <w:tabs>
          <w:tab w:leader="none" w:pos="565" w:val="left"/>
        </w:tabs>
        <w:numPr>
          <w:ilvl w:val="0"/>
          <w:numId w:val="3"/>
        </w:numPr>
        <w:rPr>
          <w:rFonts w:ascii="Arial" w:cs="Arial" w:eastAsia="Arial" w:hAnsi="Arial"/>
          <w:sz w:val="13"/>
          <w:szCs w:val="13"/>
          <w:color w:val="auto"/>
        </w:rPr>
      </w:pPr>
      <w:r>
        <w:rPr>
          <w:rFonts w:ascii="Arial" w:cs="Arial" w:eastAsia="Arial" w:hAnsi="Arial"/>
          <w:sz w:val="13"/>
          <w:szCs w:val="13"/>
          <w:color w:val="auto"/>
        </w:rPr>
        <w:t>Costs related to incremental operating expenses and receivables reserves incurred as a result of the COVID-19 pandemic.</w:t>
      </w:r>
    </w:p>
    <w:p>
      <w:pPr>
        <w:spacing w:after="0" w:line="39" w:lineRule="exact"/>
        <w:rPr>
          <w:rFonts w:ascii="Arial" w:cs="Arial" w:eastAsia="Arial" w:hAnsi="Arial"/>
          <w:sz w:val="13"/>
          <w:szCs w:val="13"/>
          <w:color w:val="auto"/>
        </w:rPr>
      </w:pPr>
    </w:p>
    <w:p>
      <w:pPr>
        <w:ind w:left="565" w:right="220" w:hanging="565"/>
        <w:spacing w:after="0" w:line="259" w:lineRule="auto"/>
        <w:tabs>
          <w:tab w:leader="none" w:pos="565" w:val="left"/>
        </w:tabs>
        <w:numPr>
          <w:ilvl w:val="0"/>
          <w:numId w:val="3"/>
        </w:numPr>
        <w:rPr>
          <w:rFonts w:ascii="Arial" w:cs="Arial" w:eastAsia="Arial" w:hAnsi="Arial"/>
          <w:sz w:val="12"/>
          <w:szCs w:val="12"/>
          <w:color w:val="auto"/>
        </w:rPr>
      </w:pPr>
      <w:r>
        <w:rPr>
          <w:rFonts w:ascii="Arial" w:cs="Arial" w:eastAsia="Arial" w:hAnsi="Arial"/>
          <w:sz w:val="12"/>
          <w:szCs w:val="12"/>
          <w:color w:val="auto"/>
        </w:rPr>
        <w:t>During the first quarter of 2020, the Company determined that certain goodwill and long-lived assets were impaired and that an additional valuation allowance on a note receivable from a business divestiture was necessary to reflect an increase in the collection risk. These charges were triggered by the current economic conditions as a result of the COVID-19 pandemic.</w:t>
      </w:r>
    </w:p>
    <w:p>
      <w:pPr>
        <w:spacing w:after="0" w:line="26" w:lineRule="exact"/>
        <w:rPr>
          <w:rFonts w:ascii="Arial" w:cs="Arial" w:eastAsia="Arial" w:hAnsi="Arial"/>
          <w:sz w:val="12"/>
          <w:szCs w:val="12"/>
          <w:color w:val="auto"/>
        </w:rPr>
      </w:pPr>
    </w:p>
    <w:p>
      <w:pPr>
        <w:ind w:left="565" w:right="280" w:hanging="565"/>
        <w:spacing w:after="0" w:line="230" w:lineRule="auto"/>
        <w:tabs>
          <w:tab w:leader="none" w:pos="565"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Company estimates that, as a result of increases in unemployment and the potential financial difficulties of medical practices from the impact of the COVID-19 pandemic, receivable reserves needed to be increased in the LabCorp Diagnostics segment.</w:t>
      </w:r>
    </w:p>
    <w:p>
      <w:pPr>
        <w:spacing w:after="0" w:line="37" w:lineRule="exact"/>
        <w:rPr>
          <w:rFonts w:ascii="Arial" w:cs="Arial" w:eastAsia="Arial" w:hAnsi="Arial"/>
          <w:sz w:val="13"/>
          <w:szCs w:val="13"/>
          <w:color w:val="auto"/>
        </w:rPr>
      </w:pPr>
    </w:p>
    <w:p>
      <w:pPr>
        <w:ind w:left="565" w:right="20" w:hanging="565"/>
        <w:spacing w:after="0" w:line="225" w:lineRule="auto"/>
        <w:tabs>
          <w:tab w:leader="none" w:pos="565"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Company makes venture fund investments in companies or investment funds developing promising technology related to its operations. The Company recorded net gains and losses for the quarter related to several distributions from venture funds, increases in the market value of investments, and impairments of other investments due to the underlying performance of the investments.</w:t>
      </w:r>
    </w:p>
    <w:p>
      <w:pPr>
        <w:spacing w:after="0" w:line="38" w:lineRule="exact"/>
        <w:rPr>
          <w:rFonts w:ascii="Arial" w:cs="Arial" w:eastAsia="Arial" w:hAnsi="Arial"/>
          <w:sz w:val="13"/>
          <w:szCs w:val="13"/>
          <w:color w:val="auto"/>
        </w:rPr>
      </w:pPr>
    </w:p>
    <w:p>
      <w:pPr>
        <w:ind w:left="565" w:hanging="565"/>
        <w:spacing w:after="0"/>
        <w:tabs>
          <w:tab w:leader="none" w:pos="565" w:val="left"/>
        </w:tabs>
        <w:numPr>
          <w:ilvl w:val="0"/>
          <w:numId w:val="3"/>
        </w:numPr>
        <w:rPr>
          <w:rFonts w:ascii="Arial" w:cs="Arial" w:eastAsia="Arial" w:hAnsi="Arial"/>
          <w:sz w:val="13"/>
          <w:szCs w:val="13"/>
          <w:color w:val="auto"/>
        </w:rPr>
      </w:pPr>
      <w:r>
        <w:rPr>
          <w:rFonts w:ascii="Arial" w:cs="Arial" w:eastAsia="Arial" w:hAnsi="Arial"/>
          <w:sz w:val="13"/>
          <w:szCs w:val="13"/>
          <w:color w:val="auto"/>
        </w:rPr>
        <w:t>Income tax impact of adjustments calculated based on the tax rate applicable to each item.</w:t>
      </w:r>
    </w:p>
    <w:p>
      <w:pPr>
        <w:spacing w:after="0" w:line="200" w:lineRule="exact"/>
        <w:rPr>
          <w:rFonts w:ascii="Arial" w:cs="Arial" w:eastAsia="Arial" w:hAnsi="Arial"/>
          <w:sz w:val="13"/>
          <w:szCs w:val="13"/>
          <w:color w:val="auto"/>
        </w:rPr>
      </w:pPr>
    </w:p>
    <w:p>
      <w:pPr>
        <w:spacing w:after="0" w:line="384" w:lineRule="exact"/>
        <w:rPr>
          <w:rFonts w:ascii="Arial" w:cs="Arial" w:eastAsia="Arial" w:hAnsi="Arial"/>
          <w:sz w:val="13"/>
          <w:szCs w:val="13"/>
          <w:color w:val="auto"/>
        </w:rPr>
      </w:pPr>
    </w:p>
    <w:p>
      <w:pPr>
        <w:ind w:left="5545" w:hanging="156"/>
        <w:spacing w:after="0"/>
        <w:tabs>
          <w:tab w:leader="none" w:pos="5545"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ectPr>
          <w:pgSz w:w="11900" w:h="16838" w:orient="portrait"/>
          <w:cols w:equalWidth="0" w:num="1">
            <w:col w:w="11105"/>
          </w:cols>
          <w:pgMar w:left="355" w:top="549" w:right="439" w:bottom="1440" w:gutter="0" w:footer="0" w:header="0"/>
        </w:sectPr>
      </w:pPr>
    </w:p>
    <w:p>
      <w:pPr>
        <w:spacing w:after="0" w:line="239" w:lineRule="exact"/>
        <w:rPr>
          <w:sz w:val="20"/>
          <w:szCs w:val="20"/>
          <w:color w:val="auto"/>
        </w:rPr>
      </w:pPr>
    </w:p>
    <w:p>
      <w:pPr>
        <w:jc w:val="center"/>
        <w:ind w:right="-64"/>
        <w:spacing w:after="0"/>
        <w:rPr>
          <w:sz w:val="20"/>
          <w:szCs w:val="20"/>
          <w:color w:val="auto"/>
        </w:rPr>
      </w:pPr>
      <w:r>
        <w:rPr>
          <w:rFonts w:ascii="Arial" w:cs="Arial" w:eastAsia="Arial" w:hAnsi="Arial"/>
          <w:sz w:val="17"/>
          <w:szCs w:val="17"/>
          <w:color w:val="auto"/>
        </w:rPr>
        <w:t>13</w:t>
      </w:r>
    </w:p>
    <w:sectPr>
      <w:pgSz w:w="11900" w:h="16838" w:orient="portrait"/>
      <w:cols w:equalWidth="0" w:num="1">
        <w:col w:w="11105"/>
      </w:cols>
      <w:pgMar w:left="355" w:top="54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1"/>
    </w:lvl>
    <w:lvl w:ilvl="1">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2020-04-30T17:26:09Z</dcterms:created>
  <dcterms:modified xsi:type="dcterms:W3CDTF">2020-04-30T17:26:09Z</dcterms:modified>
</cp:coreProperties>
</file>