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48" w:lineRule="exact"/>
        <w:rPr>
          <w:sz w:val="24"/>
          <w:szCs w:val="24"/>
          <w:color w:val="auto"/>
        </w:rPr>
      </w:pPr>
    </w:p>
    <w:p>
      <w:pPr>
        <w:ind w:left="4080" w:right="2440" w:hanging="1633"/>
        <w:spacing w:after="0" w:line="375" w:lineRule="auto"/>
        <w:tabs>
          <w:tab w:leader="none" w:pos="2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ind w:left="3940" w:right="2400" w:hanging="1539"/>
        <w:spacing w:after="0" w:line="375" w:lineRule="auto"/>
        <w:tabs>
          <w:tab w:leader="none" w:pos="25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 to ______</w:t>
      </w:r>
    </w:p>
    <w:p>
      <w:pPr>
        <w:spacing w:after="0" w:line="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Commission file number - 1-11353</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LABORATORY CORPORATION OF AMERICA HOLDINGS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13-3757370</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358 South Main Street,</w:t>
            </w:r>
          </w:p>
        </w:tc>
        <w:tc>
          <w:tcPr>
            <w:tcW w:w="3740" w:type="dxa"/>
            <w:vAlign w:val="bottom"/>
          </w:tcPr>
          <w:p>
            <w:pPr>
              <w:spacing w:after="0"/>
              <w:rPr>
                <w:sz w:val="24"/>
                <w:szCs w:val="24"/>
                <w:color w:val="auto"/>
              </w:rPr>
            </w:pPr>
          </w:p>
        </w:tc>
      </w:tr>
      <w:tr>
        <w:trPr>
          <w:trHeight w:val="27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Burlington, North Carolina</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27215</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460" w:type="dxa"/>
            <w:vAlign w:val="bottom"/>
          </w:tcPr>
          <w:p>
            <w:pPr>
              <w:spacing w:after="0"/>
              <w:rPr>
                <w:sz w:val="20"/>
                <w:szCs w:val="20"/>
                <w:color w:val="auto"/>
              </w:rPr>
            </w:pPr>
          </w:p>
        </w:tc>
      </w:tr>
      <w:tr>
        <w:trPr>
          <w:trHeight w:val="378"/>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5460" w:type="dxa"/>
            <w:vAlign w:val="bottom"/>
          </w:tcPr>
          <w:p>
            <w:pPr>
              <w:ind w:left="20"/>
              <w:spacing w:after="0"/>
              <w:rPr>
                <w:sz w:val="20"/>
                <w:szCs w:val="20"/>
                <w:color w:val="auto"/>
              </w:rPr>
            </w:pPr>
            <w:r>
              <w:rPr>
                <w:rFonts w:ascii="Arial" w:cs="Arial" w:eastAsia="Arial" w:hAnsi="Arial"/>
                <w:sz w:val="18"/>
                <w:szCs w:val="18"/>
                <w:color w:val="auto"/>
              </w:rPr>
              <w:t>Name of exchange on which registered</w:t>
            </w: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Common Stock, $0.10 par value</w:t>
            </w:r>
          </w:p>
        </w:tc>
        <w:tc>
          <w:tcPr>
            <w:tcW w:w="5460" w:type="dxa"/>
            <w:vAlign w:val="bottom"/>
          </w:tcPr>
          <w:p>
            <w:pPr>
              <w:ind w:left="20"/>
              <w:spacing w:after="0"/>
              <w:rPr>
                <w:sz w:val="20"/>
                <w:szCs w:val="20"/>
                <w:color w:val="auto"/>
              </w:rPr>
            </w:pPr>
            <w:r>
              <w:rPr>
                <w:rFonts w:ascii="Arial" w:cs="Arial" w:eastAsia="Arial" w:hAnsi="Arial"/>
                <w:sz w:val="18"/>
                <w:szCs w:val="18"/>
                <w:color w:val="auto"/>
              </w:rPr>
              <w:t>New York Stock Exchange</w:t>
            </w: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546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well-known seasoned issuer, as defined in Rule 405 of the Securities Act. Yes [X] No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232.405) is not contained herein, and will not be contained, to the best of registrant's knowledge, in definitive proxy or information statements incorporated by reference in Part III of this Form 10-K or any amendment to this Form 10-K. [ ].</w:t>
      </w:r>
    </w:p>
    <w:p>
      <w:pPr>
        <w:spacing w:after="0" w:line="3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 ]</w:t>
      </w:r>
    </w:p>
    <w:p>
      <w:pPr>
        <w:spacing w:after="0" w:line="75" w:lineRule="exact"/>
        <w:rPr>
          <w:sz w:val="20"/>
          <w:szCs w:val="20"/>
          <w:color w:val="auto"/>
        </w:rPr>
      </w:pPr>
    </w:p>
    <w:p>
      <w:pPr>
        <w:sectPr>
          <w:pgSz w:w="11900" w:h="16838" w:orient="portrait"/>
          <w:cols w:equalWidth="0" w:num="2">
            <w:col w:w="6060" w:space="720"/>
            <w:col w:w="464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 ]</w:t>
      </w:r>
    </w:p>
    <w:p>
      <w:pPr>
        <w:spacing w:after="0" w:line="86" w:lineRule="exact"/>
        <w:rPr>
          <w:sz w:val="20"/>
          <w:szCs w:val="20"/>
          <w:color w:val="auto"/>
        </w:rPr>
      </w:pPr>
    </w:p>
    <w:p>
      <w:pPr>
        <w:sectPr>
          <w:pgSz w:w="11900" w:h="16838" w:orient="portrait"/>
          <w:cols w:equalWidth="0" w:num="2">
            <w:col w:w="6060" w:space="720"/>
            <w:col w:w="4640"/>
          </w:cols>
          <w:pgMar w:left="240" w:top="125" w:right="239" w:bottom="1440" w:gutter="0" w:footer="0" w:header="0"/>
          <w:type w:val="continuous"/>
        </w:sectPr>
      </w:pPr>
    </w:p>
    <w:p>
      <w:pPr>
        <w:ind w:left="6780"/>
        <w:spacing w:after="0"/>
        <w:rPr>
          <w:sz w:val="20"/>
          <w:szCs w:val="20"/>
          <w:color w:val="auto"/>
        </w:rPr>
      </w:pPr>
      <w:r>
        <w:rPr>
          <w:rFonts w:ascii="Arial" w:cs="Arial" w:eastAsia="Arial" w:hAnsi="Arial"/>
          <w:sz w:val="16"/>
          <w:szCs w:val="16"/>
          <w:color w:val="auto"/>
        </w:rPr>
        <w:t>Emerging growth company [ ]</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2017, the aggregate market value of the common stock held by non-affiliates of the registrant was approximately $14.9 billion, based on the closing price on such date of the registrant’s common stock on the New York Stock Exchange.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101.9 million shares as of February 22,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2017, are incorporated by reference into Part III.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2"/>
            <w:vMerge w:val="restart"/>
          </w:tcPr>
          <w:p>
            <w:pPr>
              <w:jc w:val="center"/>
              <w:ind w:right="42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1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40" w:type="dxa"/>
            <w:vAlign w:val="bottom"/>
            <w:gridSpan w:val="27"/>
          </w:tcPr>
          <w:p>
            <w:pPr>
              <w:spacing w:after="0"/>
              <w:rPr>
                <w:sz w:val="22"/>
                <w:szCs w:val="22"/>
                <w:color w:val="auto"/>
              </w:rPr>
            </w:pPr>
          </w:p>
        </w:tc>
        <w:tc>
          <w:tcPr>
            <w:tcW w:w="460" w:type="dxa"/>
            <w:vAlign w:val="bottom"/>
            <w:tcBorders>
              <w:top w:val="single" w:sz="8" w:color="0000EE"/>
            </w:tcBorders>
            <w:gridSpan w:val="3"/>
          </w:tcPr>
          <w:p>
            <w:pPr>
              <w:spacing w:after="0"/>
              <w:rPr>
                <w:sz w:val="22"/>
                <w:szCs w:val="22"/>
                <w:color w:val="auto"/>
              </w:rPr>
            </w:pPr>
          </w:p>
        </w:tc>
        <w:tc>
          <w:tcPr>
            <w:tcW w:w="422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 Segments</w:t>
              </w:r>
            </w:hyperlink>
          </w:p>
        </w:tc>
        <w:tc>
          <w:tcPr>
            <w:tcW w:w="620" w:type="dxa"/>
            <w:vAlign w:val="bottom"/>
            <w:gridSpan w:val="2"/>
          </w:tcPr>
          <w:p>
            <w:pPr>
              <w:jc w:val="center"/>
              <w:ind w:left="43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LabCorp Diagnostics Segment</w:t>
              </w:r>
            </w:hyperlink>
          </w:p>
        </w:tc>
        <w:tc>
          <w:tcPr>
            <w:tcW w:w="6180" w:type="dxa"/>
            <w:vAlign w:val="bottom"/>
            <w:gridSpan w:val="2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Covance Drug Development</w:t>
              </w:r>
            </w:hyperlink>
          </w:p>
        </w:tc>
        <w:tc>
          <w:tcPr>
            <w:tcW w:w="6320" w:type="dxa"/>
            <w:vAlign w:val="bottom"/>
            <w:gridSpan w:val="2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15">
              <w:r>
                <w:rPr>
                  <w:rFonts w:ascii="Arial" w:cs="Arial" w:eastAsia="Arial" w:hAnsi="Arial"/>
                  <w:sz w:val="17"/>
                  <w:szCs w:val="17"/>
                  <w:color w:val="0000EE"/>
                  <w:w w:val="73"/>
                </w:rPr>
                <w:t>15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Customers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Capital Allocation</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Seasonality</w:t>
            </w:r>
          </w:p>
        </w:tc>
        <w:tc>
          <w:tcPr>
            <w:tcW w:w="7240" w:type="dxa"/>
            <w:vAlign w:val="bottom"/>
            <w:gridSpan w:val="31"/>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Investments in Joint Venture Partnerships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Borders>
              <w:top w:val="single" w:sz="8" w:color="0000EE"/>
            </w:tcBorders>
            <w:gridSpan w:val="23"/>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Sales, Marketing and Customer Service</w:t>
              </w:r>
            </w:hyperlink>
          </w:p>
        </w:tc>
        <w:tc>
          <w:tcPr>
            <w:tcW w:w="5640" w:type="dxa"/>
            <w:vAlign w:val="bottom"/>
            <w:gridSpan w:val="18"/>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Information Systems</w:t>
              </w:r>
            </w:hyperlink>
          </w:p>
        </w:tc>
        <w:tc>
          <w:tcPr>
            <w:tcW w:w="1320" w:type="dxa"/>
            <w:vAlign w:val="bottom"/>
            <w:tcBorders>
              <w:top w:val="single" w:sz="8" w:color="0000EE"/>
            </w:tcBorders>
            <w:gridSpan w:val="9"/>
          </w:tcPr>
          <w:p>
            <w:pPr>
              <w:spacing w:after="0"/>
              <w:rPr>
                <w:sz w:val="21"/>
                <w:szCs w:val="21"/>
                <w:color w:val="auto"/>
              </w:rPr>
            </w:pPr>
          </w:p>
        </w:tc>
        <w:tc>
          <w:tcPr>
            <w:tcW w:w="5780" w:type="dxa"/>
            <w:vAlign w:val="bottom"/>
            <w:gridSpan w:val="20"/>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Quality</w:t>
              </w:r>
            </w:hyperlink>
          </w:p>
        </w:tc>
        <w:tc>
          <w:tcPr>
            <w:tcW w:w="8080" w:type="dxa"/>
            <w:vAlign w:val="bottom"/>
            <w:gridSpan w:val="3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Intellectual Property Rights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Employees</w:t>
              </w:r>
            </w:hyperlink>
          </w:p>
        </w:tc>
        <w:tc>
          <w:tcPr>
            <w:tcW w:w="1160" w:type="dxa"/>
            <w:vAlign w:val="bottom"/>
            <w:tcBorders>
              <w:top w:val="single" w:sz="8" w:color="0000EE"/>
            </w:tcBorders>
            <w:gridSpan w:val="9"/>
          </w:tcPr>
          <w:p>
            <w:pPr>
              <w:spacing w:after="0"/>
              <w:rPr>
                <w:sz w:val="21"/>
                <w:szCs w:val="21"/>
                <w:color w:val="auto"/>
              </w:rPr>
            </w:pPr>
          </w:p>
        </w:tc>
        <w:tc>
          <w:tcPr>
            <w:tcW w:w="6640" w:type="dxa"/>
            <w:vAlign w:val="bottom"/>
            <w:gridSpan w:val="25"/>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Regulation and Reimbursement</w:t>
              </w:r>
            </w:hyperlink>
          </w:p>
        </w:tc>
        <w:tc>
          <w:tcPr>
            <w:tcW w:w="6340" w:type="dxa"/>
            <w:vAlign w:val="bottom"/>
            <w:gridSpan w:val="24"/>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Compliance Program</w:t>
              </w:r>
            </w:hyperlink>
          </w:p>
        </w:tc>
        <w:tc>
          <w:tcPr>
            <w:tcW w:w="7080" w:type="dxa"/>
            <w:vAlign w:val="bottom"/>
            <w:gridSpan w:val="28"/>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Information Security</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7960" w:type="dxa"/>
            <w:vAlign w:val="bottom"/>
            <w:gridSpan w:val="3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Unresolved Staff Comments</w:t>
              </w:r>
            </w:hyperlink>
          </w:p>
        </w:tc>
        <w:tc>
          <w:tcPr>
            <w:tcW w:w="6820" w:type="dxa"/>
            <w:vAlign w:val="bottom"/>
            <w:gridSpan w:val="2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2">
              <w:r>
                <w:rPr>
                  <w:rFonts w:ascii="Arial" w:cs="Arial" w:eastAsia="Arial" w:hAnsi="Arial"/>
                  <w:sz w:val="17"/>
                  <w:szCs w:val="17"/>
                  <w:color w:val="0000EE"/>
                  <w:w w:val="73"/>
                </w:rPr>
                <w:t>42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8860" w:type="dxa"/>
            <w:vAlign w:val="bottom"/>
            <w:gridSpan w:val="4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8860" w:type="dxa"/>
            <w:vAlign w:val="bottom"/>
            <w:gridSpan w:val="4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8860" w:type="dxa"/>
            <w:vAlign w:val="bottom"/>
            <w:gridSpan w:val="4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418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8100" w:type="dxa"/>
            <w:vAlign w:val="bottom"/>
            <w:tcBorders>
              <w:bottom w:val="single" w:sz="8" w:color="0000EE"/>
            </w:tcBorders>
            <w:gridSpan w:val="41"/>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9">
              <w:r>
                <w:rPr>
                  <w:rFonts w:ascii="Arial" w:cs="Arial" w:eastAsia="Arial" w:hAnsi="Arial"/>
                  <w:sz w:val="17"/>
                  <w:szCs w:val="17"/>
                  <w:color w:val="0000EE"/>
                  <w:w w:val="73"/>
                </w:rPr>
                <w:t>48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8860" w:type="dxa"/>
            <w:vAlign w:val="bottom"/>
            <w:gridSpan w:val="4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Selected Financial Data</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2">
              <w:r>
                <w:rPr>
                  <w:rFonts w:ascii="Arial" w:cs="Arial" w:eastAsia="Arial" w:hAnsi="Arial"/>
                  <w:sz w:val="17"/>
                  <w:szCs w:val="17"/>
                  <w:color w:val="0000EE"/>
                  <w:w w:val="73"/>
                </w:rPr>
                <w:t>51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1"/>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Quantitative and Qualitative Disclosures About Market Risk</w:t>
              </w:r>
            </w:hyperlink>
          </w:p>
        </w:tc>
        <w:tc>
          <w:tcPr>
            <w:tcW w:w="4500" w:type="dxa"/>
            <w:vAlign w:val="bottom"/>
            <w:gridSpan w:val="11"/>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9">
              <w:r>
                <w:rPr>
                  <w:rFonts w:ascii="Arial" w:cs="Arial" w:eastAsia="Arial" w:hAnsi="Arial"/>
                  <w:sz w:val="17"/>
                  <w:szCs w:val="17"/>
                  <w:color w:val="0000EE"/>
                  <w:w w:val="73"/>
                </w:rPr>
                <w:t>68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8860" w:type="dxa"/>
            <w:vAlign w:val="bottom"/>
            <w:gridSpan w:val="4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9"/>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0">
              <w:r>
                <w:rPr>
                  <w:rFonts w:ascii="Arial" w:cs="Arial" w:eastAsia="Arial" w:hAnsi="Arial"/>
                  <w:sz w:val="17"/>
                  <w:szCs w:val="17"/>
                  <w:color w:val="0000EE"/>
                  <w:w w:val="73"/>
                </w:rPr>
                <w:t>69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8860" w:type="dxa"/>
            <w:vAlign w:val="bottom"/>
            <w:gridSpan w:val="4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100" w:type="dxa"/>
            <w:vAlign w:val="bottom"/>
            <w:gridSpan w:val="29"/>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1">
              <w:r>
                <w:rPr>
                  <w:rFonts w:ascii="Arial" w:cs="Arial" w:eastAsia="Arial" w:hAnsi="Arial"/>
                  <w:sz w:val="17"/>
                  <w:szCs w:val="17"/>
                  <w:color w:val="0000EE"/>
                  <w:w w:val="73"/>
                </w:rPr>
                <w:t>70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41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Directors, Executive Officers and Corporate Governance</w:t>
              </w:r>
            </w:hyperlink>
          </w:p>
        </w:tc>
        <w:tc>
          <w:tcPr>
            <w:tcW w:w="4760" w:type="dxa"/>
            <w:vAlign w:val="bottom"/>
            <w:gridSpan w:val="15"/>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1">
              <w:r>
                <w:rPr>
                  <w:rFonts w:ascii="Arial" w:cs="Arial" w:eastAsia="Arial" w:hAnsi="Arial"/>
                  <w:sz w:val="17"/>
                  <w:szCs w:val="17"/>
                  <w:color w:val="0000EE"/>
                  <w:w w:val="73"/>
                </w:rPr>
                <w:t>70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Executive Compensation</w:t>
              </w:r>
            </w:hyperlink>
          </w:p>
        </w:tc>
        <w:tc>
          <w:tcPr>
            <w:tcW w:w="7060" w:type="dxa"/>
            <w:vAlign w:val="bottom"/>
            <w:gridSpan w:val="2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5">
              <w:r>
                <w:rPr>
                  <w:rFonts w:ascii="Arial" w:cs="Arial" w:eastAsia="Arial" w:hAnsi="Arial"/>
                  <w:sz w:val="17"/>
                  <w:szCs w:val="17"/>
                  <w:color w:val="0000EE"/>
                  <w:w w:val="73"/>
                </w:rPr>
                <w:t>74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8860" w:type="dxa"/>
            <w:vAlign w:val="bottom"/>
            <w:gridSpan w:val="4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4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5">
              <w:r>
                <w:rPr>
                  <w:rFonts w:ascii="Arial" w:cs="Arial" w:eastAsia="Arial" w:hAnsi="Arial"/>
                  <w:sz w:val="17"/>
                  <w:szCs w:val="17"/>
                  <w:color w:val="0000EE"/>
                  <w:w w:val="73"/>
                </w:rPr>
                <w:t>74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342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6">
              <w:r>
                <w:rPr>
                  <w:rFonts w:ascii="Arial" w:cs="Arial" w:eastAsia="Arial" w:hAnsi="Arial"/>
                  <w:sz w:val="17"/>
                  <w:szCs w:val="17"/>
                  <w:color w:val="0000EE"/>
                  <w:w w:val="73"/>
                </w:rPr>
                <w:t>75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4"/>
          </w:tcPr>
          <w:p>
            <w:pPr>
              <w:jc w:val="center"/>
              <w:ind w:right="416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Exhibits and Financial Statement Schedules</w:t>
              </w:r>
            </w:hyperlink>
          </w:p>
        </w:tc>
        <w:tc>
          <w:tcPr>
            <w:tcW w:w="960" w:type="dxa"/>
            <w:vAlign w:val="bottom"/>
            <w:gridSpan w:val="5"/>
          </w:tcPr>
          <w:p>
            <w:pPr>
              <w:spacing w:after="0"/>
              <w:rPr>
                <w:sz w:val="21"/>
                <w:szCs w:val="21"/>
                <w:color w:val="auto"/>
              </w:rPr>
            </w:pPr>
          </w:p>
        </w:tc>
        <w:tc>
          <w:tcPr>
            <w:tcW w:w="580" w:type="dxa"/>
            <w:vAlign w:val="bottom"/>
            <w:tcBorders>
              <w:top w:val="single" w:sz="8" w:color="0000EE"/>
            </w:tcBorders>
            <w:gridSpan w:val="7"/>
          </w:tcPr>
          <w:p>
            <w:pPr>
              <w:spacing w:after="0"/>
              <w:rPr>
                <w:sz w:val="21"/>
                <w:szCs w:val="21"/>
                <w:color w:val="auto"/>
              </w:rPr>
            </w:pPr>
          </w:p>
        </w:tc>
        <w:tc>
          <w:tcPr>
            <w:tcW w:w="416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7">
              <w:r>
                <w:rPr>
                  <w:rFonts w:ascii="Arial" w:cs="Arial" w:eastAsia="Arial" w:hAnsi="Arial"/>
                  <w:sz w:val="17"/>
                  <w:szCs w:val="17"/>
                  <w:color w:val="0000EE"/>
                  <w:w w:val="73"/>
                </w:rPr>
                <w:t>76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16.</w:t>
            </w:r>
          </w:p>
        </w:tc>
        <w:tc>
          <w:tcPr>
            <w:tcW w:w="8860" w:type="dxa"/>
            <w:vAlign w:val="bottom"/>
            <w:gridSpan w:val="4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Form 10-K Summary</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5" w:lineRule="exact"/>
        <w:rPr>
          <w:sz w:val="20"/>
          <w:szCs w:val="20"/>
          <w:color w:val="auto"/>
        </w:rPr>
      </w:pPr>
    </w:p>
    <w:p>
      <w:pPr>
        <w:jc w:val="both"/>
        <w:ind w:firstLine="270"/>
        <w:spacing w:after="0" w:line="235"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Holdings (LabCorp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the Company) is a leading global life sciences company that is deeply integrated in guiding patient care. Through its two business segments, LabCorp Diagnostics (LCD) and Covance Drug Development (CDD), the Company provides comprehensive clinical laboratory and end-to-end drug development services. Employing nearly 60,000 people worldwide, the Company’s mission is to improve health and improve lives by delivering world-class diagnostic solutions, bringing innovative medicines to patients faster, and using technology to improve the delivery of care.</w:t>
      </w:r>
    </w:p>
    <w:p>
      <w:pPr>
        <w:spacing w:after="0" w:line="11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provides diagnostic, drug development and technology-enabled solutions for more than 115 million patient encounters per year. Typically processing tests on more than 2.5 million patient specimens per week, the Company believes that it generated more revenue from laboratory testing than any other Company in the world in 2017. The Company also supports clinical trial activity in approximately 100 countries through its industry-leading central laboratory business, generating more safety and efficacy data to support drug approvals than any other company. The Company collaborated on more than 90% of the novel drugs approved by the U.S. Food and Drug Administration (FDA) in 2017, including more than 90% of the novel rare and orphan disease drugs and two-thirds of the novel oncology drugs. In addition, CDD has been involved in the development of all current top 50 drugs on the market as measured by sales revenue.</w:t>
      </w:r>
    </w:p>
    <w:p>
      <w:pPr>
        <w:spacing w:after="0" w:line="9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has been recognized for its focus on innovation, progressive business practices, and delivering value to customers. Recent accolades include being named to FORTUNE magazine's 2018 List of World's Most Admired Companies, and Forbes’ 2017 ranking of “The World’s Most Innovative Companies,” earning the highest achievable score on the Human Rights Campaign Foundation’s 16th annual scorecard on lesbian, gay, bisexual, transgender, queer (LGBTQ) workplace equality and being designated as a Best Place to Work for LGBTQ Equality, and seeing its Covance business awarded the 2017 Frost &amp; Sullivan Asia-Pacific CRO Customer Value Leadership Award.</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headquartered in Burlington, North Carolina, is a Delaware corporation and was incorporated in 1971. Through a combination of organic growth and disciplined acquisitions, including the 2015 acquisition of Covance Inc. (Covance) and the 2017 acquisition of Chiltern International Group Limited (Chiltern), a specialty contract research organization (CRO), the Company has continually expanded and diversified its business offerings, technological expertise, geographic reach, revenue base, and financial growth opportunities.</w:t>
      </w:r>
    </w:p>
    <w:p>
      <w:pPr>
        <w:spacing w:after="0" w:line="9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Today the Company participates in drug discovery from early development to new drug approval and commercialization, offers a growing portfolio of high-value, high-quality clinical laboratory tests, and increasingly provides guidance to patients and care providers about how to integrate drugs and diagnostics into optimal patient care.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Global Capabilities</w:t>
      </w:r>
    </w:p>
    <w:p>
      <w:pPr>
        <w:spacing w:after="0" w:line="1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With the acquisition of Covance, the Company began transforming from a leading national laboratory to an integrated global life sciences company. The acquisition of Chiltern further enhanced Covance’s offerings as a major partner serving the top 20 biopharmaceutical segment and expanded the Company’s current offering to include a dedicated focus on the high-growth emerging and mid-market biopharmaceutical segments.</w:t>
      </w:r>
    </w:p>
    <w:p>
      <w:pPr>
        <w:spacing w:after="0" w:line="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combination of LabCorp Diagnostics’ patient insights and Covance’s global physician-investigator performance data creates a powerful competitive advantage that presents significant long-term growth potential. It helps the Company to win studies and to recruit patients and investigators for trials more efficiently and at lower cost than competitors. The Company has proprietary data sets with more than 30 billion lab test results, reaching roughly 50% of the United States (U.S.) population and a significant database of experienced investigators and trial sites.</w:t>
      </w:r>
    </w:p>
    <w:p>
      <w:pPr>
        <w:spacing w:after="0" w:line="9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Similarly, the combined capabilities of the businesses have made the Company the market leader in the development and commercialization of companion and complementary diagnostics. Companion diagnostics are tests that must be used before a patient can be treated with a specific therapeutic, to help identify how or if the therapeutic will be effective or if it may cause adverse events. Complementary diagnostics are not required for determining who should receive the therapeutic, or how it should be used, but can give physicians valuable information about a patient’s potential response to a specific therapeutic or class of therapeutics. The Company collaborated with more than 40 clients on more than 165 companion diagnostics projects in 2017 and has supported approximately 70% of companion diagnostics on the market today. The Company believes that the development and use of precision medicine tools, such as companion diagnostics, will become more prevalent as medical understanding of the specific causes of disease increases.</w:t>
      </w:r>
    </w:p>
    <w:p>
      <w:pPr>
        <w:spacing w:after="0" w:line="7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serves a broad range of customers, including managed care organizations (MCOs), biopharmaceutical companies, governmental agencies, physicians and other healthcare providers (e.g. physician assistants and nurse practitioners, generally referred to herein as physicians), hospitals and health systems, employers, patients and consumers, CROs, food and nutritional companies and independent clinical laboratories. The breadth of the Company’s offerings has accelerated revenue and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profit growth while generating strong returns for shareholders through share price appreciation. The combination also helps to balance the impact of changes in the U.S. healthcare payment system, such as the recently introduced reductions to the Medicare fee schedule under the Protecting Access to Medicare Act (PAMA).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Positioning the Company for the Future</w:t>
      </w:r>
    </w:p>
    <w:p>
      <w:pPr>
        <w:spacing w:after="0" w:line="13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believes that it can play a larger role in the rapidly evolving healthcare system by focusing on three key initiatives to broaden its role: supporting customers’ transition to value-based care, streamlining the drug development process, and creating a broad consumer engagement platform that integrates diagnostics, devices, and therapeutics. In addition, continued consolidation in healthcare and the Company’s strong relationships with hospitals and health systems will allow it to provide unique solutions to help improve patient outcomes and reduce healthcare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Value-Based Care</w:t>
      </w:r>
    </w:p>
    <w:p>
      <w:pPr>
        <w:spacing w:after="0" w:line="13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healthcare system is in transition to value-based care, with increased use of reimbursement models based on quality of care and on patient outcomes, and less reliance on traditional fee-for-services based payments. The Company is focused on improving efficiency in care delivery, reducing the overall cost of patient care, and using the Company's combination of diagnostic and drug development capabilities to accelerate progress towards more precise and personalized healthcare.</w:t>
      </w:r>
    </w:p>
    <w:p>
      <w:pPr>
        <w:spacing w:after="0" w:line="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From helping physicians choose the right test for the patient at the right time, to offering innovative molecular and genetic tests, to delivering the next generation of lifesaving drugs, the Company is a critical player in enabling targeted, tailored, high-value care. The Company’s leadership in companion diagnostics, investments in real-world evidence capabilities and market access solutions, along with its long-standing emphasis on quality, standardized test platforms, information technology (IT) expertise, and payer and provider collaborations support the goal of helping customers successfully transition to value-based care.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Streamlining Drug Development</w:t>
      </w:r>
    </w:p>
    <w:p>
      <w:pPr>
        <w:spacing w:after="0" w:line="25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today’s healthcare landscape, there is a need to streamline drug development to bring new drugs to market faster. The number of molecules in the pipeline continues to increase. In addition, the development process itself is increasingly complex and costly. These trends have led to growing competition for investigators and patients in clinical studies. In this environment, demand from biopharmaceutical companies for data-driven study designs, scalable tools and relevant biomarkers continues to rise.</w:t>
      </w:r>
    </w:p>
    <w:p>
      <w:pPr>
        <w:spacing w:after="0" w:line="214"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CDD’s unique end-to-end global capabilities and leading data and analytics platforms, underpinned by its deep scientific and therapeutic expertise, provide biopharmaceutical and medical device companies with differentiated solutions to streamline development by allowing for more efficient study design, and faster and more targeted identification of eligible patients and investigators. The Company’s investment in CDD’s tools and technology has strengthened its leadership advantage in areas such as companion diagnostics and real-world evidence. In addition, LCD’s strategic relationships with hospitals and health systems create opportunities for those organizations to become research partners to participate in studies and clinical trials with CDD.</w:t>
      </w:r>
    </w:p>
    <w:p>
      <w:pPr>
        <w:spacing w:after="0" w:line="1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combination of the Company’s unique diagnostic and drug development operating models enables the company to create distinctive and innovative solutions to streamline drug development. An illustrative example is in virtual trials, in which the Company can apply its market access call-center capabilities to enroll and engage patients, its patient service centers (PSCs) to provide blood draws and biometric assessments in locations convenient to patients, and its central laboratory services to perform the associated testing.</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Consumer Engagement</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Patients are taking a greater role over their own healthcare, with increased responsibility for the costs of their care, and more choice in how, when, and where they access healthcare. This change requires healthcare providers to increasingly view patients as consumers. The Company has made significant investments to engage more directly with patients as consumers, through new and upgraded tools and technology that provide consumers with greater convenience and control over their interactions with the Company.</w:t>
      </w:r>
    </w:p>
    <w:p>
      <w:pPr>
        <w:spacing w:after="0" w:line="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Company is committed to enhancing the experience in its PSCs through easier self-check-in options, including advanced check-in and verification of personal information on a mobile device; opportunities to learn more about clinical trials and consent to be contacted about studies for which the consumer may be eligible. In addition, with most commercial insurance plans, the Company is supporting greater transparency about costs, providing estimates of anticipated out-of-pocket cost prior to specimen collection now available at all PSCs and a growing number of in-office phlebotomy sites.</w:t>
      </w:r>
    </w:p>
    <w:p>
      <w:pPr>
        <w:spacing w:after="0" w:line="18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LCD’s online portal offers convenient access to new and historical test results, information about tests, and an option to receive information about clinical trials. The Company is expanding its access points, including the 2017 launch of its “LabCorp at Walgreens” collaboration to open PSCs in Walgreens stores. The Company is also investing in and evaluating new technologies that may enable self-collection of specimens, and it is exploring the potential use of wearable devices for diagnostics and in clinical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performs the DNA testing for 23andMe, which has experienced significant test volume growth over the past several years, indicating increased consumer interest in having direct access to the information that testing provides. The Company also continues to support telemedicine, and other new care delivery models, that enhance consumer access to healthcare.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 and Health System Partnerships</w:t>
      </w:r>
    </w:p>
    <w:p>
      <w:pPr>
        <w:spacing w:after="0" w:line="13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established trend of healthcare consolidation continues. Private medical practices are joining larger medical groups or affiliating with health systems, while health systems are merging and absorbing additional facilities. MCOs are increasingly becoming not just payers but care providers, and in some markets, large health systems have created their own MCO. These combined organizations can provide economies of scale and the capital to make substantially greater investments in technology, and in some cases they can exercise greater control over how and where patients access care. These changes offer the promise of increased efficiency and reduced costs, while also improving patient outcomes.</w:t>
      </w:r>
    </w:p>
    <w:p>
      <w:pPr>
        <w:spacing w:after="0" w:line="20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supports those goals through its unique combination of diagnostics and drug development. It offers integrated and optimized lab testing across multiple types of care settings. It can dramatically simplify IT structures and interfaces to standardize lab testing and data across a disparate network of providers, facilities and systems. That data can also identify patients that may be eligible for clinical trials and physicians who may be able to serve as trial investigators. The Company believes that its ability to offer these integrated solutions is a differentiator in the marketplace.</w:t>
      </w:r>
    </w:p>
    <w:p>
      <w:pPr>
        <w:spacing w:after="0" w:line="1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more than three decades, the Company has developed and maintained a broad range of collaborations with hospitals and health systems and the Company continues to develop those relationships. In 2017, the Company entered into or extended strategic relationships with multiple health systems across the country, including Providence Health &amp; Services, Catholic Health Initiatives, Novant Health, and Mount Sinai Health System, among others. These relationships are foundational in delivering high-quality, outcomes-driven, and cost-effective care to patients. The Company will continue to invest in its team and capabilities to support this important strategic initiative.</w:t>
      </w:r>
    </w:p>
    <w:p>
      <w:pPr>
        <w:spacing w:after="0" w:line="21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is uniquely positioned to capitalize on the opportunities of the rapidly changing healthcare system. The combination of it leading diagnostics and drug development businesses adds new dimensions to the Company’s capabilities, strengthens its value proposition to key stakeholders and differentiates the Company from its competitors.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Reporting</w:t>
      </w:r>
    </w:p>
    <w:p>
      <w:pPr>
        <w:spacing w:after="0" w:line="13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Securities and Exchange Commission (SEC). Additionally, the SEC maintains a website at http://www.sec.gov that contains reports, proxy and information statements, and other information regarding issuers, including the Company, that file electronically with the SEC. The public may also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report, which include additional financial information about the Company, such as financial information about geographic areas. This report includes forward-looking statements that involve risks or uncertainties. The Company’s results could differ materially from those anticipated in these forward-looking statements as a result of certain factors, including the risk factors described in Item 1A of Part I of this report and elsewhere. For more information about forward-looking statements, see “Forward-Looking Statements” in Item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35"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reports its business in two segments, LCD and CDD. In 2017, LCD and CDD contributed 70.3% and 29.7%, respectively, of net revenues to the Company, and in 2016 contributed 69.9% and 30.1%, respectively. For further financial information about these segments, including information for each of the last three fiscal years regarding revenue, operating income and other important information, see Note 20 to the Consolidated Financial Statements.</w:t>
      </w:r>
    </w:p>
    <w:p>
      <w:pPr>
        <w:spacing w:after="0" w:line="52"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LCD Segment</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 is an independent clinical laboratory business. It offers a comprehensive menu of frequently requested and specialty testing through an integrated network of primary and specialty laboratories across the U.S. This network is supported by a sophisticated information technology system, with more than 65,000 electronic interfaces to deliver test results, nimble and efficient logistics, and local labs offering rapid response testing. The Company also provides patient access points, strategically and conveniently located throughout the U.S., including more than 1,900 PSCs operated by the Company and more than 5,000 in-</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office phlebotomists who are located in customer offices and facilities. In addition to diagnostic testing, LCD also offers a range of other testing services, including forensic DNA analysis, food safety and integrity services, as well as occupational and wellness testing for employers. LCD offers an expansive test menu including a wide range of clinical, anatomic pathology, genetic and genomic tests, and regularly adds new tests and improves the methodology of existing tests to enhance patient care.</w:t>
      </w:r>
    </w:p>
    <w:p>
      <w:pPr>
        <w:spacing w:after="0" w:line="9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Through the dedicated effort of approximately 39,000 employees, LCD typically processes tests on more than 2.5 million patient specimens each week and has laboratory locations throughout the U.S. and other countries, including Canada and the United Kingdom (U.K.).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Testing Industry</w:t>
      </w:r>
    </w:p>
    <w:p>
      <w:pPr>
        <w:spacing w:after="0" w:line="13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It is estimated that although laboratory services account for less than 3.0% of total U.S. healthcare spending (and less than 2.0% of Medicare expenditures), the results of those tests impact an estimated 70% of all decisions regarding a patient's diagnosis and treatment.</w:t>
      </w:r>
    </w:p>
    <w:p>
      <w:pPr>
        <w:spacing w:after="0" w:line="76"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Laboratory tests and procedures are used generally to assist in the diagnosis, monitoring and treatment of diseases and medical conditions through the examination of substances in blood, tissues and other specimens. The results of such tests can help in the evaluation of health, the detection of conditions or pathogens and the selection of appropriate therapies. Clinical laboratory testing is generally categorized as either clinical pathology testing, which is performed on body fluids including blood, or anatomical pathology testing, in which a pathologist examines histologic or cytologic samples (i.e., tissue and other samples, including human cells). Clinical and anatomical pathology procedures are frequently ordered as part of regular healthcare office visits and hospital admissions in connection with the diagnosis and treatment of illnesses. Certain of these tests and procedures are used in the diagnosis and management of a wide variety of medical conditions such as cancer, infectious disease, endocrine disorders, cardiac disorders and genetic disease.</w:t>
      </w:r>
    </w:p>
    <w:p>
      <w:pPr>
        <w:spacing w:after="0" w:line="7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Company believes that in 2017, the U.S. clinical laboratory testing industry generated revenues of approximately $80.0 billion. The clinical laboratory industry consists primarily of three types of providers: hospital-based laboratories, physician-office laboratories and independent clinical and anatomical pathology laboratories, such as those operated by LCD. The clinical laboratory business is intensely competitive. The Centers for Medicare and Medicaid Services (CMS) of the Department of Health and Human Services (HHS) has estimated that in 2017 there were approximately 9,000 hospital-based laboratories, more than 122,000 physician-office laboratories and more than 6,000 independent clinical laboratories in the U.S. LCD competes with all of those laboratories.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physicians selecting a laboratory often consider the following factors, among others:</w:t>
      </w:r>
    </w:p>
    <w:p>
      <w:pPr>
        <w:spacing w:after="0" w:line="13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timeliness and consistency in reporting test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capability and convenience;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it competes favorably in all of these areas.</w:t>
      </w:r>
    </w:p>
    <w:p>
      <w:pPr>
        <w:spacing w:after="0" w:line="1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believes that consolidation in the clinical laboratory testing business will continue. In addition, LCD believes that it and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changes in payment models to performance and value-based reimbursement to deliver better outcomes at lower cost; and large, integrated service networks. In addition, legal restrictions on physician referrals and physician ownership of laboratories, as well as ongoing regulation of laboratories, are expected to continue to contribute to the ongoing consolidation of the industry.</w:t>
      </w:r>
    </w:p>
    <w:p>
      <w:pPr>
        <w:spacing w:after="0" w:line="9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forensic investigations, environmental testing, wellness testing, toxicology testing, pain management testing, medical drug monitoring and nutritional analysis and food safety testing.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Operations and Productivity</w:t>
      </w:r>
    </w:p>
    <w:p>
      <w:pPr>
        <w:spacing w:after="0" w:line="25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LCD has a network of PSCs, phlebotomists placed at a customer location, branches, rapid response (STAT) laboratories, primary testing laboratories and specialty testing laboratories, including 19 ISO 15189-certified laboratories that provide customers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the assurance that comes with this rigorous global standard. Generally, a PSC is a facility maintained by LCD to serve the patients of physicians in a medical professional building or other strategic location. The PSC staff collects specimens for testing as requested by the physician. However, most patient specimens are collected by the customer's staff at their office or facility, or in some cases, by an LCD phlebotomist who has been placed in a physician office, hospital or other healthcare facility for the specific purpose of collecting specimens to be tested by LCD. These specimens are collected from PSCs and customer locations and sent principally through LCD's in-house courier system (and to a lesser extent, through independent couriers), to a branch or directly to one of LCD's laboratories for testing. A branch is a central facility that collects specimens in a region for shipment to one of LCD’s laboratories for testing. A branch is also frequently used as a base for sales and distribution staff. STAT laboratories, which are often co-located with a branch or a PSC, perform critical testing for nearby customers, with results typically delivered within 2-3 hours of receipt of the specimen. Primary testing laboratories perform frequently requested testing on a large scale. Specialty testing laboratories perform one or more types of specialty and esoteric testing.</w:t>
      </w:r>
    </w:p>
    <w:p>
      <w:pPr>
        <w:spacing w:after="0" w:line="194"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Each specimen and related request form is checked for completeness and given a unique identification number. The unique identification number assigned to each specimen associates the results to the appropriate patient. Once the necessary testing and billing information is entered into the software system, either electronically through an interface with the ordering physician or manually by a data entry operator, the tests are performed and the results are entered through an electronic data interface or manually, depending upon the tests and the type of instrumentation involved. Most of LCD's automated testing equipment is connected to its information systems. Most specimens are picked up from the customer's location by late afternoon or early evening and delivered to the testing laboratory by late evening on the day of collection or overnight. Test results are in most cases electronically delivered to the physician via electronic interfaces, the LabCorp Link</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(formerly LabCorp Beacon) platform, smart printers or personal computer-based products.</w:t>
      </w:r>
    </w:p>
    <w:p>
      <w:pPr>
        <w:spacing w:after="0" w:line="9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remains focused on improving quality and productivity while lowering costs throughout all phases of its operations, supported by LCD's technology, automation and facility rationalization initiatives. As part of an ongoing commitment to remain the most efficient and highest-value provider of laboratory services, several years ago LCD began a comprehensive business process improvement initiative, referred to as LaunchPad, to reengineer its systems and processes to create a sustainable and more efficient business model, and to improve the experience of all stakeholders. In 2017, the Company achieved its three-year-goal to deliver net LaunchPad savings of $150.0 million, and expects that the system and process improvements implemented through LaunchPad will yield continuing benefits for the foreseeable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Services</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offers a growing menu of nearly 5,000 tests. Several hundred of those tests are used in general patient care by physicians to establish or support a diagnosis, to monitor treatment or to search for an otherwise undiagnosed condition. The most frequently requested include blood chemistry analyses, urinalyses, blood cell counts, thyroid tests, Pap tests, hemoglobin A1C, prostate-specific antigen (PSA), tests for sexually-transmitted diseases [e.g. chlamydia, gonorrhea, trichomoniasis and human immunodeficiency virus (HIV)], hepatitis C (HCV) tests, vitamin D, microbiology cultures and procedures, and alcohol and other substance-abuse tests. LCD performs this core group of tests in its major laboratories using sophisticated instruments, with most results reported within 24 hours or less.</w:t>
      </w:r>
    </w:p>
    <w:p>
      <w:pPr>
        <w:spacing w:after="0" w:line="22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LCD provides a comprehensive range of specialty testing services in the areas of women's health, allergy, diagnostic genetics, cardiovascular disease, infectious disease, endocrinology, oncology, coagulation, pharmacogenetics, toxicology and medical drug monitoring.</w:t>
      </w:r>
    </w:p>
    <w:p>
      <w:pPr>
        <w:spacing w:after="0" w:line="19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LCD also performs a range of other testing services, including DNA testing to determine parentage and to assist in forensic investigations, and occupational testing and wellness testing for employers. In addition, LCD provides testing services to the food, beverage, nutraceutical, animal feed, chemical and agrochemical industries, which include nutritional analysis and equivalency, nutritional content fact labels, microbiological and chemical contaminant safety analysis, product development expertise, sensory testing, pesticide screening and stability testing.</w:t>
      </w:r>
    </w:p>
    <w:p>
      <w:pPr>
        <w:spacing w:after="0" w:line="19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LCD’s Specialty Testing Group performs esoteric testing, cancer diagnostics, and other complex procedures. LCD's specialty testing businesses and their areas of expertise are summarized in the chart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306705</wp:posOffset>
            </wp:positionV>
            <wp:extent cx="3018790" cy="2332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Specialty Testing Group offers advanced methods and access to scientific expertise in the following disciplines:</w:t>
      </w:r>
    </w:p>
    <w:p>
      <w:pPr>
        <w:spacing w:after="0" w:line="252"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Anatomic Pathology/Oncology. </w:t>
      </w:r>
      <w:r>
        <w:rPr>
          <w:rFonts w:ascii="Arial" w:cs="Arial" w:eastAsia="Arial" w:hAnsi="Arial"/>
          <w:sz w:val="17"/>
          <w:szCs w:val="17"/>
          <w:color w:val="auto"/>
        </w:rPr>
        <w:t>LCD offers advanced comprehensive tumor tissue analysis, including immunohistochemistry (IHC), cancer cytogenetics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fluorescence in situ hybridization (FISH) through its Dianon Pathology and Integrated Oncology specialty testing laboratories. Applications for molecular diagnostics continue to increase in oncology for leukemia analysis and solid tumor assessment. In cancers such as colon and lung cancer, assays that analyze genetic mutations can help guide appropriate therapy choices for a given patient. Through the combined expertise of LCD and CDD, the Company is a recognized leader in the development and introduction of companion and complementary diagnostics, which are becoming increasingly important in the treatment of cancer with new, targeted therapies for which only certain patients may be eligible, or which may provide greater or lesser benefits to certain patients, based on their individual genetic makeup.</w:t>
      </w:r>
    </w:p>
    <w:p>
      <w:pPr>
        <w:spacing w:after="0" w:line="20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w:t>
      </w:r>
      <w:r>
        <w:rPr>
          <w:rFonts w:ascii="Arial" w:cs="Arial" w:eastAsia="Arial" w:hAnsi="Arial"/>
          <w:sz w:val="18"/>
          <w:szCs w:val="18"/>
          <w:color w:val="auto"/>
        </w:rPr>
        <w:t>LCD’s cardiovascular menu includes cholesterol tests, expanded lipid profiles, a metabolic syndrome profile and tests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thrombosis and stroke. LCD also offers complete testing for monitoring disease progression and therapy response, including the clinical decision support (CDS) reports available through Litholink.</w:t>
      </w:r>
    </w:p>
    <w:p>
      <w:pPr>
        <w:spacing w:after="0" w:line="208"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Coagulation. </w:t>
      </w:r>
      <w:r>
        <w:rPr>
          <w:rFonts w:ascii="Arial" w:cs="Arial" w:eastAsia="Arial" w:hAnsi="Arial"/>
          <w:sz w:val="17"/>
          <w:szCs w:val="17"/>
          <w:color w:val="auto"/>
        </w:rPr>
        <w:t>LCD offers an extensive menu of tests for hemostasis and thrombosis, including bleeding profiles and screening tests, profiles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reproductive health, factor analysis, thrombin generation markers, and thrombotic risk evaluation. In 2017, LCD introduced a new, internally developed method to test for ADAMTS13, a rare, life-threatening blood clot disorder; the new method offers clinically significant improvements to previously available tests. LCD also performs testing in support of clinical trials for therapies to treat hemophilia.</w:t>
      </w:r>
    </w:p>
    <w:p>
      <w:pPr>
        <w:spacing w:after="0" w:line="19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Diagnostic Genetics. </w:t>
      </w:r>
      <w:r>
        <w:rPr>
          <w:rFonts w:ascii="Arial" w:cs="Arial" w:eastAsia="Arial" w:hAnsi="Arial"/>
          <w:sz w:val="18"/>
          <w:szCs w:val="18"/>
          <w:color w:val="auto"/>
        </w:rPr>
        <w:t>LCD offers cytogenetic, molecular cytogenetic, biochemical and molecular genetic tests. The biochemical genetics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 variety of prenatal screening options, including integrated and sequential prenatal assays and non-invasive prenatal testing (NIPT) for more sensitive and earlier assessment of risk for multiple fetal chromosomal aneuploidies, such as Down syndrome. LCD has expanded its cytogenetics offerings through the use of whole genome single-nucleotide polymorphism (SNP) microarray technology, which provides enhanced detection of subtle chromosomal changes associated with the etiology of mental retardation, developmental delay and autism. The molecular genetics services include multiplex analyses of a variety of disorders, gene sequencing applications for both somatic and germ-line alterations and whole exome sequencing. Through Integrated Genetics, LCD provides the most comprehensive genetic test menu in the industry, as well as approximately 130 genetic counselors and six medical geneticists to provide patients and their physicians with analysis, assessment and interpretation of genetic test results to help optimize patient decisions and outcomes.</w:t>
      </w:r>
    </w:p>
    <w:p>
      <w:pPr>
        <w:spacing w:after="0" w:line="2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Endocrinology. </w:t>
      </w:r>
      <w:r>
        <w:rPr>
          <w:rFonts w:ascii="Arial" w:cs="Arial" w:eastAsia="Arial" w:hAnsi="Arial"/>
          <w:sz w:val="18"/>
          <w:szCs w:val="18"/>
          <w:color w:val="auto"/>
        </w:rPr>
        <w:t>LCD is a leading provider of advanced hormone/steroid testing, including comprehensive services for the endocrine specialist. LCD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its menu in esoteric endocrine testing and has launched an initiative to develop steroid testing utilizing mass spectrometry technology. Mass spectrometry is used for detection of low levels of small molecule steroids, including testosterone in women, children and hypogonadal men. Additionally, LCD offers endocrine-related tests for genetic conditions including congenital adrenal hyperplasia, short stature, and thyroid cancer, along with extensive age- and gender-related reference intervals for those tests.</w:t>
      </w:r>
    </w:p>
    <w:p>
      <w:pPr>
        <w:spacing w:after="0" w:line="211" w:lineRule="exact"/>
        <w:rPr>
          <w:sz w:val="20"/>
          <w:szCs w:val="20"/>
          <w:color w:val="auto"/>
        </w:rPr>
      </w:pPr>
    </w:p>
    <w:p>
      <w:pPr>
        <w:jc w:val="both"/>
        <w:ind w:left="340"/>
        <w:spacing w:after="0" w:line="233" w:lineRule="auto"/>
        <w:rPr>
          <w:sz w:val="20"/>
          <w:szCs w:val="20"/>
          <w:color w:val="auto"/>
        </w:rPr>
      </w:pPr>
      <w:r>
        <w:rPr>
          <w:rFonts w:ascii="Arial" w:cs="Arial" w:eastAsia="Arial" w:hAnsi="Arial"/>
          <w:sz w:val="18"/>
          <w:szCs w:val="18"/>
          <w:b w:val="1"/>
          <w:bCs w:val="1"/>
          <w:i w:val="1"/>
          <w:iCs w:val="1"/>
          <w:color w:val="auto"/>
        </w:rPr>
        <w:t>Infectious Disease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provides complete HIV testing services, including viral load measurements, genotyping and phenotyping, and host genetic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that are important tools in managing and treating HIV infections. The addition of resistance tests, including PhenoSense</w:t>
      </w:r>
      <w:r>
        <w:rPr>
          <w:rFonts w:ascii="Arial" w:cs="Arial" w:eastAsia="Arial" w:hAnsi="Arial"/>
          <w:sz w:val="25"/>
          <w:szCs w:val="25"/>
          <w:color w:val="auto"/>
          <w:vertAlign w:val="superscript"/>
        </w:rPr>
        <w:t>®</w:t>
      </w:r>
      <w:r>
        <w:rPr>
          <w:rFonts w:ascii="Arial" w:cs="Arial" w:eastAsia="Arial" w:hAnsi="Arial"/>
          <w:sz w:val="18"/>
          <w:szCs w:val="18"/>
          <w:color w:val="auto"/>
        </w:rPr>
        <w:t>, PhenoSenseGT</w:t>
      </w:r>
      <w:r>
        <w:rPr>
          <w:rFonts w:ascii="Arial" w:cs="Arial" w:eastAsia="Arial" w:hAnsi="Arial"/>
          <w:sz w:val="25"/>
          <w:szCs w:val="25"/>
          <w:color w:val="auto"/>
          <w:vertAlign w:val="superscript"/>
        </w:rPr>
        <w:t>®</w:t>
      </w:r>
      <w:r>
        <w:rPr>
          <w:rFonts w:ascii="Arial" w:cs="Arial" w:eastAsia="Arial" w:hAnsi="Arial"/>
          <w:sz w:val="18"/>
          <w:szCs w:val="18"/>
          <w:color w:val="auto"/>
        </w:rPr>
        <w:t>, Trofile</w:t>
      </w:r>
      <w:r>
        <w:rPr>
          <w:rFonts w:ascii="Arial" w:cs="Arial" w:eastAsia="Arial" w:hAnsi="Arial"/>
          <w:sz w:val="25"/>
          <w:szCs w:val="25"/>
          <w:color w:val="auto"/>
          <w:vertAlign w:val="superscript"/>
        </w:rPr>
        <w:t>®</w:t>
      </w:r>
      <w:r>
        <w:rPr>
          <w:rFonts w:ascii="Arial" w:cs="Arial" w:eastAsia="Arial" w:hAnsi="Arial"/>
          <w:sz w:val="18"/>
          <w:szCs w:val="18"/>
          <w:color w:val="auto"/>
        </w:rPr>
        <w:t>, and GenoSure PRIme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complements the existing HIV GenoSure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assay and provides LCD with an industry-leading, comprehensive portfolio of HIV resistance testing services.</w:t>
      </w:r>
    </w:p>
    <w:p>
      <w:pPr>
        <w:sectPr>
          <w:pgSz w:w="11900" w:h="16838" w:orient="portrait"/>
          <w:cols w:equalWidth="0" w:num="1">
            <w:col w:w="11420"/>
          </w:cols>
          <w:pgMar w:left="240" w:top="125"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LCD also provides extensive testing services for HCV infections, including both viral load determinations and strain genotyping and host genetic factors.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LCD continues to develop molecular assays for infectious disease.</w:t>
      </w:r>
    </w:p>
    <w:p>
      <w:pPr>
        <w:spacing w:after="0" w:line="238" w:lineRule="exact"/>
        <w:rPr>
          <w:sz w:val="20"/>
          <w:szCs w:val="20"/>
          <w:color w:val="auto"/>
        </w:rPr>
      </w:pPr>
    </w:p>
    <w:p>
      <w:pPr>
        <w:jc w:val="both"/>
        <w:ind w:left="340"/>
        <w:spacing w:after="0" w:line="239" w:lineRule="auto"/>
        <w:rPr>
          <w:sz w:val="20"/>
          <w:szCs w:val="20"/>
          <w:color w:val="auto"/>
        </w:rPr>
      </w:pPr>
      <w:r>
        <w:rPr>
          <w:rFonts w:ascii="Arial" w:cs="Arial" w:eastAsia="Arial" w:hAnsi="Arial"/>
          <w:sz w:val="17"/>
          <w:szCs w:val="17"/>
          <w:b w:val="1"/>
          <w:bCs w:val="1"/>
          <w:i w:val="1"/>
          <w:iCs w:val="1"/>
          <w:color w:val="auto"/>
        </w:rPr>
        <w:t xml:space="preserve">Women's Health. </w:t>
      </w:r>
      <w:r>
        <w:rPr>
          <w:rFonts w:ascii="Arial" w:cs="Arial" w:eastAsia="Arial" w:hAnsi="Arial"/>
          <w:sz w:val="17"/>
          <w:szCs w:val="17"/>
          <w:color w:val="auto"/>
        </w:rPr>
        <w:t>LCD offers a comprehensive menu of women's health testing. A key feature of this menu is the industry's leading suite of NIPT tests,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MaterniT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GENOME, a fully validated genome-wide NIPT test, reflecting the Company's deep prenatal genetics capabilities. Other LCD testing options for women's health include the NuSwab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portfolio, featuring high-quality, convenient single-swab tests for common infections of the genital tract; an innovative age-based test protocol for cervical cancer and sexually-transmitted disease screening; liquid-based Pap testing with image-guided cervical cytology for improved cervical cancer detection; and out-of-the-vial Pap testing with options for human papillomavirus (HPV). LCD also offers tests that utilize the latest technical innovations for the full range of reproductive care, including maternal serum screening, prenatal diagnostics, ethnicity carrier screening, testing for causes of infertility or miscarriage as well as postnatal testing services.</w:t>
      </w:r>
    </w:p>
    <w:p>
      <w:pPr>
        <w:spacing w:after="0" w:line="2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Pharmacogenetics. </w:t>
      </w:r>
      <w:r>
        <w:rPr>
          <w:rFonts w:ascii="Arial" w:cs="Arial" w:eastAsia="Arial" w:hAnsi="Arial"/>
          <w:sz w:val="18"/>
          <w:szCs w:val="18"/>
          <w:color w:val="auto"/>
        </w:rPr>
        <w:t>LCD provides access to the latest tests in the emerging field of pharmacogenetics. These tests can help physicians understand how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metabolizes certain drugs, allowing them to select the most appropriate therapies or adjust dosing.</w:t>
      </w:r>
    </w:p>
    <w:p>
      <w:pPr>
        <w:spacing w:after="0" w:line="193"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b w:val="1"/>
          <w:bCs w:val="1"/>
          <w:i w:val="1"/>
          <w:iCs w:val="1"/>
          <w:color w:val="auto"/>
        </w:rPr>
        <w:t>Forensics and Donor Testing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LCD provides forensic identity testing used in connection with criminal proceedings. LCD continues to be a 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DNA analysis for sexual assault cases for jurisdictions across the U.S. LCD also provides forensic testing used in connection with parentage evaluation services that assist in determining parentage for child support enforcement proceedings and determining genetic relationships for immigration purposes. Parentage testing involves the evaluation of immunological and genetic markers in specimens obtained from the child, the mother and the alleged father. LCD also provides testing services in reconstruction cases, which assist in determining parentage without the presence of the parent in question. Additionally, LCD provides human leukocyte antigen testing to match organ and tissue transplant recipients with compatible donors.</w:t>
      </w:r>
    </w:p>
    <w:p>
      <w:pPr>
        <w:spacing w:after="0" w:line="183"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i w:val="1"/>
          <w:iCs w:val="1"/>
          <w:color w:val="auto"/>
        </w:rPr>
        <w:t>Occupational Testing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testing services for the detection of drug and alcohol use for private and government customers.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testing services are designed to produce forensic quality test results that satisfy the rigorous requirements of regulated and non-regulated workplace drug testing programs. Additionally, LCD provides employee wellness screenings comprised of biometric measurements and diagnostic tests to assist in the detection of health risks including cardiovascular disease and diabetes. LCD also provides medical drug monitoring tests that detect common pain medications and illicit drugs to assist physicians with assessing the full scope of a patient’s drug use.</w:t>
      </w:r>
    </w:p>
    <w:p>
      <w:pPr>
        <w:spacing w:after="0" w:line="78" w:lineRule="exact"/>
        <w:rPr>
          <w:sz w:val="20"/>
          <w:szCs w:val="20"/>
          <w:color w:val="auto"/>
        </w:rPr>
      </w:pPr>
    </w:p>
    <w:p>
      <w:pPr>
        <w:jc w:val="both"/>
        <w:ind w:left="340"/>
        <w:spacing w:after="0" w:line="245" w:lineRule="auto"/>
        <w:rPr>
          <w:sz w:val="20"/>
          <w:szCs w:val="20"/>
          <w:color w:val="auto"/>
        </w:rPr>
      </w:pPr>
      <w:r>
        <w:rPr>
          <w:rFonts w:ascii="Arial" w:cs="Arial" w:eastAsia="Arial" w:hAnsi="Arial"/>
          <w:sz w:val="17"/>
          <w:szCs w:val="17"/>
          <w:b w:val="1"/>
          <w:bCs w:val="1"/>
          <w:i w:val="1"/>
          <w:iCs w:val="1"/>
          <w:color w:val="auto"/>
        </w:rPr>
        <w:t>Medical Drug Monitoring Services</w:t>
      </w:r>
      <w:r>
        <w:rPr>
          <w:rFonts w:ascii="Arial" w:cs="Arial" w:eastAsia="Arial" w:hAnsi="Arial"/>
          <w:sz w:val="17"/>
          <w:szCs w:val="17"/>
          <w:color w:val="auto"/>
        </w:rPr>
        <w:t>. Medical drug monitoring is laboratory testing that monitors patients for the use of prescription pain medications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controlled substances. These testing services are designed to provide physicians with information relevant to the treatment of patients who are prescribed controlled substances, including opioid pain medications, antianxiety medications, and stimulants. This testing can help physicians identify patients who are not taking their prescribed doses, which could be an indication that the drugs are being diverted elsewhere, and also to identify patients who may be supplementing their prescribed medication with other, non-prescribed substances. LCD offers broad choice in medical drug monitoring test options, including LabCorp MedWatch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monitor, customizable drug monitoring test options focused on the most commonly prescribed pain medications and illicit drugs, and LabCorp MedWatch ToxAssure</w:t>
      </w:r>
      <w:r>
        <w:rPr>
          <w:rFonts w:ascii="Arial" w:cs="Arial" w:eastAsia="Arial" w:hAnsi="Arial"/>
          <w:sz w:val="24"/>
          <w:szCs w:val="24"/>
          <w:color w:val="auto"/>
          <w:vertAlign w:val="superscript"/>
        </w:rPr>
        <w:t>®</w:t>
      </w:r>
      <w:r>
        <w:rPr>
          <w:rFonts w:ascii="Arial" w:cs="Arial" w:eastAsia="Arial" w:hAnsi="Arial"/>
          <w:sz w:val="17"/>
          <w:szCs w:val="17"/>
          <w:color w:val="auto"/>
        </w:rPr>
        <w:t>, a broad-spectrum drug analysis that analyzes as many as 180 compounds to assess a full range of medication use. LCD testing may assist in identifying patients who may benefit from greater caution and increased monitoring or interventions when risk factors are identified.</w:t>
      </w:r>
    </w:p>
    <w:p>
      <w:pPr>
        <w:spacing w:after="0" w:line="10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Chronic Disease Programs. </w:t>
      </w:r>
      <w:r>
        <w:rPr>
          <w:rFonts w:ascii="Arial" w:cs="Arial" w:eastAsia="Arial" w:hAnsi="Arial"/>
          <w:sz w:val="18"/>
          <w:szCs w:val="18"/>
          <w:color w:val="auto"/>
        </w:rPr>
        <w:t>Through Litholink, LCD uses a programmatic approach to the comprehensive treatment of chronic diseases,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kidney disease, cardiovascular disease, metabolic bone disease and diabetes, and offers CDS reports to both physicians and patients. LCD believes these chronic disease programs represent potential significant savings to the healthcare system by increasing the detection of early-stage diseases and effectively managing chronic disease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New Tests</w:t>
      </w:r>
    </w:p>
    <w:p>
      <w:pPr>
        <w:spacing w:after="0" w:line="25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Advances in medicine continue to fundamentally change diagnostic testing. New tests are allowing clinical laboratories to provide unprecedented amounts of health-related information to physicians and patients. New molecular diagnostic tests that have been introduced over the past several years, including a gene-based test for HPV, HIV drug resistance assays, and molecular genetic testing for cystic fibrosis, have now become part of standard clinical practice. LCD continued its industry leadership in gene-based and esoteric testing in 2017, generating more than $2.0 billion in revenue from these testing services. As science continues to advance, LCD expects new testing technologies to emerge and, therefore, intends to continue to invest in advanced testing capabilities so that it can remain on the forefront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sales force, LCD rapidly introduces new testing technologies to customers. This differentiation is important in the retention and growth of business.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In 2017, LCD continued its emphasis on scientific innovation and leadership with the introduction of significant test menu and automation enhancements and by launching more than 70 new tests. LCD is focused on the expansion of existing programs in molecular diagnostics as well as the introduction of new assays and assay platforms through licensing partnerships, acquisitions and internal development. The Company's commitment to the scientific advancement in the development and assessment of new diagnostics and therapeutics is evidenced by producing nearly 600 peer-reviewed publications and presentations at scientific meetings, along with regular presentations in academic medical center grand rounds and seminars, in 2017.</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Examples of new tests and services introduced in 2017 include:</w:t>
      </w:r>
    </w:p>
    <w:p>
      <w:pPr>
        <w:spacing w:after="0" w:line="131" w:lineRule="exact"/>
        <w:rPr>
          <w:sz w:val="20"/>
          <w:szCs w:val="20"/>
          <w:color w:val="auto"/>
        </w:rPr>
      </w:pPr>
    </w:p>
    <w:p>
      <w:pPr>
        <w:jc w:val="both"/>
        <w:ind w:left="260"/>
        <w:spacing w:after="0" w:line="232" w:lineRule="auto"/>
        <w:rPr>
          <w:sz w:val="20"/>
          <w:szCs w:val="20"/>
          <w:color w:val="auto"/>
        </w:rPr>
      </w:pPr>
      <w:r>
        <w:rPr>
          <w:rFonts w:ascii="Arial" w:cs="Arial" w:eastAsia="Arial" w:hAnsi="Arial"/>
          <w:sz w:val="18"/>
          <w:szCs w:val="18"/>
          <w:b w:val="1"/>
          <w:bCs w:val="1"/>
          <w:i w:val="1"/>
          <w:iCs w:val="1"/>
          <w:color w:val="auto"/>
        </w:rPr>
        <w:t xml:space="preserve">Infectious Diseases. </w:t>
      </w:r>
      <w:r>
        <w:rPr>
          <w:rFonts w:ascii="Arial" w:cs="Arial" w:eastAsia="Arial" w:hAnsi="Arial"/>
          <w:sz w:val="18"/>
          <w:szCs w:val="18"/>
          <w:color w:val="auto"/>
        </w:rPr>
        <w:t>LCD now offers a series of BioFire</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 panels, produced by bioMerieux, with application across four clinical areas: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culture, gastrointestinal, and meningitis/encephalitis. These panels identify more than a hundred pathogens, including viruses, bacteria, yeast, parasites, and antimicrobial resistance genes, with faster turnaround times to help physicians more quickly and precisely diagnose and begin treatment in often-critical cases.</w:t>
      </w:r>
    </w:p>
    <w:p>
      <w:pPr>
        <w:spacing w:after="0" w:line="108" w:lineRule="exact"/>
        <w:rPr>
          <w:sz w:val="20"/>
          <w:szCs w:val="20"/>
          <w:color w:val="auto"/>
        </w:rPr>
      </w:pPr>
    </w:p>
    <w:p>
      <w:pPr>
        <w:jc w:val="both"/>
        <w:ind w:left="260"/>
        <w:spacing w:after="0" w:line="232" w:lineRule="auto"/>
        <w:rPr>
          <w:sz w:val="20"/>
          <w:szCs w:val="20"/>
          <w:color w:val="auto"/>
        </w:rPr>
      </w:pPr>
      <w:r>
        <w:rPr>
          <w:rFonts w:ascii="Arial" w:cs="Arial" w:eastAsia="Arial" w:hAnsi="Arial"/>
          <w:sz w:val="18"/>
          <w:szCs w:val="18"/>
          <w:b w:val="1"/>
          <w:bCs w:val="1"/>
          <w:i w:val="1"/>
          <w:iCs w:val="1"/>
          <w:color w:val="auto"/>
        </w:rPr>
        <w:t xml:space="preserve">Oncology. </w:t>
      </w:r>
      <w:r>
        <w:rPr>
          <w:rFonts w:ascii="Arial" w:cs="Arial" w:eastAsia="Arial" w:hAnsi="Arial"/>
          <w:sz w:val="18"/>
          <w:szCs w:val="18"/>
          <w:color w:val="auto"/>
        </w:rPr>
        <w:t>LCD continued its leadership in oncology by offering a significant number of new tests focused on the diagnosis and treatment of cancer.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one of the first labs to offer Thermo Fisher Scientific’s Oncomine Dx Target Test, the first next-generation sequencing-based (NGS) test approved by the FDA as a companion diagnostic to aid in the selection of specific targeted therapies for treatment of non-small cell lung cancer patients. LCD was also one of the first laboratories to join Thermo Fisher’s Next-Generation Sequencing Companion Dx Center of Excellence Program, offering enhanced participation in clinical trials and early access to novel testing platforms and assays. With the Omniseq Immune Report Card</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test and the OmniSeq Comprehensive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panel, LCD became the exclusive laboratory to provide U.S. physicians with unique insights to help guide treatment decisions for cancer patients who may be appropriate candidates for immunotherapy and other targeted treatments. LCD extended its offering of proprietary NGS VistaSeq</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Cancer panels. The VistaSeq tests screen for elevated risk of hereditary cancer, and the expanded offering includes tests for multiple additional types of cancer.</w:t>
      </w:r>
    </w:p>
    <w:p>
      <w:pPr>
        <w:spacing w:after="0" w:line="231"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b w:val="1"/>
          <w:bCs w:val="1"/>
          <w:i w:val="1"/>
          <w:iCs w:val="1"/>
          <w:color w:val="auto"/>
        </w:rPr>
        <w:t xml:space="preserve">Women's Health. </w:t>
      </w:r>
      <w:r>
        <w:rPr>
          <w:rFonts w:ascii="Arial" w:cs="Arial" w:eastAsia="Arial" w:hAnsi="Arial"/>
          <w:sz w:val="18"/>
          <w:szCs w:val="18"/>
          <w:color w:val="auto"/>
        </w:rPr>
        <w:t>LCD maintained its leading position in women's health testing, including a robust menu of NIPT testing options, ranging from screening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common autosomal trisomies, to detection of select microdeletions, to a genome-wide assessment of large copy number variants. These offerings provide the most comprehensive menu of noninvasive fetal aneuploidy screening. LCD began to offer ReproSURE™, a blood test designed to provide information about ovarian reserve, which is an indication of a woman's reproductive potential to help physicians and patients in selecting the most appropriate fertility treatment to increase chances of becoming pregnant.</w:t>
      </w:r>
    </w:p>
    <w:p>
      <w:pPr>
        <w:spacing w:after="0" w:line="94"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b w:val="1"/>
          <w:bCs w:val="1"/>
          <w:i w:val="1"/>
          <w:iCs w:val="1"/>
          <w:color w:val="auto"/>
        </w:rPr>
        <w:t xml:space="preserve">Medical Drug Monitoring and Toxicology. </w:t>
      </w:r>
      <w:r>
        <w:rPr>
          <w:rFonts w:ascii="Arial" w:cs="Arial" w:eastAsia="Arial" w:hAnsi="Arial"/>
          <w:sz w:val="18"/>
          <w:szCs w:val="18"/>
          <w:color w:val="auto"/>
        </w:rPr>
        <w:t>LCD’s existing expertise in medical drug monitoring and toxicology, through MedTox Laboratories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LabCorp Occupational Testing Services, was enhanced through the acquisition of Pathology Associates Medical Laboratory (PAML) which had particular strength in medical drug monitoring. The combination will allow LCD to provide expanded access and capacity for medical drug monitoring and toxicology services.</w:t>
      </w:r>
    </w:p>
    <w:p>
      <w:pPr>
        <w:spacing w:after="0" w:line="214"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LCD continues its collaborations with university, hospital and academic institutions, such as Boston University, Columbia University, Duke University, Johns Hopkins University, The Mount Sinai Hospital, the University of Tennessee and Yale University, to license and commercialize new diagnostic tests.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Technology-Enabled Solutions</w:t>
      </w:r>
    </w:p>
    <w:p>
      <w:pPr>
        <w:spacing w:after="0" w:line="252"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LCD’s technology-enabled solutions include innovative decision support programs for chronic diseases, population health analytics tools, and a proprietary set of tools to provide customers and patients with convenient and secure access to LCD’s services. These industry-leading solutions are designed to improve health and improve lives by providing a better laboratory experience for physicians and patients, and ultimately improving the delivery of care.</w:t>
      </w:r>
    </w:p>
    <w:p>
      <w:pPr>
        <w:spacing w:after="0" w:line="17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During 2017, LCD delivered more than 6.0 million enhanced CDS reports for chronic health conditions, including kidney disease, cardiovascular disease, metabolic bone disease and diabetes. LCD’s proprietary CDS reports integrate patient-specific diagnostic information and evidence-based healthcare content to help physicians and patients better manage health. In addition, these decision-support programs promote physician adherence to evidence-based treatment guidelines.</w:t>
      </w:r>
    </w:p>
    <w:p>
      <w:pPr>
        <w:spacing w:after="0" w:line="21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LCD continues to develop new population health analytics programs that provide healthcare business intelligence tools to health systems, physician practices, and accountable care organizations (ACOs). These tools are intended to assist customers in their compliance and reporting requirements with respect to efficient management of their productivity, quality and patient outcome metrics. LCD's robust rules engine maintains a large number of clinical quality measures that are highly customizable and support compliance with meaningful use and quality reporting requirements such as ACO standards, Joint Commission standards and the CMS Physician Quality Reporting System (PQRS). Real-time clinical alerts highlight gaps in care for patients and patient populations.</w:t>
      </w:r>
    </w:p>
    <w:p>
      <w:pPr>
        <w:spacing w:after="0" w:line="220" w:lineRule="exact"/>
        <w:rPr>
          <w:sz w:val="20"/>
          <w:szCs w:val="20"/>
          <w:color w:val="auto"/>
        </w:rPr>
      </w:pPr>
    </w:p>
    <w:p>
      <w:pPr>
        <w:jc w:val="both"/>
        <w:ind w:firstLine="270"/>
        <w:spacing w:after="0" w:line="216" w:lineRule="auto"/>
        <w:rPr>
          <w:sz w:val="20"/>
          <w:szCs w:val="20"/>
          <w:color w:val="auto"/>
        </w:rPr>
      </w:pPr>
      <w:r>
        <w:rPr>
          <w:rFonts w:ascii="Arial" w:cs="Arial" w:eastAsia="Arial" w:hAnsi="Arial"/>
          <w:sz w:val="18"/>
          <w:szCs w:val="18"/>
          <w:color w:val="auto"/>
        </w:rPr>
        <w:t>LCD's centralized and proprietary LabCorp | Link</w:t>
      </w:r>
      <w:r>
        <w:rPr>
          <w:rFonts w:ascii="Arial" w:cs="Arial" w:eastAsia="Arial" w:hAnsi="Arial"/>
          <w:sz w:val="25"/>
          <w:szCs w:val="25"/>
          <w:color w:val="auto"/>
          <w:vertAlign w:val="superscript"/>
        </w:rPr>
        <w:t>TM</w:t>
      </w:r>
      <w:r>
        <w:rPr>
          <w:rFonts w:ascii="Arial" w:cs="Arial" w:eastAsia="Arial" w:hAnsi="Arial"/>
          <w:sz w:val="18"/>
          <w:szCs w:val="18"/>
          <w:color w:val="auto"/>
        </w:rPr>
        <w:t>, which focuses on physicians, is a series of assets and functionalities that enhance the customer experience and provide an end-to-end lab solution. These assets and functionalities include:</w:t>
      </w:r>
    </w:p>
    <w:p>
      <w:pPr>
        <w:sectPr>
          <w:pgSz w:w="11900" w:h="16838" w:orient="portrait"/>
          <w:cols w:equalWidth="0" w:num="1">
            <w:col w:w="11420"/>
          </w:cols>
          <w:pgMar w:left="240" w:top="125"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physician portal optimized for web and mobile devices;</w:t>
      </w:r>
    </w:p>
    <w:p>
      <w:pPr>
        <w:spacing w:after="0" w:line="23"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Express electronic ordering for essentially all of LCD's brands and services;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results viewing and enhanced reports;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 analytics that provide one-click trending of patient, test and population data;</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CDS tools at the point of testing and resulting;</w:t>
      </w:r>
    </w:p>
    <w:p>
      <w:pPr>
        <w:spacing w:after="0" w:line="9" w:lineRule="exact"/>
        <w:rPr>
          <w:rFonts w:ascii="Arial" w:cs="Arial" w:eastAsia="Arial" w:hAnsi="Arial"/>
          <w:sz w:val="18"/>
          <w:szCs w:val="18"/>
          <w:color w:val="auto"/>
        </w:rPr>
      </w:pPr>
    </w:p>
    <w:p>
      <w:pPr>
        <w:ind w:left="960" w:right="460" w:hanging="331"/>
        <w:spacing w:after="0" w:line="25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AccuDraw, which provides graphical, step-by-step guidance to help improve accuracy, workflow and turnaround time in the collection and processing of specimens at the point of collection; and</w:t>
      </w:r>
    </w:p>
    <w:p>
      <w:pPr>
        <w:ind w:left="960" w:hanging="33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Services-oriented architecture with rules-based engines, content aggregation and seamless integration with practice workflow.</w:t>
      </w:r>
    </w:p>
    <w:p>
      <w:pPr>
        <w:spacing w:after="0" w:line="116" w:lineRule="exact"/>
        <w:rPr>
          <w:sz w:val="20"/>
          <w:szCs w:val="20"/>
          <w:color w:val="auto"/>
        </w:rPr>
      </w:pPr>
    </w:p>
    <w:p>
      <w:pPr>
        <w:ind w:firstLine="270"/>
        <w:spacing w:after="0" w:line="216" w:lineRule="auto"/>
        <w:rPr>
          <w:sz w:val="20"/>
          <w:szCs w:val="20"/>
          <w:color w:val="auto"/>
        </w:rPr>
      </w:pPr>
      <w:r>
        <w:rPr>
          <w:rFonts w:ascii="Arial" w:cs="Arial" w:eastAsia="Arial" w:hAnsi="Arial"/>
          <w:sz w:val="18"/>
          <w:szCs w:val="18"/>
          <w:color w:val="auto"/>
        </w:rPr>
        <w:t>LCD’s centralized and proprietary LabCorp | Patient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a series of assets and functionalities that enhance the patience experience. These assets and functionalities include:</w:t>
      </w:r>
    </w:p>
    <w:p>
      <w:pPr>
        <w:spacing w:after="0" w:line="109" w:lineRule="exact"/>
        <w:rPr>
          <w:sz w:val="20"/>
          <w:szCs w:val="20"/>
          <w:color w:val="auto"/>
        </w:rPr>
      </w:pPr>
    </w:p>
    <w:p>
      <w:pPr>
        <w:ind w:left="960" w:hanging="33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patient portal optimized for web and market-leading mobile devices;</w:t>
      </w:r>
    </w:p>
    <w:p>
      <w:pPr>
        <w:spacing w:after="0" w:line="23" w:lineRule="exact"/>
        <w:rPr>
          <w:rFonts w:ascii="Arial" w:cs="Arial" w:eastAsia="Arial" w:hAnsi="Arial"/>
          <w:sz w:val="18"/>
          <w:szCs w:val="18"/>
          <w:color w:val="auto"/>
        </w:rPr>
      </w:pPr>
    </w:p>
    <w:p>
      <w:pPr>
        <w:ind w:left="960" w:hanging="33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results viewing and patient education materials;</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appointment scheduling and bill payment;</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online patient cost estimator for select genetic tests; and</w:t>
      </w:r>
    </w:p>
    <w:p>
      <w:pPr>
        <w:spacing w:after="0" w:line="9" w:lineRule="exact"/>
        <w:rPr>
          <w:rFonts w:ascii="Arial" w:cs="Arial" w:eastAsia="Arial" w:hAnsi="Arial"/>
          <w:sz w:val="18"/>
          <w:szCs w:val="18"/>
          <w:color w:val="auto"/>
        </w:rPr>
      </w:pPr>
    </w:p>
    <w:p>
      <w:pPr>
        <w:ind w:left="960" w:hanging="33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option to receive information about clinical trials.</w:t>
      </w:r>
    </w:p>
    <w:p>
      <w:pPr>
        <w:spacing w:after="0" w:line="116" w:lineRule="exact"/>
        <w:rPr>
          <w:sz w:val="20"/>
          <w:szCs w:val="20"/>
          <w:color w:val="auto"/>
        </w:rPr>
      </w:pPr>
    </w:p>
    <w:p>
      <w:pPr>
        <w:jc w:val="both"/>
        <w:ind w:left="80" w:firstLine="270"/>
        <w:spacing w:after="0" w:line="276" w:lineRule="auto"/>
        <w:rPr>
          <w:sz w:val="20"/>
          <w:szCs w:val="20"/>
          <w:color w:val="auto"/>
        </w:rPr>
      </w:pPr>
      <w:r>
        <w:rPr>
          <w:rFonts w:ascii="Arial" w:cs="Arial" w:eastAsia="Arial" w:hAnsi="Arial"/>
          <w:sz w:val="16"/>
          <w:szCs w:val="16"/>
          <w:color w:val="auto"/>
        </w:rPr>
        <w:t>LCD introduced two new patient self-service products in 2017, LabCorp | PreCheck</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LabCorp | Express</w:t>
      </w:r>
      <w:r>
        <w:rPr>
          <w:rFonts w:ascii="Arial" w:cs="Arial" w:eastAsia="Arial" w:hAnsi="Arial"/>
          <w:sz w:val="22"/>
          <w:szCs w:val="22"/>
          <w:color w:val="auto"/>
          <w:vertAlign w:val="superscript"/>
        </w:rPr>
        <w:t>TM</w:t>
      </w:r>
      <w:r>
        <w:rPr>
          <w:rFonts w:ascii="Arial" w:cs="Arial" w:eastAsia="Arial" w:hAnsi="Arial"/>
          <w:sz w:val="16"/>
          <w:szCs w:val="16"/>
          <w:color w:val="auto"/>
        </w:rPr>
        <w:t>, that improve the patient experience across the PSC network. LabCorp | PreCheck is a mobile optimized online application that allows patients to easily schedule a PSC visit in advance. LabCorp | Express uses tablets located in PSCs, allowing patients with or without an appointment to check into the PSC and, if they do not already have an appointment, find the next available one at that or a nearby PSC. Both systems support confirmation and manual entry of demographic and insurance information designed to expedite the intake process and improve patient flow at the PSC, and also provide options to receive testing and appointment notifications via email or text message. LabCorp | PreCheck also offers an image-capture option for driver’s licenses or other state-issued identification and insurance cards. LabCorp | Express supports bar-code scanning of those cards. These systems have demonstrably increased patient and staff satisfaction. In addition, the notifications may help increase test compliance, and the patient data collected will help accelerate enrollment in LabCorp | Patient and further increase the growing population of patients who may receive information about clinical study opportunities with CDD.</w:t>
      </w:r>
    </w:p>
    <w:p>
      <w:pPr>
        <w:spacing w:after="0" w:line="83" w:lineRule="exact"/>
        <w:rPr>
          <w:sz w:val="20"/>
          <w:szCs w:val="20"/>
          <w:color w:val="auto"/>
        </w:rPr>
      </w:pPr>
    </w:p>
    <w:p>
      <w:pPr>
        <w:jc w:val="both"/>
        <w:ind w:left="80" w:right="20" w:firstLine="270"/>
        <w:spacing w:after="0" w:line="238" w:lineRule="auto"/>
        <w:rPr>
          <w:sz w:val="20"/>
          <w:szCs w:val="20"/>
          <w:color w:val="auto"/>
        </w:rPr>
      </w:pPr>
      <w:r>
        <w:rPr>
          <w:rFonts w:ascii="Arial" w:cs="Arial" w:eastAsia="Arial" w:hAnsi="Arial"/>
          <w:sz w:val="17"/>
          <w:szCs w:val="17"/>
          <w:color w:val="auto"/>
        </w:rPr>
        <w:t>LCD’s centralized and proprietary LabCorp | Payer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enables healthcare organizations to obtain test results and quality data through a web-based interface. Results and quality data are increasingly important as the healthcare system focuses on new payment models and the need to deliver better patient outcomes and reduce cost. Over time, this new portal will be expanded to deliver a wide variety of data and analytic value.</w:t>
      </w:r>
    </w:p>
    <w:p>
      <w:pPr>
        <w:spacing w:after="0" w:line="10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LCD's BeaconLBS business provides a technology-enabled solution that provides point-of-care decision support through interfaces with test ordering systems to assist physicians in selecting a lab and the right test for the patient at the right time. Physicians, patients, healthcare delivery systems and payers are expected to benefit from this innovation, which supports the selection of labs that are designed to improve quality, supports evidence-based guidelines for patient care, and more effectively manages laboratory testing utilization trends without disrupting physician work flow. The BeaconLBS rules engine interfaces with payer policies for ordering, utilization, adjudication and payment.</w:t>
      </w:r>
    </w:p>
    <w:p>
      <w:pPr>
        <w:spacing w:after="0" w:line="215" w:lineRule="exact"/>
        <w:rPr>
          <w:sz w:val="20"/>
          <w:szCs w:val="20"/>
          <w:color w:val="auto"/>
        </w:rPr>
      </w:pPr>
    </w:p>
    <w:p>
      <w:pPr>
        <w:jc w:val="both"/>
        <w:ind w:firstLine="270"/>
        <w:spacing w:after="0" w:line="242" w:lineRule="auto"/>
        <w:rPr>
          <w:sz w:val="20"/>
          <w:szCs w:val="20"/>
          <w:color w:val="auto"/>
        </w:rPr>
      </w:pPr>
      <w:r>
        <w:rPr>
          <w:rFonts w:ascii="Arial" w:cs="Arial" w:eastAsia="Arial" w:hAnsi="Arial"/>
          <w:sz w:val="18"/>
          <w:szCs w:val="18"/>
          <w:color w:val="auto"/>
        </w:rPr>
        <w:t>In 2013, BeaconLBS signed an agreement with UnitedHealthcare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 implement a laboratory benefit management program in Florida utilizing BeaconLBS. UnitedHealthcare launched the laboratory benefit management program with BeaconLBS in Florida on October 1, 2014. In April 2015, BeaconLBS achieved its targeted implementation for UnitedHealthcare in Florida, and LCD began recognizing revenue for providing this service. Results from the Florida program continue to demonstrate improvements in physician use of Labs of Choice (a network of quality, cost-effective labs); improvement in physician test selection based on evidence-based guidelines; reduction in patient out-of-pocket costs; and a reduction in patient use of non-par laboratories. UnitedHealthcare has not yet expanded the laboratory benefit management program beyond Florida. In 2017, BeaconLBS signed an additional agreement with UnitedHealthcare to implement a national molecular testing management program covering approximately 4.2 million fully insured customers across the U.S., which uses a new BeaconLBS molecular test management and decision support platform for test prior authorizations and notifications. The program became effective November 1,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Laboratory Services</w:t>
      </w:r>
    </w:p>
    <w:p>
      <w:pPr>
        <w:spacing w:after="0" w:line="25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Billing for laboratory services is a complicated process involving many payers such as MCOs, Medicare, Medicaid, physicians and physician groups, hospitals, patients and employer groups, all of which have different billing requirements. In addition, billing arrangements with third-party administrators may further complicate the billing process. Tests ordered by a physician may be billed to different payers depending on the medical benefits of a particular patient. Most testing services are billed to a party other than the physician or other authorized person who ordered the test. A growing portion of revenue is derived from patients in the form of deductibles, coinsurance, copayments, and charges for non-covered tests.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LCD utilizes a centralized billing system in the collection of approximately 89.7% of its domestic revenue (85.2% of consolidated LCD revenue). This system generates bills to LCD customers based on payer type. Customer billing is typically generated monthly, whereas patient and third-party billing are typically generated daily. Accounts receivable are then monitored by billing personnel, and follow-up activities are conducted as necessary. Bad debt expense is recorded within selling, general and administrative expenses as a percentage of sales considered necessary to maintain the allowance for doubtful accounts at an appropriate level, based on LCD's experience. LCD writes off accounts against the allowance for doubtful accounts when accounts receivable are deemed to be uncollectible. For customer billing, third-party and managed care, accounts are written off when all reasonable collection efforts prove to be unsuccessful. Patient accounts are written off after the normal dunning cycle has occurred and the account has been transferred to a third-party collection agency.</w:t>
      </w:r>
    </w:p>
    <w:p>
      <w:pPr>
        <w:spacing w:after="0" w:line="219"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A significant portion of LCD's bad debt expense is related to accounts receivable from patients who are unwilling or unable to pay. In 2017, LCD continued its focus on process and account management initiatives to reduce the negative impact of bad debt expense related to patient accounts receivable.</w:t>
      </w:r>
    </w:p>
    <w:p>
      <w:pPr>
        <w:spacing w:after="0" w:line="15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Another component of LCD’s bad debt expense is the result of non-credit-related issues that slow the billing process, such as missing or incorrect billing information on test requisitions. LCD vigorously attempts to obtain any missing information or rectify any incorrect billing information received from the ordering physician. However, LCD typically performs the requested tests and returns the test results regardless of whether billing information is correct or complete. LCD believes that this experience is similar to that of its primary competitors. LCD continues to focus on process initiatives aimed at reducing the impact of these non-credit-related issues. This is accomplished through ongoing identification of root-cause issues, deploying technology-enabled solutions, training provided to internal and external resources involved in the patient data capture process, and an emphasis on the use of electronic test ordering. Specific to technology-enabled solutions, in 2016 LCD deployed insurance eligibility verification and address validation at the time of service in all PSCs. In 2017, the Company implemented system enhancements that provide patients with an estimate of their out-of-pocket costs. In 2018, the Company plans to deploy a self-serve platform for physicians to resolve claim issues related to diagnosis and coverage denials.</w:t>
      </w:r>
    </w:p>
    <w:p>
      <w:pPr>
        <w:spacing w:after="0" w:line="20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each year and can be adjusted at the government's discretion based upon the actual volume and mix of testing services performed by the licensed healthcare providers in the province during the year. In 2017, the amount of the Company's capitated revenue derived from the Ontario government-sponsored healthcare plan was CAD $189.3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U.S. Market Changes on the Clinical Laboratory Business</w:t>
      </w:r>
    </w:p>
    <w:p>
      <w:pPr>
        <w:spacing w:after="0" w:line="252"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delivery of, and reimbursement for, healthcare continues to change in the U.S.,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test utilization for the clinical laboratory industry by imposing new, increasingly complex regulatory and administrative requirements. From time to time, the government also has considered changes to the Medicare and Medicaid fee schedules, and LCD believes that pressure to reduce government reimbursement will continue.</w:t>
      </w:r>
    </w:p>
    <w:p>
      <w:pPr>
        <w:spacing w:after="0" w:line="20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Fees for most laboratory services reimbursed by Medicare are established in the Clinical Laboratory Fee Schedule (CLFS), and fees for other testing reimbursed by Medicare, primarily related to pathology, are covered by the Physician Fee Schedule (PFS). During 2017, approximately 12.1% of LCD’s revenue was reimbursed under the CLFS (12.3% in 2016), and approximately 0.7% was reimbursed under the PFS (0.8% in 2016). Over the past several years, LCD has experienced governmental reimbursement reductions as a direct result of the Patient Protection and Affordable Care Act (ACA), the Medicare Access and CHIP Reauthorization Act of 2015 (MACRA) and the Achieving a Better Life Experience Act of 2014 (ABLE Act). In addition, payer policy changes have impacted the reimbursement for LCD. Further, PAMA, which became law on April 1, 2014, and went into effect on January 1, 2018, is expected to result in a future net reduction in reimbursement revenue under the CLFS.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20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2017, LCD received a 1.2% payment increase under the CLFS representing approximately $15.6 million. During this same period, LCD experienced a $3.6 million reduction in payments under the PFS.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Beginning in 2018, under PAMA, CMS is setting the CLFS using the weighted median of reported private payer prices paid to certain laboratories that receive a majority of their Medicare revenue from the CLFS and PFS and that bill Medicare under their own National Provider Identifier (NPI). On June 23, 2016, CMS issued a final rule to implement PAMA that required applicable laboratories, including LCD,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The second data reporting period for CDLTs will occur during the first quarter of 2020, and new CLFS rates for CDLTs will be established based on that data beginning in 2021, subject to the previously described phase-in limits for 2021-2023. The third data reporting period for CDLTs will occur during the first quarter of 2023, and new CLFS rates for CDLTs will be established based on that data beginning in 2024. CLFS rates for 2024 and subsequent periods will not be subject to phase-in limits. CLFS rates for Advanced Diagnostic Laboratory Tests (ADLTs) will be updated annually.</w:t>
      </w:r>
    </w:p>
    <w:p>
      <w:pPr>
        <w:spacing w:after="0" w:line="207"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 For 2018, the Company estimates that the CLFS rates will reduce LCD revenue from all payers affected by the CLFS by a total of approximately 8% ($70.0 million).</w:t>
      </w:r>
    </w:p>
    <w:p>
      <w:pPr>
        <w:spacing w:after="0" w:line="17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final rates published by CMS were based on data reported by only 1% of all laboratories paid by Medicare in 2015, and only 1% of the reported data was from hospital laboratories. Consequently, the American Clinical Laboratory Association (ACLA) filed a federal civil action against HHS for declaratory and injunctive relief on December 11, 2017, arguing that CMS violated the PAMA statute by excluding most of the laboratory market from reporting data on which the rates were based, resulting in rates that do not fairly reflect the private market as the clear language of PAMA requires. While that lawsuit is proceeding, ACLA continues to work with Congress on potential legislative reform of PAMA, which if enacted could reduce the negative impact of PAMA as implemented by CMS. The Company supports the ongoing efforts to prevent or lessen the negative impact of the changes to the CLFS pursuant to PAMA, and the full impact of those efforts, and what the long-term effect will be on the CLFS rates is not yet known.</w:t>
      </w:r>
    </w:p>
    <w:p>
      <w:pPr>
        <w:spacing w:after="0" w:line="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4, 2016, CMS noted in a final rule implementing MACRA that it intended to apply Merit Based Incentive Payment System (MIPS) requirements to pathologists practicing in independent laboratories, including LCD. Under this requirement, LCD pathologists would have been required to begin reporting certain quality metrics in 2017 for LCD to avoid negative PFS payment adjustments or to qualify for positive PFS payment adjustments beginning in 2019. ACLA met with CMS on March 9, 2017, regarding implementation of this requirement, which was not proposed in the MACRA proposed rule. CMS clarified that it would not apply MIPS requirements to pathologists practicing in independent laboratories.</w:t>
      </w:r>
    </w:p>
    <w:p>
      <w:pPr>
        <w:spacing w:after="0" w:line="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2018, LCD anticipates it will realize an estimated $1.6 million reduction in PFS net revenue, driven by combined reductions in reimbursement for flow cytometry procedures.</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Further, healthcare reform could occur in 2018, including changes to the ACA and Medicare reform, as well as administrative requirements that may continue to affect coverage, reimbursement, and utilization of laboratory services in ways that are currently unpredictable.</w:t>
      </w:r>
    </w:p>
    <w:p>
      <w:pPr>
        <w:spacing w:after="0" w:line="19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market-based changes have affected and will continue to affect the clinical laboratory business. Reimbursement from commercial payers for diagnostic testing has shifted and will continue to shift away from traditional, fee-for-service models to alternatives, including value-based, bundled pay-for-performance, and other risk-sharing payment models. The growth of the managed care sector and consolidation of MCOs present various challenges and opportunities to LCD and other clinical laboratories.</w:t>
      </w:r>
    </w:p>
    <w:p>
      <w:pPr>
        <w:spacing w:after="0" w:line="214"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In 2006, the Company signed a 10-year agreement with UnitedHealthcare to become its exclusive national laboratory in the U.S. In September 2011, the Company extended this agreement for an additional two years through the end of 2018. The Company also serves many other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 For the year ended December 31, 2017, capitated contracts with MCOs accounted for approximately $259.1 million, or 3.6%, of LCD's net revenues. LCD's ability to attract and retain MCO customers has become even more important as the impact of various healthcare reform initiatives continues, including expanded health insurance exchanges and ACOs.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 networks, utilization management tools (such as prior authorization and/or prior notification), and claims edits, which impact coverage and reimbursement of clinical laboratory tests. Some of these programs address clinical laboratory testing broadly, while others are focused on molecular and genetic testing. In addition, continued movement by patients into consumer-driven health plans may have an impact on the utilization of laboratory testing.</w:t>
      </w:r>
    </w:p>
    <w:p>
      <w:pPr>
        <w:spacing w:after="0" w:line="84"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Despite the overall negative market changes regarding reimbursement discussed above, LCD believes that the volume of clinical laboratory testing is positively influenced by several factors, including the expansion of Medicaid, managed care, and private insurance exchanges. In addition, LCD believes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 population. As previously discussed, LCD also believes that it and other large, independent clinical laboratory testing companies will be able to increase their share of the overall clinical laboratory testing market due to a number of market factors, primarily related to a continued drive to improve outcomes and reduce costs across the healthcare system. LCD believes that its enhanced and growing esoteric menu of tests, leading position with companion diagnostics, broad geographic footprint, and operating efficiency provide a strong platform for growth.</w:t>
      </w:r>
    </w:p>
    <w:p>
      <w:pPr>
        <w:spacing w:after="0" w:line="8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CDD Segment</w:t>
      </w:r>
    </w:p>
    <w:p>
      <w:pPr>
        <w:spacing w:after="0" w:line="13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CDD provides end-to-end drug development, medical device and diagnostic services from early-stage research to clinical trial management and commercial market access. CDD provides a wide range of drug research and development (R&amp;D) and market access services to biopharmaceutical companies and medical device companies across the world. With the acquisition of Chiltern, CDD now has more than 20,000 employees worldwide and a global network of operations. It has deep expertise in clinical trials, supporting clinical trial activity in approximately 100 countries through its industry-leading central laboratory business, generating more safety and efficacy data to support drug approvals than any other company. CDD collaborated on more than 90% of the novel drugs approved by the FDA in 2017, including more than 90% of the novel rare and orphan disease drugs and two-thirds of the novel oncology drugs. In addition, CDD has been involved in the development of all current top 50 drugs on the market as measured by sales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Industry</w:t>
      </w:r>
    </w:p>
    <w:p>
      <w:pPr>
        <w:spacing w:after="0" w:line="252" w:lineRule="exact"/>
        <w:rPr>
          <w:sz w:val="20"/>
          <w:szCs w:val="20"/>
          <w:color w:val="auto"/>
        </w:rPr>
      </w:pPr>
    </w:p>
    <w:p>
      <w:pPr>
        <w:jc w:val="both"/>
        <w:ind w:firstLine="292"/>
        <w:spacing w:after="0" w:line="291" w:lineRule="auto"/>
        <w:rPr>
          <w:sz w:val="20"/>
          <w:szCs w:val="20"/>
          <w:color w:val="auto"/>
        </w:rPr>
      </w:pPr>
      <w:r>
        <w:rPr>
          <w:rFonts w:ascii="Arial" w:cs="Arial" w:eastAsia="Arial" w:hAnsi="Arial"/>
          <w:sz w:val="16"/>
          <w:szCs w:val="16"/>
          <w:color w:val="auto"/>
        </w:rPr>
        <w:t>Drug development services companies like CDD are also referred to as CROs and typically derive substantially all of their revenue from R&amp;D as well as marketing expenditures of the biopharmaceutical industry. CDD offers comprehensive global drug, medical device and diagnostic development services from preclinical research through all phases of clinical development and into commercialization. Outsourcing of R&amp;D services from biopharmaceutical companies to CROs has increased in the past, and is expected to continue increasing in the future, because of several factors, including: pressures to improve return on investment, limitations on internal R&amp;D capacity, the need to reduce drug development timelines, stringent government regulation, as well as therapeutic, scientific and other expertise that customers lack internally. The investment and amount of time required to develop new drugs are significant and have been increasing, and these trends create opportunities for CDD and other CROs that can help make the drug development process more efficient.</w:t>
      </w:r>
    </w:p>
    <w:p>
      <w:pPr>
        <w:spacing w:after="0" w:line="1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large CROs with global capabilities. CDD competes against these small and large CROs, as well as in-house departments of biopharmaceutical, medical device and diagnostic companies, and to a lesser extent, selected universities and teaching hospitals.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CDD believes that customers selecting a CRO often consider the following factors, among others:</w:t>
      </w:r>
    </w:p>
    <w:p>
      <w:pPr>
        <w:spacing w:after="0" w:line="198" w:lineRule="exact"/>
        <w:rPr>
          <w:sz w:val="20"/>
          <w:szCs w:val="20"/>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 for quality, efficient, timely performance and regulatory compliance;</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Expertise and experience in operations, and the use of technology;</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Specific therapeutic and scientific expertise;</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access services;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acquire, process, analyze and report data in a rapid and accurate manner;</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of relationships;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60" w:right="20" w:hanging="409"/>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 including the recruitment of appropriate and sufficient clinical-trial subjects; and</w:t>
      </w:r>
    </w:p>
    <w:p>
      <w:pPr>
        <w:ind w:left="720" w:hanging="46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Size and scale.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CDD believes that it competes favorably in all of these areas.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Services</w:t>
      </w:r>
    </w:p>
    <w:p>
      <w:pPr>
        <w:spacing w:after="0" w:line="252"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6"/>
          <w:szCs w:val="16"/>
          <w:color w:val="auto"/>
        </w:rPr>
        <w:t>CDD’s preclinical service offerings include research models, lead optimization, analytical services, safety assessment, and chemistry manufacturing and control (CMC) services for drug development. CDD offers solution-based approaches by leveraging highly experienced program development directors and project managers to help guide strategic decisions and manage molecule development in an integrated, streamlined manner across CDD's eight analytical laboratories and preclinical laboratories in the U.S., the U.K., Germany and China. CDD's historical innovations in the preclinical area include technologies such as MarketPlace and StudyTracker</w:t>
      </w:r>
      <w:r>
        <w:rPr>
          <w:rFonts w:ascii="Arial" w:cs="Arial" w:eastAsia="Arial" w:hAnsi="Arial"/>
          <w:sz w:val="22"/>
          <w:szCs w:val="22"/>
          <w:color w:val="auto"/>
          <w:vertAlign w:val="superscript"/>
        </w:rPr>
        <w:t>®</w:t>
      </w:r>
      <w:r>
        <w:rPr>
          <w:rFonts w:ascii="Arial" w:cs="Arial" w:eastAsia="Arial" w:hAnsi="Arial"/>
          <w:sz w:val="16"/>
          <w:szCs w:val="16"/>
          <w:color w:val="auto"/>
        </w:rPr>
        <w:t>. Covance MarketPlace is a private, secure web portal providing potential investors or partners access to information about new drugs in development. StudyTracker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an internet-based customer access product, allowing customers of toxicology, bioanalytical, metabolism, and reproductive and developmental toxicology services to review study schedules and data on a near real-time basis.</w:t>
      </w:r>
    </w:p>
    <w:p>
      <w:pPr>
        <w:spacing w:after="0" w:line="211" w:lineRule="exact"/>
        <w:rPr>
          <w:sz w:val="20"/>
          <w:szCs w:val="20"/>
          <w:color w:val="auto"/>
        </w:rPr>
      </w:pPr>
    </w:p>
    <w:p>
      <w:pPr>
        <w:jc w:val="both"/>
        <w:ind w:left="240"/>
        <w:spacing w:after="0" w:line="271" w:lineRule="auto"/>
        <w:rPr>
          <w:sz w:val="20"/>
          <w:szCs w:val="20"/>
          <w:color w:val="auto"/>
        </w:rPr>
      </w:pPr>
      <w:r>
        <w:rPr>
          <w:rFonts w:ascii="Arial" w:cs="Arial" w:eastAsia="Arial" w:hAnsi="Arial"/>
          <w:sz w:val="17"/>
          <w:szCs w:val="17"/>
          <w:b w:val="1"/>
          <w:bCs w:val="1"/>
          <w:i w:val="1"/>
          <w:iCs w:val="1"/>
          <w:color w:val="auto"/>
        </w:rPr>
        <w:t xml:space="preserve">Research Models. </w:t>
      </w:r>
      <w:r>
        <w:rPr>
          <w:rFonts w:ascii="Arial" w:cs="Arial" w:eastAsia="Arial" w:hAnsi="Arial"/>
          <w:sz w:val="17"/>
          <w:szCs w:val="17"/>
          <w:color w:val="auto"/>
        </w:rPr>
        <w:t>CDD is an American Association for Accreditation of Laboratory Animal Care (AAALAC) International accredited provider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purpose-bred research models globally. Due to regulation by the FDA and other foreign regulatory bodies, safety and efficacy testing on research models is required as part of the drug development process prior to testing in humans. CDD has a strong commitment to animal welfare, and has instituted progressive enrichment practices and rigorous health testing standards that exceed industry standards to protect the health of CDD's models. CDD is also committed to seeking out alternatives to, or the reduction of, the use of research models when possible. CDD's research models include standard lines as well as disease state and genetically altered models to accommodate customers’ needs. CDD offers purpose-bred-specific, pathogen free rabbits, canines, nonhuman primates, and other species, as well as blood and tissue products and surgical/technical services, including telemetry. The purpose-bred research animals are sold to biopharmaceutical companies, university research centers and CROs.</w:t>
      </w:r>
    </w:p>
    <w:p>
      <w:pPr>
        <w:spacing w:after="0" w:line="206"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b w:val="1"/>
          <w:bCs w:val="1"/>
          <w:i w:val="1"/>
          <w:iCs w:val="1"/>
          <w:color w:val="auto"/>
        </w:rPr>
        <w:t>Lead Optimization</w:t>
      </w:r>
      <w:r>
        <w:rPr>
          <w:rFonts w:ascii="Arial" w:cs="Arial" w:eastAsia="Arial" w:hAnsi="Arial"/>
          <w:sz w:val="17"/>
          <w:szCs w:val="17"/>
          <w:color w:val="auto"/>
        </w:rPr>
        <w:t>. Lead optimization services are designed to connect early discovery activities to regulated pre-clinical studies. These services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non-good laboratory practice (GLP) toxicology,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with model development and integrated safety and efficacy capabilities, nonclinical imaging, nonclinical pathology services, pharmacokinetic/toxicokinetic (PK/TK) analysis reporting and immunology services.</w:t>
      </w:r>
    </w:p>
    <w:p>
      <w:pPr>
        <w:spacing w:after="0" w:line="193"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b w:val="1"/>
          <w:bCs w:val="1"/>
          <w:i w:val="1"/>
          <w:iCs w:val="1"/>
          <w:color w:val="auto"/>
        </w:rPr>
        <w:t>Analytical Services</w:t>
      </w:r>
      <w:r>
        <w:rPr>
          <w:rFonts w:ascii="Arial" w:cs="Arial" w:eastAsia="Arial" w:hAnsi="Arial"/>
          <w:sz w:val="18"/>
          <w:szCs w:val="18"/>
          <w:color w:val="auto"/>
        </w:rPr>
        <w:t>. Bioanalytical testing services help determine the appropriate dose and frequency of drug application from late discovery evaluation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through Phase III clinical testing on a full-scale, globally integrated basis. CDD’s analytical services offering includes liquid chromatography-mass spectroscopy immunoanalytical solutions and specialty support, translational biomarker solutions, discovery bioanalysis, vaccine analysis, PK/TK analysis and reporting, and organic synthesis. In addition, CDD offers a growing menu of validated, nonproprietary assays for hundreds of compounds, eliminating method development and validation time, and reducing program cost. CDD has dedicated lab facilities across three continents providing in vitro drug metabolism,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radiolabeled absorption, distribution, metabolism and excretion studies; metabolite identification/profiling and nonclinical PK screening; and radiosynthesis services. CDD also provides pharmaceutical chemistry services that determine the metabolic profile and bioavailability of drug candidates.</w:t>
      </w:r>
    </w:p>
    <w:p>
      <w:pPr>
        <w:spacing w:after="0" w:line="219"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b w:val="1"/>
          <w:bCs w:val="1"/>
          <w:i w:val="1"/>
          <w:iCs w:val="1"/>
          <w:color w:val="auto"/>
        </w:rPr>
        <w:t xml:space="preserve">Safety Assessment. </w:t>
      </w:r>
      <w:r>
        <w:rPr>
          <w:rFonts w:ascii="Arial" w:cs="Arial" w:eastAsia="Arial" w:hAnsi="Arial"/>
          <w:sz w:val="18"/>
          <w:szCs w:val="18"/>
          <w:color w:val="auto"/>
        </w:rPr>
        <w:t>Safety assessment services include general, genetic, and immunotoxicology services; nonclinical pathology services;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pharmacology services; and developmental and reproductive toxicology (DART) studies. CDD’s drug development services employ state-of-the-art technology and an integrated program for both large and small molecules with facilities across three continents. CDD's nonclinical pathology group is comprised of certified veterinary pathologists who provide critical insights and recommendations to help customers navigate the drug development process. CDD’s safety pharmacology services utilize the Value Added Safety Pharmacology &amp; Toxicology approach to economically assess pharmacology endpoints during toxicology studies to minimize safety issues during the clinical phases. DART services help customers assess the birth defect risk for potential drug candidates.</w:t>
      </w:r>
    </w:p>
    <w:p>
      <w:pPr>
        <w:spacing w:after="0" w:line="216" w:lineRule="exact"/>
        <w:rPr>
          <w:sz w:val="20"/>
          <w:szCs w:val="20"/>
          <w:color w:val="auto"/>
        </w:rPr>
      </w:pPr>
    </w:p>
    <w:p>
      <w:pPr>
        <w:jc w:val="both"/>
        <w:ind w:left="240"/>
        <w:spacing w:after="0" w:line="279" w:lineRule="auto"/>
        <w:rPr>
          <w:sz w:val="20"/>
          <w:szCs w:val="20"/>
          <w:color w:val="auto"/>
        </w:rPr>
      </w:pPr>
      <w:r>
        <w:rPr>
          <w:rFonts w:ascii="Arial" w:cs="Arial" w:eastAsia="Arial" w:hAnsi="Arial"/>
          <w:sz w:val="17"/>
          <w:szCs w:val="17"/>
          <w:b w:val="1"/>
          <w:bCs w:val="1"/>
          <w:i w:val="1"/>
          <w:iCs w:val="1"/>
          <w:color w:val="auto"/>
        </w:rPr>
        <w:t xml:space="preserve">Biopharm CMC Manufacturing Solutions. </w:t>
      </w:r>
      <w:r>
        <w:rPr>
          <w:rFonts w:ascii="Arial" w:cs="Arial" w:eastAsia="Arial" w:hAnsi="Arial"/>
          <w:sz w:val="17"/>
          <w:szCs w:val="17"/>
          <w:color w:val="auto"/>
        </w:rPr>
        <w:t>CMC offers packages supporting FDA Investigational New Drug Application and New Drug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Application/Biologic License Application submissions, as well as programs to help CDD's customers meet acceptance criteria for the release of drug products for both biologics and small molecules. CMC provides well-coordinated capabilities and expertise operating within a global quality system framework to deliver robust, cost-effective solutions. Capabilities include safety, identity, strength, quality and purity assessments for biologics.</w:t>
      </w:r>
    </w:p>
    <w:p>
      <w:pPr>
        <w:spacing w:after="0" w:line="198"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 xml:space="preserve">Early Phase Development Solutions. </w:t>
      </w:r>
      <w:r>
        <w:rPr>
          <w:rFonts w:ascii="Arial" w:cs="Arial" w:eastAsia="Arial" w:hAnsi="Arial"/>
          <w:sz w:val="18"/>
          <w:szCs w:val="18"/>
          <w:color w:val="auto"/>
        </w:rPr>
        <w:t>Early Phase Development Solutions (EPDS) offers customers access to a focused, multidisciplinary team of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crafts integrated solutions to rapidly identify and develop lead drug candidates and reduce development challenges. EPDS provides customers with seamless integration of the complete array of CDD nonclinical and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color w:val="auto"/>
        </w:rPr>
        <w:t>early clinical services, with a focus on scientific integrity and human subject safety. EPDS also offers an innovative parallel study approach for shorter proof-of-concept studies. This approach can increase clinical return on investment through the application of medical, scientific and therapeutic expertise, along with patient stratification strategies.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Laboratory Services</w:t>
      </w:r>
    </w:p>
    <w:p>
      <w:pPr>
        <w:spacing w:after="0" w:line="2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provides central laboratory and specialty testing services to biopharmaceutical customers through its global network of central laboratories in the U.S., Switzerland, Singapore and China as well as its strategic agreement for central laboratory services testing in Japan with BML, Inc., a leading Japanese laboratory testing company.</w:t>
      </w:r>
    </w:p>
    <w:p>
      <w:pPr>
        <w:spacing w:after="0" w:line="208"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CDD’s capabilities provide customers the flexibility to conduct studies on a global basis. Because CDD uses consistent laboratory equipment, methods, reagents and calibrators for studies, data can be combined with clinical trials in different regions to produce global trial reference ranges. Combinable data eliminates the cumbersome process of harmonizing results generated using different methods in different laboratories on different equipment. CDD also offers external-facing tools such as LabLink+ and Xcellerate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Investigator Portal, which are internet-based customer programs that allow customers to review and query clinical trial lab data on a near real-time basis, that provide an opportunity for enhanced collaboration between the investigator sites, CROs and sponsors.</w:t>
      </w:r>
    </w:p>
    <w:p>
      <w:pPr>
        <w:spacing w:after="0" w:line="23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CDD operates the world’s largest automated clinical trial sample collection kit production line, located in Indianapolis, Indiana. This facility provides kits and supplies to investigator sites around the world, promoting global consistency in sample collection. Extensive automation in the kit production process enables kits to be produced with 5.5 sigma precision, while maintaining the scalability needed to meet increasing global demand. CDD's biorepository facility in Greenfield, Indiana, is dedicated to long-term storage of clinical trial specimens. CDD has additional sample storage facilities in Indianapolis, Indiana; Geneva, Switzerland; Singapore; and Shanghai, China. These actively monitored facilities are able to store a wide range of specimens, including plasma, serum, whole blood, peripheral blood, DNA and tissue.</w:t>
      </w:r>
    </w:p>
    <w:p>
      <w:pPr>
        <w:spacing w:after="0" w:line="22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CDD has five ISO 15189-certified central laboratories that provide customers with the assurance that comes with this rigorous global standard. In addition to utilizing the broad scientific expertise of the LCD Specialty Testing Group, CDD has implemented a novel model for external lab selection and management that provides rigor and reduces internal resource drain for trial sponsors. The extended laboratory management solutions team focuses on managing all aspects of referral laboratory services, including vendor negotiations, governance, quality management, data services and contract services.</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CDD, in conjunction with LCD’s expertise in a wide range of specialty and esoteric testing disciplines, offers a scientifically rich and diverse menu of specialty testing capabilities, spanning the clinical development continuum. These include applied genomics, next-generation sequencing, anatomic and molecular pathology, flow cytometry, clinical immunoassays as well as preclinical and exploratory biomarker development. The combination of CDD and LCD differentiated capabilities and unparalleled experience in companion and complementary diagnostic services support the parallel development of a new medicine and its associated diagnostic assay. The Company's dedicated companion diagnostics team has helped develop more than 70% of all currently available FDA-approved companion and complementary diagnostics, and worked on more than 165 global programs in this area in 2017. CDD can support the development of in-vitro diagnostic, companion diagnostics and laboratory-developed tests (LDT). By combining CDD’s strength in central laboratory and early-stage clinical development with LCD’s strength in test commercialization, the Company is well positioned to offer comprehensive, end-to-end support for companion diagnostic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and Commercialization Services</w:t>
      </w:r>
    </w:p>
    <w:p>
      <w:pPr>
        <w:spacing w:after="0" w:line="26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CDD offers a comprehensive range of clinical trial services, including the full management of Phase I through IV clinical studies, along with a wide offering of functional service provider (FSP) solutions. CDD has extensive experience in all major therapeutic areas, and provides the following core services either on an individual or aggregated basis to meet its customers’ needs: study design and modeling; coordination of study activities; trial logistics; monitoring of study site performance; clinical data management and biostatistical analysis; pharmacovigilance/safety assessments; and medical writing and regulatory services. CDD also has a dedicated group with extensive experience in the conduct of trials for medical devices, to provide services for the expanding market in medical devices, including wearable diagnostics.</w:t>
      </w:r>
    </w:p>
    <w:p>
      <w:pPr>
        <w:spacing w:after="0" w:line="84"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CDD has extensive experience in designing and managing global clinical trials and regional clinical trial activities in North America, Europe, Latin America and the Asia-Pacific region. These trials may be conducted separately or simultaneously as part of a multinational or global development plan. CDD can manage every aspect of a clinical trial, from clinical development plans and protocol design to new drug applications and other supporting services.</w:t>
      </w:r>
    </w:p>
    <w:p>
      <w:pPr>
        <w:spacing w:after="0" w:line="17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CDD provides clinical pharmacology services at its four clinics in the U.S. and Europe, including first-in-human trials, and early clinical trial subject proof-of-concept studies of new pharmaceuticals.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CDD offers a range of commercialization solutions, including life cycle management and post-approval studies, which are typically conducted after a drug has successfully undergone clinical efficacy and safety testing and the New Drug Application has been submitted to the FDA and/or other regulatory bodies. CDD also offers market access solutions, including reimbursement consulting and hotlines, patient assistance programs, health economic and outcomes research services, observational studies, real world evidence and analytics services, and value communication services. Biopharmaceutical companies purchase these services to serve patients in need of therapy and to help optimize their return on R&amp;D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 Technology-Enabled Solutions</w:t>
      </w:r>
    </w:p>
    <w:p>
      <w:pPr>
        <w:spacing w:after="0" w:line="2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CDD’s technology-enabled solutions are designed to improve the drug development process, providing its biopharmaceutical customers with greater access to key data and improved management of trials. These proprietary tools include the award-winning Xcellerate informatics platform, the PharmAcuity suite of software applications, and the endpoint trial management solution.</w:t>
      </w:r>
    </w:p>
    <w:p>
      <w:pPr>
        <w:spacing w:after="0" w:line="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Xcellerate integrates multiple sources of data to deliver unique and timely information throughout the course of customer studies. Xcellerate helps to reduce the cost, time, complexity and risk associated with clinical trials. These solutions leverage a highly innovative data integration and visualization technology that provides timely, secure, integrated and contextualized access to all clinical trial data to enable proactive risk management and informed decision making. Key Xcellerate modules include Forecasting &amp; Site Selection, Clinical Trial Management, Monitoring, and Insights:</w:t>
      </w:r>
    </w:p>
    <w:p>
      <w:pPr>
        <w:spacing w:after="0" w:line="77" w:lineRule="exact"/>
        <w:rPr>
          <w:sz w:val="20"/>
          <w:szCs w:val="20"/>
          <w:color w:val="auto"/>
        </w:rPr>
      </w:pPr>
    </w:p>
    <w:p>
      <w:pPr>
        <w:ind w:left="660" w:hanging="409"/>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Xcellerate Forecasting &amp; Site Selection enables customers to identify the optimal sites and investigators by drawing on the world’s largest proprietary clinical trial knowledge base.</w:t>
      </w:r>
    </w:p>
    <w:p>
      <w:pPr>
        <w:spacing w:after="0" w:line="1" w:lineRule="exact"/>
        <w:rPr>
          <w:rFonts w:ascii="Arial" w:cs="Arial" w:eastAsia="Arial" w:hAnsi="Arial"/>
          <w:sz w:val="18"/>
          <w:szCs w:val="18"/>
          <w:color w:val="auto"/>
        </w:rPr>
      </w:pPr>
    </w:p>
    <w:p>
      <w:pPr>
        <w:ind w:left="660" w:hanging="40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Xcellerate Clinical Trial Management provides the foundational operating systems to enable frictionless execution of clinical trials.</w:t>
      </w:r>
    </w:p>
    <w:p>
      <w:pPr>
        <w:spacing w:after="0" w:line="9"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Xcellerate Monitoring enables customers to improve data quality, clinical trial subject safety and protocol compliance in the execution of clinical trials by proactively identifying and mitigating risks at the study site and clinical trial subject level.</w:t>
      </w:r>
    </w:p>
    <w:p>
      <w:pPr>
        <w:ind w:left="660" w:hanging="409"/>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Xcellerate Insights enables effective operational oversight by providing interactive, up-to-date views of a broad range of operational metrics and key performance indicators at the study and portfolio levels through a secure collaboration portal.</w:t>
      </w:r>
    </w:p>
    <w:p>
      <w:pPr>
        <w:spacing w:after="0" w:line="8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PharmAcuity is a cloud-based suite of software applications that helps biopharmaceutical companies fine-tune their clinical trial strategy, planning, and design months before a given trial begins. The performance data available via PharmAcuity is derived from past trials and public data sources covering more than 130 countries, reflecting the worldwide nature of clinical trials. Key PharmAcuity modules include Metrics and Benchmarking, and Trial Forecasting:</w:t>
      </w:r>
    </w:p>
    <w:p>
      <w:pPr>
        <w:spacing w:after="0" w:line="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PharmAcuity Metrics and Benchmarking enables a client to assess the performance of past trials relative to the current targets as well as set accurate and feasible targets for a variety of future trial milestones. Utilizing the rest of the pharmaceutical industry’s performance data as a benchmark allows the client to evaluate its own clinical trial performance against the industry, thus leading to better trial, enrollment, and country planning.</w:t>
      </w:r>
    </w:p>
    <w:p>
      <w:pPr>
        <w:spacing w:after="0" w:line="8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PharmAcuity Trial Forecasting empowers a client to forecast its own clinical trial performance and build different forecasting scenarios across multiple dimensions, all based on proprietary inputs and historical, contextual industry performances.</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CDD’s endpoint trial management solutions offer interactive response technology (IRT) to provide visibility across a customer’s clinical development portfolio, allowing for optimization of study management and reduced trial supply costs while helping to bring novel therapies to market faster. Key endpoint modules include:</w:t>
      </w:r>
    </w:p>
    <w:p>
      <w:pPr>
        <w:spacing w:after="0" w:line="100" w:lineRule="exact"/>
        <w:rPr>
          <w:sz w:val="20"/>
          <w:szCs w:val="20"/>
          <w:color w:val="auto"/>
        </w:rPr>
      </w:pPr>
    </w:p>
    <w:p>
      <w:pPr>
        <w:jc w:val="both"/>
        <w:ind w:left="660" w:hanging="328"/>
        <w:spacing w:after="0" w:line="23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endpoint’s proprietary PULSE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is made up of pre-validated, configurable study components that enable rapid development and quicker modification to a customer’s existing IRT system. PULSE can help to streamline complex trial randomization methods, improve drug supply management, and simplify site, study, and subject management. The fully digital, mobile-ready system allows access to patient data and outcomes in real time.</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endpoint’s DRIVE platform provides visibility into supplies management for an entire clinical development portfolio. This enables automated supply functionality to help minimize costs, reduce waste, and manage regulatory compliance across multiple trial sites.</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CDD’s other proprietary technology assets include an investigator database and analytic methodologies that are utilized to design and manage site selection and clinical trial subject enrollment, and MarketPlace, a private, secure web portal providing potential investors or partners access to information about new drugs in development.</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Together, CDD's technology-enabled solutions improve the quality and speed of clinical trials, resulting in reduced costs and increased market potential for biopharmaceutical company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provides its services to a broad range of customers. The primary customer groups serviced by the Company include: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MCOs. </w:t>
      </w:r>
      <w:r>
        <w:rPr>
          <w:rFonts w:ascii="Arial" w:cs="Arial" w:eastAsia="Arial" w:hAnsi="Arial"/>
          <w:sz w:val="18"/>
          <w:szCs w:val="18"/>
          <w:color w:val="auto"/>
        </w:rPr>
        <w:t>The Company serves many MCOs, each of which operate on a national, regional or local basis.</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Biopharmaceutical Companies. </w:t>
      </w:r>
      <w:r>
        <w:rPr>
          <w:rFonts w:ascii="Arial" w:cs="Arial" w:eastAsia="Arial" w:hAnsi="Arial"/>
          <w:sz w:val="18"/>
          <w:szCs w:val="18"/>
          <w:color w:val="auto"/>
        </w:rPr>
        <w:t>The Company serves hundreds of biopharmaceutical companies, ranging from the world’s largest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to emerging to mid-market organizations. Contracts with these institutions generally take the form of fee-for-service or fixed-price arrangements.</w:t>
      </w:r>
    </w:p>
    <w:p>
      <w:pPr>
        <w:spacing w:after="0" w:line="20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i w:val="1"/>
          <w:iCs w:val="1"/>
          <w:color w:val="auto"/>
        </w:rPr>
        <w:t xml:space="preserve">Physicians and Other Healthcare Providers. </w:t>
      </w:r>
      <w:r>
        <w:rPr>
          <w:rFonts w:ascii="Arial" w:cs="Arial" w:eastAsia="Arial" w:hAnsi="Arial"/>
          <w:sz w:val="17"/>
          <w:szCs w:val="17"/>
          <w:color w:val="auto"/>
        </w:rPr>
        <w:t>Physicians who require clinical laboratory testing for their patients are a primary source of requests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LCD's testing services. Physicians may practice individually, or as part of small or large physician groups, including those operated as part of a broader health system. Fees for clinical laboratory testing services rendered for physicians are billed either to the physician, the physician group, the patient or the patient’s third-party payer, such as an MCO, Medicare or Medicaid. Billings are typically on a fee-for-service basis. If the billings are to the physician, they are based on a customer-specific fee schedule and are subject to negotiation. Otherwise, the patient or third-party payer is billed at the Company's patient fee schedule, subject to third-party payer contract terms and negotiation by physicians on behalf of their patients. Patient sales are recorded at the Company’s patient fee schedule, net of any discounts negotiated with physicians on behalf of their patients, or made available through charity care or an uninsured or underinsured patient program. Revenues received from Medicare and Medicaid billings are based on government-set fee schedules and reimbursement rules.</w:t>
      </w:r>
    </w:p>
    <w:p>
      <w:pPr>
        <w:spacing w:after="0" w:line="209"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b w:val="1"/>
          <w:bCs w:val="1"/>
          <w:i w:val="1"/>
          <w:iCs w:val="1"/>
          <w:color w:val="auto"/>
        </w:rPr>
        <w:t xml:space="preserve">Hospitals and Health Systems. </w:t>
      </w:r>
      <w:r>
        <w:rPr>
          <w:rFonts w:ascii="Arial" w:cs="Arial" w:eastAsia="Arial" w:hAnsi="Arial"/>
          <w:sz w:val="18"/>
          <w:szCs w:val="18"/>
          <w:color w:val="auto"/>
        </w:rPr>
        <w:t>The Company provides hospitals and health systems with services ranging from core and specialty testing to supply chain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technical support services, and the opportunity to be a research partner for participation in studies and clinical trials with CDD. Individual hospitals generally maintain on-site laboratories to perform immediately needed testing for patients receiving care. However, they also refer less time-sensitive procedures, less frequently needed procedures and highly specialized procedures to outside facilities, including independent clinical laboratories such as the Company and laboratories operated by larger hospitals or health systems. In some cases, a hospital’s on-site laboratory may be operated or managed by an outside contractor or independent laboratory, including the Company. The Company typically charges hospitals for any such tests on a fee-for-service basis that is derived from the Company’s client fee schedule. Fees for laboratory management services are typically billed monthly at contractual rates.</w:t>
      </w:r>
    </w:p>
    <w:p>
      <w:pPr>
        <w:spacing w:after="0" w:line="21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Other Customers. </w:t>
      </w:r>
      <w:r>
        <w:rPr>
          <w:rFonts w:ascii="Arial" w:cs="Arial" w:eastAsia="Arial" w:hAnsi="Arial"/>
          <w:sz w:val="18"/>
          <w:szCs w:val="18"/>
          <w:color w:val="auto"/>
        </w:rPr>
        <w:t>The Company serves a broad range of other customers, governmental agencies, employers, patients and consumers, CROs, academic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food and nutritional companies and independent clinical laboratories. These customers typically pay on a negotiated fee-for-service basis or based on a set fee schedule.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returning capital to shareholders.</w:t>
      </w:r>
    </w:p>
    <w:p>
      <w:pPr>
        <w:spacing w:after="0" w:line="19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2013, the Company has invested net cash of approximately $6.5 billion and equity of $1.8 billion in strategic business acquisitions. These acquisitions have significantly expanded the Company’s service offerings, expanded its customer and revenue mix, as well as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21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2013, the Company repurchased approximately $1.7 billion in shares at an average price of approximately $115.02 per share. Following the November 2014 announcement of the Covance acquisition, the Company temporarily suspended its share repurchases, but the Company subsequently resumed the repurchase program in the fourth quarter of 2016. During 2017, the Company purchased 2.5 million shares of its common stock at a total cost of $338.1 million. At the end of 2017, the Company had outstanding authorization from the board of directors to purchase an additional $401.4 million of Company common stock. The repurchase authorization has no expiration date.</w:t>
      </w:r>
    </w:p>
    <w:p>
      <w:pPr>
        <w:spacing w:after="0" w:line="21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During 2017, the Company repaid $500.1 million of its Senior Notes, $493.0 million of its term loan, and $33.9 million of its zero coupon subordinated notes. In addition, the Company borrowed and repaid $1,392.2 million of debt through its revolving credit facility within 2017. The Company will continue to evaluate all opportunities for strategic deployment of capital in light of market conditions.</w:t>
      </w:r>
    </w:p>
    <w:p>
      <w:pPr>
        <w:spacing w:after="0" w:line="20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From 2013, capital expenditures other than acquisitions have been $1.3 billion, representing approximately 3.0% of the Company’s total net revenues during the same period. The Company expects such capital expenditures in 2018 to be approximately 3.5% of net revenues, primarily in connection with projects to support growth in the Company's core businesses, facility expansion</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updates, ongoing projects related to LaunchPad within the LCD business, LaunchPad's expansion within the CDD business, and further acquisition integration initiatives.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External Factors</w:t>
      </w:r>
    </w:p>
    <w:p>
      <w:pPr>
        <w:spacing w:after="0" w:line="256"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experiences seasonality in both segments of its business. For example, testing volume generally declines during the year-end holiday period and other major holidays and can also decline due to inclement weather or natural disasters. Declines in testing volume reduce net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The results of both segments are impacted by exchange rate fluctuations. Approximately 21.4% of the Company's net revenues are billed in currencies other than the U.S. dollar, with the Swiss franc, British pound, Canadian dollar and the euro representing the largest components of its currency exposure. The Company expects the inclusion of Chiltern for a full twelve months in 2018 will increase the Company's percentage of revenues billed in currencies other than the U.S. dollar. Given the seasonality and changing economic factors impacting the business, comparison of the results for successive quarters may not accurately reflect trends or results for the full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 Partnerships</w:t>
      </w:r>
    </w:p>
    <w:p>
      <w:pPr>
        <w:spacing w:after="0" w:line="25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holds investments in joint venture partnerships, with two located in Alberta, Canada, one located in Florence, South Carolina and several that were acquired through the Company's acquisition of PAML. These businesses are primarily represented by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 The Company does not consolidate the results of these joint ventures. Effective June 30, 2015, the Company liquidated its interest in a joint venture partnership that had been located in Milwaukee, Wisconsin.</w:t>
      </w:r>
    </w:p>
    <w:p>
      <w:pPr>
        <w:spacing w:after="0" w:line="22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first Canadian partnership is a leader in occupational testing across Canada similar to LCD's U.S. occupational testing services. The second Canadian partnership has a license to conduct diagnostic testing services in the province of Alberta. Substantially all of its revenue is received as reimbursement from the Alberta government's healthcare programs (AHS).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million to the partnership when the transfer is effective, subject to a working capital adjustment.</w:t>
      </w:r>
    </w:p>
    <w:p>
      <w:pPr>
        <w:spacing w:after="0" w:line="8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a result of the acquisition of PAML, the Company acquired PAML’s ownership interests in six joint ventures. During 2017, the Company further acquired the ownership interests of the other members of two of the six joint ventures, and the Company’s ownership interest in one of the six joint ventures was acquired by the other member. During 2018, the Company intends to acquire the membership interests of the other members of an additional two of these six joint ventures and will continue to evaluate future options for the membership interests in the sixth joint venture. The Company will continue to record minority interests in the consolidated joint ventures for which final transactions have not yet been completed.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Service</w:t>
      </w:r>
    </w:p>
    <w:p>
      <w:pPr>
        <w:spacing w:after="0" w:line="25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offers its diagnostic services through a sales force focused on serving the specific needs of customers in different market segments. These market segments generally include primary care, women's health, specialty medicine (e.g., infectious disease, endocrinology, gastroenterology and rheumatology), oncology, ACOs, and hospitals and health systems. LCD's general sales force is also supported by a team of clinical specialists that focuses on selling esoteric testing and meeting the unique needs of the specialty medicine markets.</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CDD’s global sales activities are conducted by sales personnel in North America, Europe and the Asia-Pacific region. The sales force provides customer coverage across the biopharmaceutical industry for services including lead optimization, preclinical safety assessment, analytical services, clinical trials, central laboratories, biomarkers and companion diagnostics, market access and technology solutions. Customer segments called upon include global and regional biopharmaceutical companies, other CROs and academic institutions.</w:t>
      </w:r>
    </w:p>
    <w:p>
      <w:pPr>
        <w:spacing w:after="0" w:line="214"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sales force is responsible for both new sales and for customer retention and relationship building and is compensated through a combination of salaries, commissions and bonuses at levels commensurate with each individual’s qualifications, performance and responsibilities.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Company is committed to developing and commercializing technology-enabled solutions to support its operations and provide better care. LCD and CDD each operate standard platforms for their core business services, and the Company operates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standard platforms for its financial and reporting systems. These standard systems provide consistency within workflows and information as well as a high level of system availability, security, and stability. LCD’s and CDD's primary laboratory systems, including standardized support for molecular diagnostics, digital pathology and enhanced specialty laboratory solutions, facilitate the processing of tests that generate the vast majority of LCD revenue and virtually all of CDD's central laboratory services revenue. The Company's centralized information systems are responsible for tremendous operational efficiencies, enabling the Company to achieve consistent, structured, and standardized operating results and superior patient care.</w:t>
      </w:r>
    </w:p>
    <w:p>
      <w:pPr>
        <w:spacing w:after="0" w:line="20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addition, LCD and CDD each offer proprietary and industry-leading information systems, which are discussed in more detail in the sections dedicated to each of those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25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LCD and CDD have comprehensive quality systems and processes that the Company believes are appropriate for their respective businesses. This includes licensing, credentialing, training and competency of professional and technical staff, and internal auditing. In addition to the Company's own quality assurance programs, many of the Company’s laboratories, facilities and processes are subject to on-site regulatory and accreditation evaluations, external proficiency testing programs, and surveys, as applicable, by local or national government agencies.</w:t>
      </w:r>
    </w:p>
    <w:p>
      <w:pPr>
        <w:spacing w:after="0" w:line="19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Virtually all facets of the Company’s services are subject to quality assurance programs and procedures, including sensitivity, specificity and reproducibility of tests; turnaround time; customer service; data integrity; patient satisfaction; and billing. The Company’s quality assurance program includes measures that compare current performance against desired performance goals to monitor critical aspects of service to its customers and patients.</w:t>
      </w:r>
    </w:p>
    <w:p>
      <w:pPr>
        <w:spacing w:after="0" w:line="17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has procedures for monitoring its internal performance, as well as that of its vendors, suppliers and other key stakeholders. In addition, various groups and departments within the Company, including the Company's supply chain management department, CDD's clinical trial services global vendor management department, CDD's central laboratory services expanded laboratory management services department, LCD's National Office of Quality, and project management staff supporting LCD and CDD, provide oversight to monitor and control vendor products and performance, and play an essential role in the Company’s approach to quality through improvements in processes and automation.</w:t>
      </w:r>
    </w:p>
    <w:p>
      <w:pPr>
        <w:spacing w:after="0" w:line="196" w:lineRule="exact"/>
        <w:rPr>
          <w:sz w:val="20"/>
          <w:szCs w:val="20"/>
          <w:color w:val="auto"/>
        </w:rPr>
      </w:pPr>
    </w:p>
    <w:p>
      <w:pPr>
        <w:jc w:val="both"/>
        <w:ind w:firstLine="455"/>
        <w:spacing w:after="0"/>
        <w:rPr>
          <w:sz w:val="20"/>
          <w:szCs w:val="20"/>
          <w:color w:val="auto"/>
        </w:rPr>
      </w:pPr>
      <w:r>
        <w:rPr>
          <w:rFonts w:ascii="Arial" w:cs="Arial" w:eastAsia="Arial" w:hAnsi="Arial"/>
          <w:sz w:val="18"/>
          <w:szCs w:val="18"/>
          <w:b w:val="1"/>
          <w:bCs w:val="1"/>
          <w:i w:val="1"/>
          <w:iCs w:val="1"/>
          <w:color w:val="auto"/>
        </w:rPr>
        <w:t>Customer Interaction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Continual improvement in the customers’ experience with the Company is essential. Use of technology and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within are helping to improve patient experience by: reducing patient wait times at PSCs by offering advance appointment scheduling and patient check-in through through LabCorp | PreCheck; expediting the patient registration process at the PSC through LabCorp | Express; enhancing the specimen collection process through LabCorp Touch and AccuDraw; and allowing patients to access their test results, obtain educational materials, schedule appointments and pay bills directly through LabCorp | Patient</w:t>
      </w:r>
      <w:r>
        <w:rPr>
          <w:rFonts w:ascii="Arial" w:cs="Arial" w:eastAsia="Arial" w:hAnsi="Arial"/>
          <w:sz w:val="25"/>
          <w:szCs w:val="25"/>
          <w:color w:val="auto"/>
          <w:vertAlign w:val="superscript"/>
        </w:rPr>
        <w:t>TM</w:t>
      </w:r>
      <w:r>
        <w:rPr>
          <w:rFonts w:ascii="Arial" w:cs="Arial" w:eastAsia="Arial" w:hAnsi="Arial"/>
          <w:sz w:val="18"/>
          <w:szCs w:val="18"/>
          <w:color w:val="auto"/>
        </w:rPr>
        <w:t>. LabCorp | Payer provides healthcare organizations with a centralized location to access test results and quality data. CDD processes permit faster clinical trial study start-up and subject enrollment along with timely delivery of established deliverables to enhance and improve customer interaction.</w:t>
      </w:r>
    </w:p>
    <w:p>
      <w:pPr>
        <w:spacing w:after="0" w:line="226" w:lineRule="exact"/>
        <w:rPr>
          <w:sz w:val="20"/>
          <w:szCs w:val="20"/>
          <w:color w:val="auto"/>
        </w:rPr>
      </w:pPr>
    </w:p>
    <w:p>
      <w:pPr>
        <w:jc w:val="both"/>
        <w:ind w:firstLine="347"/>
        <w:spacing w:after="0" w:line="277" w:lineRule="auto"/>
        <w:rPr>
          <w:sz w:val="20"/>
          <w:szCs w:val="20"/>
          <w:color w:val="auto"/>
        </w:rPr>
      </w:pPr>
      <w:r>
        <w:rPr>
          <w:rFonts w:ascii="Arial" w:cs="Arial" w:eastAsia="Arial" w:hAnsi="Arial"/>
          <w:sz w:val="17"/>
          <w:szCs w:val="17"/>
          <w:b w:val="1"/>
          <w:bCs w:val="1"/>
          <w:i w:val="1"/>
          <w:iCs w:val="1"/>
          <w:color w:val="auto"/>
        </w:rPr>
        <w:t>Specimen Management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standardized logistics and specimen tracking technologies allow the timely transportation, monitoring,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storage of specimens. The Company is continually working to maintain and improve its ability to timely collect, transport and track specimens from collection points to all Company or designated external locations. In December 2017, CDD acquired Global Specimen Solutions, Inc. (GSS), which has expertise in streamlined global specimen tracking, as well as tracking for informed consent, and live data analytics that deliver actionable insights from specimens across development programs. CDD had previously entered into a strategic alliance with GSS.</w:t>
      </w:r>
    </w:p>
    <w:p>
      <w:pPr>
        <w:spacing w:after="0" w:line="195" w:lineRule="exact"/>
        <w:rPr>
          <w:sz w:val="20"/>
          <w:szCs w:val="20"/>
          <w:color w:val="auto"/>
        </w:rPr>
      </w:pPr>
    </w:p>
    <w:p>
      <w:pPr>
        <w:jc w:val="both"/>
        <w:ind w:firstLine="266"/>
        <w:spacing w:after="0" w:line="266" w:lineRule="auto"/>
        <w:rPr>
          <w:sz w:val="20"/>
          <w:szCs w:val="20"/>
          <w:color w:val="auto"/>
        </w:rPr>
      </w:pPr>
      <w:r>
        <w:rPr>
          <w:rFonts w:ascii="Arial" w:cs="Arial" w:eastAsia="Arial" w:hAnsi="Arial"/>
          <w:sz w:val="18"/>
          <w:szCs w:val="18"/>
          <w:b w:val="1"/>
          <w:bCs w:val="1"/>
          <w:i w:val="1"/>
          <w:iCs w:val="1"/>
          <w:color w:val="auto"/>
        </w:rPr>
        <w:t>Quality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regularly performs quality control testing. These may include in-process and post-process quality control checks;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control materials and reference standards, peer reviews, and data review meetings; programmed data edit checks to detect variances and unusual data patterns; dual programming; and mock runs.</w:t>
      </w:r>
    </w:p>
    <w:p>
      <w:pPr>
        <w:spacing w:after="0" w:line="203" w:lineRule="exact"/>
        <w:rPr>
          <w:sz w:val="20"/>
          <w:szCs w:val="20"/>
          <w:color w:val="auto"/>
        </w:rPr>
      </w:pPr>
    </w:p>
    <w:p>
      <w:pPr>
        <w:jc w:val="both"/>
        <w:ind w:firstLine="293"/>
        <w:spacing w:after="0" w:line="266" w:lineRule="auto"/>
        <w:rPr>
          <w:sz w:val="20"/>
          <w:szCs w:val="20"/>
          <w:color w:val="auto"/>
        </w:rPr>
      </w:pPr>
      <w:r>
        <w:rPr>
          <w:rFonts w:ascii="Arial" w:cs="Arial" w:eastAsia="Arial" w:hAnsi="Arial"/>
          <w:sz w:val="18"/>
          <w:szCs w:val="18"/>
          <w:b w:val="1"/>
          <w:bCs w:val="1"/>
          <w:i w:val="1"/>
          <w:iCs w:val="1"/>
          <w:color w:val="auto"/>
        </w:rPr>
        <w:t>LCD Internal Proficiency Testing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has an extensive internal proficiency testing program to assess LCD's analytical and post-analytical phases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laboratory testing, accuracy, precision of its testing protocols, and technologist/technician performance. This program supplements the external proficiency programs required by the laboratory accrediting agencies.</w:t>
      </w:r>
    </w:p>
    <w:p>
      <w:pPr>
        <w:spacing w:after="0" w:line="20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b w:val="1"/>
          <w:bCs w:val="1"/>
          <w:i w:val="1"/>
          <w:iCs w:val="1"/>
          <w:color w:val="auto"/>
        </w:rPr>
        <w:t>Accreditation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participates in numerous externally administered quality surveillance programs, including the College of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Pathologists (CAP) program. CAP is an independent non-governmental organization of board-certified pathologists that offers an accreditation program to which laboratories voluntarily subscribe. CAP has been granted deemed status authority by CMS to inspect clinical laboratories to determine adherence to the Clinical Laboratory Improvement Amendments (CLIA) requirements. The CAP program involves both on-site inspections of the laboratory and participation in CAP's proficiency testing program for all categories in which the laboratory is accredited. A laboratory's receipt of accreditation by CAP satisfies the CMS requirement for CLIA certification. LCD's major diagnostic laboratories, CDD's major central laboratory facilities, and CDD's Phase I clinical research unit in Dallas, Texas, are accredited by CAP.</w:t>
      </w:r>
    </w:p>
    <w:p>
      <w:pPr>
        <w:sectPr>
          <w:pgSz w:w="11900" w:h="16838" w:orient="portrait"/>
          <w:cols w:equalWidth="0" w:num="1">
            <w:col w:w="11420"/>
          </w:cols>
          <w:pgMar w:left="240" w:top="12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forensic crime laboratory, located in Lorton, Virginia, is accredited to ISO/IEC 17025:2005 by the American Society of Crime Laboratory Directors/Laboratory Accreditation Board (ASCLD/LAB) in the discipline of biology and categories of nuclear DNA, mitochondrial DNA, body fluid identification and individual characteristic database testing. Under the accreditation program managed by the ASCLD/LAB, a crime laboratory undergoes a comprehensive and in-depth inspection to demonstrate that its management, operations, employees, procedures and instruments, physical plant, and security and personnel safety procedures meet stringent quality standards.</w:t>
      </w:r>
    </w:p>
    <w:p>
      <w:pPr>
        <w:spacing w:after="0" w:line="21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full-service forensic facilities in the U.K. are accredited to ISO/IEC 17025:2005 by the U.K. Accreditation Service (UKAS) in many areas of forensic analysis. These facilities provide crime scene investigative services, collecting samples for DNA analysis, mitochondrial DNA testing, microscopic analysis of tool marks and paint, and other forms of forensic testing.</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has multiple labs that have received ISO 15189 accreditation. ISO 15189 is an international standard that recognizes the quality and technical competence of medical laboratories. The Company has 18 laboratories in the U.S. and five laboratories outside of the U.S. accredited to this standard, in addition to the laboratory operated for CDD pursuant to a strategic agreement with BML, Inc. that also has this accreditation. The list below reflects the Company's labs that have achieved this accreditation and the year in which it was achieved.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Raritan, New Jersey - January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Knoxville, Tennessee - November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Testing Facility, San Antonio, Texas - July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Colorado Coagulation, Denver, Colorado - January 2016</w:t>
      </w:r>
    </w:p>
    <w:p>
      <w:pPr>
        <w:spacing w:after="0" w:line="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Dynacare, Laval, Québec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Testing Facility, Dublin, Ohio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Endocrine Sciences, Calabasas, California - January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Testing Facility, Dallas, Texas - April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Testing Facility, Denver, Colorado - March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Genetics, Santa Fe, New Mexico - October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Genetics, Westborough, Massachusetts - September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Dynacare, Montreal, Québec - June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Testing Facility, Phoenix, Arizona - April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Testing Facility, Birmingham, Alabama - February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Oncology, Brentwood, Tennessee - February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ViroMed, Burlington, North Carolina - January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Center for Molecular Biology and Pathology (CMBP), Research Triangle Park, North Carolina - February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Testing Facility, Tampa, Florida - January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Oncology, Phoenix, Arizona - September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23"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Covance Central Laboratory Services Inc., Indianapolis, Indiana - August 2015</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BML Covance Central Laboratory, Tokyo, Japan - March 2015 (Operated for CDD pursuant to a strategic agreement with BML,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Covance Pharmaceutical Research and Development (Shanghai) Co. Ltd., Shanghai, China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Covance (Asia) Pte. Ltd., Singapore - June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Covance Central Laboratory Services SARL, Geneva, Switzerland - October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7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20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December 31, 2017, the Company had nearly 60,000 employees worldwide, approximately 22.0% of whom were employed outside of the U.S. The Company's U.S. based subsidiaries have four collective bargaining agreements, which cover approximately 750 employees. Non-U.S. based subsidiaries have 52 collective bargaining agreements, which cover approximately 1,800 employees.</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success is highly dependent on its ability to attract and retain qualified employees, and the Company believes that it has good working relationships with its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the Company operates in a number of distinct operating environments and in a variety of locations worldwide, it is subject to numerous, and sometimes overlapping, regulatory environments.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 approved accreditation agency. In most cases, that certification is regulated by CMS through CLIA. CLIA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214"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19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believes that it is in compliance with all laboratory requirements applicable to its laboratories operated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FDA and Other Regulatory Agency Laws and Regulations</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Various regulatory agencies, including the FDA in the U.S., have regulatory responsibility over the development, testing, manufacturing, labeling, advertising, marketing, distribution, and surveillance of diagnostic and therapeutic products and services, including certain products and services offered by the Company, and the development of therapeutic products that comprise the majority of CDD’s business. The FDA and other regulatory agencies periodically inspect and review the manufacturing processes and product performance of diagnostic and therapeutic products. These agencies have the authority to take various administrative and legal actions for noncompliance, such as fines, product suspensions, warning letters, recalls, injunctions and other civil and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criminal sanctions. There are similar national and regional regulatory agencies in the jurisdictions outside the U.S. in which the Company operates.</w:t>
      </w:r>
    </w:p>
    <w:p>
      <w:pPr>
        <w:spacing w:after="0" w:line="264"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On October 3, 2014, the FDA issued draft guidance regarding FDA regulation of LDTs. On November 18, 2016, the FDA announced that it would not release final guidance at this time and instead would continue to work with stakeholders, the new administration, and Congress to determine the right approach, and on January 13, 2017, the FDA released a discussion paper outlining a possible risk-based approach for FDA and CMS oversight of LDTs. Later in 2017, the FDA indicated that Congress should enact legislation to address improved oversight of diagnostics including LDTs, rather than the FDA addressing the issue through administrative policy proposals. There are other regulatory and legislative proposals that would increase general FDA oversight of clinical laboratories and LDTs. The outcome and ultimate impact of such proposals on the Company is difficult to predict at this time.</w:t>
      </w:r>
    </w:p>
    <w:p>
      <w:pPr>
        <w:spacing w:after="0" w:line="20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CDD’s laboratory facilities and LCD's clinical laboratory facilities that perform testing in support of clinical trials, must conform to a range of standards and regulations, including GLP and good clinical practice (GCP), good manufacturing practice (GMP), human subject protection and investigational product exemption regulations, and quality system regulation (QSR) requirements, as applicable. The preclinical and clinical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China Food and Drug Administration, and the Pharmaceuticals and Medical Devices Agency in Japan, to determine compliance with GLP and GCP as well as other applicable standards and regulations. If a regulatory agency determines during an inspection that the Company’s equipment, facilities, laboratories, operations, or processes do not comply with applicable regulations and conditions of GLP and/or GCP, the regulatory agency may issue a formal notice, which may be followed by a warning letter if observations are not addressed satisfactorily. Noncompliance may result in the regulatory agency seeking civil, criminal or administrative sanctions and/or remedies against the Company, including suspension of its operations.</w:t>
      </w:r>
    </w:p>
    <w:p>
      <w:pPr>
        <w:spacing w:after="0" w:line="20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Additionally, certain CDD services and activities, such as CMC services and manufacturing of investigational medicinal products for use in certain Phase I studies managed by CDD, must conform to current good manufacturing practice (cGMP). CDD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fines, unanticipated compliance expenditures, suspension of manufacturing, enforcement actions, injunctions, or criminal prosecution.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U.S Animal Welfare Act (AWA)</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conduct of animal research at CDD’s facilities in the U.S. must be in compliance with the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The USDA may impose fines, suspend and/or revoke animal research licenses or confiscate research animals. Other countries where the Company conducts business have similar laws and regulations with which the Company must also comply.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2017, LCD derived approximately 15.1% of its net revenue directly from the Medicare and Medicaid programs. In addition, LCD's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21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Reimbursement under the Medicare PFS is capped at different rates in each Medicare Administrative Contractor's jurisdiction. Pursuant to PAMA,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12.1% of LCD's revenue is reimbursed under the CLFS.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Many pathology services performed by LCD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0.0% updates for 2020-2025, and updates that vary based on participation in alternative payment models in subsequent years. These changes to the conversion factor may be offset by reductions to the relative value units, as was the case with the 2016 PFS reductions. In addition, rates will be adjusted under the new Merit-Based Incentive Payment System beginning in 2019. Approximately 0.7% of LCD's revenue is reimbursed under the PFS.</w:t>
      </w:r>
    </w:p>
    <w:p>
      <w:pPr>
        <w:spacing w:after="0" w:line="210"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In addition to changes in reimbursement rates, LCD is also impacted by changes in coverage policies for laboratory tests and annual CPT coding. Medicare, Medicaid and private payer diagnosis code requirements and payment policies negatively impact LCD's ability to be paid for some of the tests it performs. Further, some payers require additional information to process claims or have implemented prior authorization policies which delays or prohibits payment. CLFS coding and billing changes related to toxicology and other procedures were implemented in 2016 and 2017. The Company experienced delays in the pricing and implementation of the new toxicology codes; however, the Company largely overcame issues related to price and margins through direct negotiation with the associated payers. Limited coding and billing changes related to other procedure types are expected to be implemented in 2018. The Company expects some delays in pricing and implementation of these new codes.</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 Based on currently available information, the Company is unable to predict what type of changes in legislation or regulations, if any, will occur.</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Privacy, Security and Confidentiality of Health Information and Other Personal Information</w:t>
      </w:r>
    </w:p>
    <w:p>
      <w:pPr>
        <w:spacing w:after="0" w:line="252"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which requires the use of a unique employer identifier in connection with certain electronic transactions; (v) the National Provider Identifier Rule, which requires the use of a unique healthcare provider identifier in connection with certain electronic transactions; and (vi) the Health Plan Identifier Rule, which requires the use of a unique health plan identifier in connection with certain electronic transactions.</w:t>
      </w:r>
    </w:p>
    <w:p>
      <w:pPr>
        <w:spacing w:after="0" w:line="219"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believes that it is in compliance in all material respects with the current Transactions and Code Sets Rule. The Company implemented Version 5010 of the HIPAA Transaction Standards and believes it has fully adopted the ICD-10-CM code set. While to date the Company has not experienced any sustained disruption in receipts or indications of substantive reductions to reimbursement and net revenues related to the implementation of the ICD-10-CM code set, further future application of restrictive clinical or payment policies could negatively impact the Company. The Company believes it is in compliance in all material respects with applicable laws and regulations for electronic funds transfers and remittance advice transactions.</w:t>
      </w:r>
    </w:p>
    <w:p>
      <w:pPr>
        <w:spacing w:after="0" w:line="18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the creation, receipt, maintenance, or transmission of PHI. The Company believes that it is in compliance in all material respects with the requirements of the HIPAA Privacy Rule.</w:t>
      </w:r>
    </w:p>
    <w:p>
      <w:pPr>
        <w:spacing w:after="0" w:line="20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Security Rule establishes requirements for safeguarding patient information that is electronically transmitted or electronically stored. The Company believes that it is in compliance in all material respects with the requirements of the HIPAA Security Rule.</w:t>
      </w:r>
    </w:p>
    <w:p>
      <w:pPr>
        <w:spacing w:after="0" w:line="19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Company believes its policies and procedures are fully compliant with the HITECH requirements.</w:t>
      </w:r>
    </w:p>
    <w:p>
      <w:pPr>
        <w:spacing w:after="0" w:line="19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The Company revised its policies and procedures to comply with these new access requirements and updated its privacy notice to reflect individuals’ new access rights under this final rule.</w:t>
      </w:r>
    </w:p>
    <w:p>
      <w:pPr>
        <w:spacing w:after="0" w:line="2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Standard Unique Employer Identifier Rule requires that employers have standard national numbers that identify them on standard transactions. The Employer Identification Number (also known as a Federal Tax Identification Number) issued by the Internal Revenue Service was selected as the identifier for employers and was adopted effective July 30, 2002. The Company believes it is in compliance with these requirements.</w:t>
      </w:r>
    </w:p>
    <w:p>
      <w:pPr>
        <w:spacing w:after="0" w:line="19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 National Provider Identifier (NPI) to identify themselves in standard HIPAA transactions. NPI replaces the unique provider identification number and other provider numbers previously assigned by payers and other entities for the purpose of identifying healthcare providers in standard electronic transactions. The Company believes that it is in compliance with the HIPAA National Provider Identifier Rule in all material respects.</w:t>
      </w:r>
    </w:p>
    <w:p>
      <w:pPr>
        <w:spacing w:after="0" w:line="9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Health Plan Identifier (HPID) is a unique identifier designed to furnish a standard way to identify health plans in electronic transactions. CMS published the final rule adopting the HPID for health plans required by HIPAA on September 12, 2012. Effective October 31, 2014, CMS announced a delay, until further notice, in enforcement of regulations pertaining to health plan enumeration and use of the HPID in HIPAA transactions adopted in the HPID final rule. This delay remains in effect. The Company will continue to monitor future developments related to the HPID and respond accordingly.</w:t>
      </w:r>
    </w:p>
    <w:p>
      <w:pPr>
        <w:spacing w:after="0" w:line="7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w:t>
      </w:r>
    </w:p>
    <w:p>
      <w:pPr>
        <w:spacing w:after="0" w:line="214"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174"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In addition to the HIPAA regulations described above, numerous other data protection, privacy and similar laws govern the confidentiality, security, use and disclosure of personal information. These laws vary by jurisdiction, but they most commonly regulate or restrict the collection, use and disclosure of medical and financial information and other personal information. In the U.S., some state laws are more restrictive and, therefore, are not preempted by HIPAA. Penalties for violation of these laws may include sanctions against a laboratory's licensure, as well as civil and/or criminal penalties. Outside the U.S.,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For example, in December 2015, the European Union approved a General Data Protection Regulation (GDPR) to replace Directive 95/46/EC, which will take effect May 25, 2018, governing use and transfer of personal data and imposing significant penalties for noncompliance. Additionally, data protection regulations have been enacted or updated in countries where the Company does business, including in Asia, Latin America, and Europe. Failure to comply with these regulations may result in, among other things, civil, criminal and contractual liability, fines, regulatory sanctions and damage to the Company’s reputation. The Company has established processes and frameworks to manage compliance with privacy and data protection requirements and is executing on its GDPR readiness project to support compliance with the GDPR.</w:t>
      </w:r>
    </w:p>
    <w:p>
      <w:pPr>
        <w:spacing w:after="0" w:line="8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January 2, 2018, the Substance Abuse and Mental Health Services Administration (SAMHSA) announced the finalization of proposed changes to the Confidentiality of Substance Use Disorder Patient Records regulation, 42 CFR Part 2.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align to its requirements more closely with HIPAA, while maintaining more stringent confidentiality of substance use disorder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information. The Company will adopt such changes to its policies and procedures as may be necessary for compliance.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252"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U.S. government's enforcement efforts have been increasing over the past decade, in part as a result of the enactment of HIPAA, which included several provisions related to fraud and abuse enforcement, including the establishment of a program to coordinate and fund U.S., state and local law enforcement efforts. The Deficit Reduction Act of 2005 also included new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new requirement can give rise to additional liability under the False Claims Act and Civil Monetary Penalties statute.</w:t>
      </w:r>
    </w:p>
    <w:p>
      <w:pPr>
        <w:spacing w:after="0" w:line="200"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U.S.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192"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From time to time, the OIG issues alerts and other guidance on certain practices in the healthcare industry that implicate the Anti-Kickback Statute or other fraud and abuse laws. Examples of such guidance documents particularly relevant to the Company and its operations follow.</w:t>
      </w:r>
    </w:p>
    <w:p>
      <w:pPr>
        <w:spacing w:after="0" w:line="19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October 1994, the OIG issued a Special Fraud Alert on arrangements for the provision of clinical laboratory services. The Fraud Alert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that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healthcare providers, their families and their employees (i.e., so-called “professional courtesy” testing). The OIG emphasized in the Special Fraud Alert that when one purpose of such arrangements is to induce referrals of program-reimbursed laboratory testing, both the clinical laboratory and the healthcare provider (e.g., physician) may be liable under the Anti-Kickback Statute, and may be subject to criminal prosecution and exclusion from participation in the Medicare and Medicaid programs. More recently, in June 2014, the OIG issued another Special Fraud Alert addressing compensation paid by laboratories to referring physicians for blood specimen processing and for submitting patient data to registries. This Special Fraud Alert reiterates the OIG's long-standing concerns about payments from laboratories to physicians in excess of the fair market value of the physician's services and payments that reflect the volume or value of referrals of federal U.S. program business.</w:t>
      </w:r>
    </w:p>
    <w:p>
      <w:pPr>
        <w:spacing w:after="0" w:line="19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OIG has expressed additional concern about the provision of discounts on laboratory services billed to customers in return for the referral of U.S. healthcare program business. In a 1999 Advisory Opinion, the OIG concluded that a laboratory's offer to a physician of significant discounts on non-U.S. healthcare program laboratory tests might violate the Anti-Kickback Statute on the basis that such discounts could be viewed as in exchange for referrals by the physician of business to be billed by the laboratory to Medicare at non-discounted rates. In a 1999 correspondence, the OIG stated that a discount that a laboratory offers to a skilled nursing facility for tests billed to the skilled nursing facility to induce the referral of tests for which the laboratory is reimbursed by Medicare would implicate the Anti-Kickback Statute.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OIG has also issued guidance in 1989 and 2003 regarding joint venture arrangements that may be viewed as suspect under the Anti-Kickback Statute. These documents have relevance to clinical laboratories that are part of (or are considering establishing) joint ventures with potential sources of U.S. healthcare program business. Some of the elements of joint ventures that the OIG identified as “suspect” include: arrangements in which the capital invested by referring providers is disproportionately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small and the return on investment is disproportionately large when 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where the physicians' financial and business risk in the venture was minimal and the physicians would contract out substantially all laboratory operations, committing very little in the way of financial, capital, or human resources.</w:t>
      </w:r>
    </w:p>
    <w:p>
      <w:pPr>
        <w:spacing w:after="0" w:line="22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Violations of other fraud and abuse laws can also result in exclusion from participation in U.S. healthcare programs, including Medicare and Medicaid. One basis for such exclusion is an individual or entity’s submission of claims to Medicare or Medicaid that are substantially in excess of that individual or entity’s usual charges for like items or services. In a June 18, 2007, withdrawal of proposed rulemaking, the OIG stated that it would continue evaluating billing patterns on a case-by-case basis, noting that it is “concerned about disparities in the amounts charged to Medicare and Medicaid when compared to private payers,” that it continues to believe its exclusion authority for excess charges “provides useful backstop protection for the public from providers that routinely charge Medicare or Medicaid substantially more than their other customers” and that it will use “all tools available … to address instances where Medicare or Medicaid are charged substantially more than other payers.” An enforcement action by the OIG under this statutory exclusion basis or an enforcement action by Medicaid officials of similar state law restrictions could have an adverse effect on the Company.</w:t>
      </w:r>
    </w:p>
    <w:p>
      <w:pPr>
        <w:spacing w:after="0" w:line="19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Under another U.S. statute, known as the Stark Law or “self-referral” prohibition, physicians who have a financial or a compensation relationship with a commercial laboratory may not, unless an exception applies, refer Medicare patients for testing to the laboratory, regardless of the intent of the parties. Similarly, laboratories may not bill Medicare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commercial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193"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252"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is subject to licensing and regulation under national, state and local laws and regulations relating to the protection of the environment, and human health and safety laws and regulations relating to the handling, transportation and disposal of medical specimens,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and regulations concerning the environment and human health and safety with which the Company must also comply.</w:t>
      </w:r>
    </w:p>
    <w:p>
      <w:pPr>
        <w:spacing w:after="0" w:line="20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2012, the OSHA Hazard Communication Standard was revised based on the adoption of the Globally Harmonized System that provides criteria for the classification of chemical hazards. Updated copies of Safety Data Sheets for chemical products used across the Company were obtained prior to the effective date of June 1, 2015.</w:t>
      </w:r>
    </w:p>
    <w:p>
      <w:pPr>
        <w:spacing w:after="0" w:line="20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Testing</w:t>
      </w:r>
    </w:p>
    <w:p>
      <w:pPr>
        <w:spacing w:after="0" w:line="25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Spokane, Washington; and St. Paul, Minnesota are all SAMHSA certified.</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handles controlled substances as part of the services it provides in preclinical testing and clinical trials. The use of controlled substances in testing for drugs of abuse is regulated by the U.S. Drug Enforcement Administration. The Company believes that it is in compliance with these regulations as applicable.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maintains a comprehensive, global compliance program that includes ongoing evaluation and monitoring of its compliance with the laws and regulations of the U.S. and the other countries in which it has operations. The objective of the Company’s compliance program is to develop, implement and update compliance safeguards, as appropriate. Emphasis is placed on developing and implementing compliance policies and guidelines, personnel training programs and monitoring and auditing activities. The compliance program demonstrates the Company's commitment to conducting business at the highest standards of ethical conduct and integrity.</w:t>
      </w:r>
    </w:p>
    <w:p>
      <w:pPr>
        <w:spacing w:after="0" w:line="94"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Security</w:t>
      </w:r>
    </w:p>
    <w:p>
      <w:pPr>
        <w:spacing w:after="0" w:line="135" w:lineRule="exact"/>
        <w:rPr>
          <w:sz w:val="20"/>
          <w:szCs w:val="20"/>
          <w:color w:val="auto"/>
        </w:rPr>
      </w:pPr>
    </w:p>
    <w:p>
      <w:pPr>
        <w:jc w:val="both"/>
        <w:ind w:left="60" w:firstLine="243"/>
        <w:spacing w:after="0" w:line="253" w:lineRule="auto"/>
        <w:rPr>
          <w:sz w:val="20"/>
          <w:szCs w:val="20"/>
          <w:color w:val="auto"/>
        </w:rPr>
      </w:pPr>
      <w:r>
        <w:rPr>
          <w:rFonts w:ascii="Arial" w:cs="Arial" w:eastAsia="Arial" w:hAnsi="Arial"/>
          <w:sz w:val="18"/>
          <w:szCs w:val="18"/>
          <w:color w:val="auto"/>
        </w:rPr>
        <w:t>The Company's success depends on the efficient and uninterrupted operation of its computer and communications systems, and secure maintenance of personal and health information is critical to the Company’s business operations. The Company has experienced and expects to continue to experience attempts by computer programmers and hackers to attack and penetrate the Company’s layered security controls. Disruptions or breaches of security could have a material adverse effect on the Company’s business, regulatory compliance, financial condition and results of operations. The Company maintains information security procedures and has other safeguards in place intended to protect against such disruptions and breaches. These procedures and safeguards are monitored and routinely tested internally and by external parties. The Company has also implemented policies and procedures designed to comply with the HIPAA privacy and security requirements and other laws and regulations related to the privacy and security of personal or health information. In addition, the Company carries property and business interruption insurance. As cyber threats continue to evolve, the Company may be required to expend additional resources to continue to enhance the Company’s information security measures or to investigate and remediate any information security vulnerabilities.</w:t>
      </w:r>
    </w:p>
    <w:p>
      <w:pPr>
        <w:spacing w:after="0" w:line="3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Investors should carefully consider all of the information set forth in this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report also includes forward-looking statements that involve risks or uncertainties. The Company’s results could differ materially from those anticipated in these forward-looking statements as a result of certain factors, including the risks described below and elsewhere. See “Forward-Looking Statements” in Item 7.</w:t>
      </w:r>
    </w:p>
    <w:p>
      <w:pPr>
        <w:spacing w:after="0" w:line="83" w:lineRule="exact"/>
        <w:rPr>
          <w:sz w:val="20"/>
          <w:szCs w:val="20"/>
          <w:color w:val="auto"/>
        </w:rPr>
      </w:pPr>
    </w:p>
    <w:p>
      <w:pPr>
        <w:jc w:val="both"/>
        <w:ind w:firstLine="45"/>
        <w:spacing w:after="0" w:line="282"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regulations or approvals, or changes in other laws, regulations or policies in the United States (U.S.) may adversely affect U.S.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and third-party coverage or reimbursement for clinical laboratory testing and may have a material adverse effect upon the Company.</w:t>
      </w:r>
    </w:p>
    <w:p>
      <w:pPr>
        <w:spacing w:after="0" w:line="158"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7"/>
          <w:szCs w:val="17"/>
          <w:color w:val="auto"/>
        </w:rPr>
        <w:t>U.S. and state government payers, such as Medicare and Medicaid, as well as insurers, including managed care organizations (MCOs), have increased their efforts to control the cost, utilization and delivery of healthcare services. From time to time, Congress has considered and implemented changes in Medicare fee schedules in conjunction with budgetary legislation. The first phase of reductions pursuant to Protecting Access to Medicare Act (PAMA) came into effect on January 1, 2018, and will continue annually subject to certain phase-in limits through 2023, and without limitations for subsequent periods. Further reductions due to changes in policy regarding coverage of tests or other requirements for payment, such as prior authorization, diagnosis code and other claims edits, or a physician or qualified practitioner’s signature on test requisitions, may be implemented from time to time. Reimbursement for pathology services performed by LabCorp Diagnostics (LCD)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LCD's business. Actions by federal and state agencies regulating insurance, including healthcare exchanges, or changes in other laws, regulations, or policies may also have a material adverse effect upon LCD's business.</w:t>
      </w:r>
    </w:p>
    <w:p>
      <w:pPr>
        <w:spacing w:after="0" w:line="81" w:lineRule="exact"/>
        <w:rPr>
          <w:sz w:val="20"/>
          <w:szCs w:val="20"/>
          <w:color w:val="auto"/>
        </w:rPr>
      </w:pPr>
    </w:p>
    <w:p>
      <w:pPr>
        <w:jc w:val="both"/>
        <w:ind w:firstLine="45"/>
        <w:spacing w:after="0" w:line="282"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government programs if it violates federal, state, local or international laws including, but not limited to, anti-fraud and abuse laws.</w:t>
      </w:r>
    </w:p>
    <w:p>
      <w:pPr>
        <w:spacing w:after="0" w:line="193"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Such occurrences, regardless of their outcome, could damage the Company’s reputation and adversely affect important business relationships it has with third parties.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21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9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U.S. Food and Drug Administration (FDA) regulation of diagnostic products and increased FDA regulation of laboratory-developed tests (LDTs) could result in increased costs and the imposition of fines or penalties, and could have a material adverse effect upon the Company’s business.</w:t>
      </w:r>
    </w:p>
    <w:p>
      <w:pPr>
        <w:spacing w:after="0" w:line="14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LCD’s point-of-care testing devices are subject to regulation by the FDA.</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 xml:space="preserve">There are other regulatory and legislative proposals that would increase general FDA oversight of clinical laboratories and LDTs. On July 26, 2007, the FDA issued </w:t>
      </w:r>
      <w:r>
        <w:rPr>
          <w:rFonts w:ascii="Arial" w:cs="Arial" w:eastAsia="Arial" w:hAnsi="Arial"/>
          <w:sz w:val="18"/>
          <w:szCs w:val="18"/>
          <w:i w:val="1"/>
          <w:iCs w:val="1"/>
          <w:color w:val="auto"/>
        </w:rPr>
        <w:t>Draft Guidance for Industry, Clinical Laboratories, and FDA Staff: In Vitro Diagnostic Multivariate Index Assays</w:t>
      </w:r>
      <w:r>
        <w:rPr>
          <w:rFonts w:ascii="Arial" w:cs="Arial" w:eastAsia="Arial" w:hAnsi="Arial"/>
          <w:sz w:val="18"/>
          <w:szCs w:val="18"/>
          <w:color w:val="auto"/>
        </w:rPr>
        <w:t>. The guidance proposed certain changes to the agency's general past practice regarding the regulation of certain LDTs and announced that most devices deemed to be In Vitro Diagnostic Multivariate Index Assays (IVDMIAs) would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either be Class II or Class III devices, although it is possible that an IVDMIA for a low-risk indication could be Class I. Class II medical devices typically require FDA clearance or a premarket notification submission. Class III devices require the submission of an application for Premarket Approval. On October 3, 2014, the FDA published two additional draft guidance documents: </w:t>
      </w:r>
      <w:r>
        <w:rPr>
          <w:rFonts w:ascii="Arial" w:cs="Arial" w:eastAsia="Arial" w:hAnsi="Arial"/>
          <w:sz w:val="17"/>
          <w:szCs w:val="17"/>
          <w:i w:val="1"/>
          <w:iCs w:val="1"/>
          <w:color w:val="auto"/>
        </w:rPr>
        <w:t>Framework for Regulatory Oversight of Laboratory Developed Tests (LDTs),</w:t>
      </w:r>
      <w:r>
        <w:rPr>
          <w:rFonts w:ascii="Arial" w:cs="Arial" w:eastAsia="Arial" w:hAnsi="Arial"/>
          <w:sz w:val="17"/>
          <w:szCs w:val="17"/>
          <w:color w:val="auto"/>
        </w:rPr>
        <w:t xml:space="preserve"> which provides an overview of how the FDA would regulate LDTs through a risk-based approach, and </w:t>
      </w:r>
      <w:r>
        <w:rPr>
          <w:rFonts w:ascii="Arial" w:cs="Arial" w:eastAsia="Arial" w:hAnsi="Arial"/>
          <w:sz w:val="17"/>
          <w:szCs w:val="17"/>
          <w:i w:val="1"/>
          <w:iCs w:val="1"/>
          <w:color w:val="auto"/>
        </w:rPr>
        <w:t>FDA Notification and Medical Device Reporting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Laboratory Developed Tests, </w:t>
      </w:r>
      <w:r>
        <w:rPr>
          <w:rFonts w:ascii="Arial" w:cs="Arial" w:eastAsia="Arial" w:hAnsi="Arial"/>
          <w:sz w:val="17"/>
          <w:szCs w:val="17"/>
          <w:color w:val="auto"/>
        </w:rPr>
        <w:t>which describes the process for clinical laboratories to notify the FDA of the LDTs they "manufacture" and describes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Medical Device Reporting requirements for LDTs. On May 28, 2015, and October 22, 2015, the House Energy and Commerce Health Subcommittee released discussion drafts of a bill that would reform oversight of in vitro clinical tests (IVCTs), including both LDTs and test kits. The bill would establish a new regulatory framework in which the FDA would regulate IVCTs under a new category separate from medical devices, and the Centers for Medicare and Medicaid Services (CMS) regulation of laboratories under CLIA would be modernized. On November 16, 2015, the FDA issued a report titled, </w:t>
      </w:r>
      <w:r>
        <w:rPr>
          <w:rFonts w:ascii="Arial" w:cs="Arial" w:eastAsia="Arial" w:hAnsi="Arial"/>
          <w:sz w:val="17"/>
          <w:szCs w:val="17"/>
          <w:i w:val="1"/>
          <w:iCs w:val="1"/>
          <w:color w:val="auto"/>
        </w:rPr>
        <w:t>The Public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Health Evidence for FDA Oversight of Laboratory Developed Tests: 20 Case Studies </w:t>
      </w:r>
      <w:r>
        <w:rPr>
          <w:rFonts w:ascii="Arial" w:cs="Arial" w:eastAsia="Arial" w:hAnsi="Arial"/>
          <w:sz w:val="17"/>
          <w:szCs w:val="17"/>
          <w:color w:val="auto"/>
        </w:rPr>
        <w:t>(LDT Report). The LDT Report compiles 20 case studies involving</w:t>
      </w:r>
      <w:r>
        <w:rPr>
          <w:rFonts w:ascii="Arial" w:cs="Arial" w:eastAsia="Arial" w:hAnsi="Arial"/>
          <w:sz w:val="17"/>
          <w:szCs w:val="17"/>
          <w:i w:val="1"/>
          <w:iCs w:val="1"/>
          <w:color w:val="auto"/>
        </w:rPr>
        <w:t xml:space="preserve"> </w:t>
      </w:r>
      <w:r>
        <w:rPr>
          <w:rFonts w:ascii="Arial" w:cs="Arial" w:eastAsia="Arial" w:hAnsi="Arial"/>
          <w:sz w:val="17"/>
          <w:szCs w:val="17"/>
          <w:color w:val="auto"/>
        </w:rPr>
        <w:t>LDTs where the FDA alleges that noncompliance with the FDA regulations led to serious issues, such as false-positive or false-negative results, causing potential or actual harm to patients. On December 29, 2015, the FDA published notice of its intent to finalize guidance on its policy for regulatory oversight of LDTs in 2016. However, on November 18, 2016, the FDA announced it would not release final guidance and instead would continue to work with stakeholders, the new administration and Congress to determine the right approach, and on January 13, 2017, the FDA released a discussion paper outlining a possible risk-based approach for FDA and CMS oversight of LDTs. Later in 2017, the Commissioner of the FDA indicated that Congress should enact legislation to address improved oversight of diagnostics including LDTs, rather than the FDA addressing the issue through administrative policy proposals. There are other regulatory and legislative proposals that would increase general FDA oversight of clinical laboratories and LDTs. The outcome and ultimate impact of such proposals on the business is difficult to predict at this time.</w:t>
      </w:r>
    </w:p>
    <w:p>
      <w:pPr>
        <w:spacing w:after="0" w:line="9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Current FDA regulation of the Company’s diagnostic products and potential future increased regulation of the Company’s LDTs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 and loss of licensure, and have a material adverse effect upon the Company’s business.</w:t>
      </w:r>
    </w:p>
    <w:p>
      <w:pPr>
        <w:spacing w:after="0" w:line="8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As previously discussed in Item 1 of Part I of this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19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If the Company does not comply with existing or new laws and regulations related to protecting the privacy and security of personal or health information, it could be subject to monetary fines, civil penalties or criminal sanctions.</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the Health Insurance Portability and Accountability Act of 1996 (HIPAA) privacy and security regulations, including the expanded requirements under U.S. Health Information Technology for Economic and Clinical Health Act (HITECH), establish comprehensive standards with respect to the use and disclosure of protected health information (PHI) by covered entities, in addition to setting standards to protect the confidentiality, integrity and security of PHI.</w:t>
      </w:r>
    </w:p>
    <w:p>
      <w:pPr>
        <w:spacing w:after="0" w:line="9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94" w:lineRule="exact"/>
        <w:rPr>
          <w:sz w:val="20"/>
          <w:szCs w:val="20"/>
          <w:color w:val="auto"/>
        </w:rPr>
      </w:pPr>
    </w:p>
    <w:p>
      <w:pPr>
        <w:ind w:left="740" w:right="20" w:hanging="327"/>
        <w:spacing w:after="0" w:line="291"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23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health information or other personal information.</w:t>
      </w:r>
    </w:p>
    <w:p>
      <w:pPr>
        <w:spacing w:after="0" w:line="99"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may also be required to comply with the data privacy and security laws of other countries in which it operates or with which it transfers and receives data. For example, in Europe both criminal and administrative sanctions are possible for violation of European Union (EU) member state implementations of the general data protection Directive 95/46/EC. In December 2015, the EU enacted a General Data Protection Regulation (GDPR) to replace Directive 95/46/EC, which will take effect May 25, 2018, and which has a broader application and enhanced penalties for noncompliance. The Company is executing on its GDPR readiness project to support compliance with the GDPR. The GDPR creates a range of new compliance obligations for subject companies and substantially increases financial penalties for non-compliance. The costs of compliance with the GDPR and the potential for fines and penalties in the event of a violation of the GDPR may have a significant adverse effect on the Company's business and operations. In addition, similar data protection regulations addressing access, use, disclosure and transfer of personal data have been enacted or updated in countries where the Company does business in Asia, Latin America, Canada and Europe. The Company expects to make changes to its business practices and to incur additional costs associated with compliance with these evolving and complex regulations.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Regulations requiring the use of standard transactions for healthcare services issued under HIPAA may negatively impact the Company’s profitability and cash flows.</w:t>
      </w:r>
    </w:p>
    <w:p>
      <w:pPr>
        <w:spacing w:after="0" w:line="193"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Pursuant to HIPAA, the U.S. Department of Health and Human Services (HHS) has issued regulations designed to improve the efficiency and effectiveness of the healthcare system by facilitating the electronic exchange of information in certain financial and administrative transactions while protecting the privacy and security of the information exchanged. The HIPAA transaction standards are complex and subject to differences in interpretation by payers. For instance, some payers may interpret the standards to require the Company to provide certain types of information, including demographic information, not usually provided to the Company by physicians. In addition, requirements for additional standard transactions, such as claims attachments, could prove technically difficult, time-consuming or expensive to implement. As a result of inconsistent application of other transaction standards by payers or the Company’s inability to obtain certain billing information not usually provided to the Company by physicians, the Company could face increased costs and complexity, a temporary disruption in receipts and ongoing reductions in reimbursements and net revenues. While the Company is working closely with its payers to establish acceptable protocols for claim submission and with its trade association and an industry coalition to present issues and problems as they arise to the appropriate regulators and standards-setting organizations, it may not be successful in these efforts.</w:t>
      </w:r>
    </w:p>
    <w:p>
      <w:pPr>
        <w:spacing w:after="0" w:line="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w:t>
      </w:r>
    </w:p>
    <w:p>
      <w:pPr>
        <w:spacing w:after="0" w:line="19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receives certain personal and financial information about its customers. In addition, the Company depends upon the secure transmission of confidential information over public networks, including information permitting cashless payments. A compromise in the Company’s security systems that results in customer personal information being obtained by unauthorized persons or the Company’s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w:t>
      </w:r>
    </w:p>
    <w:p>
      <w:pPr>
        <w:spacing w:after="0" w:line="7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16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7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testing methods at competitive rates, its research and development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87"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w:t>
      </w:r>
    </w:p>
    <w:p>
      <w:pPr>
        <w:spacing w:after="0" w:line="94" w:lineRule="exact"/>
        <w:rPr>
          <w:sz w:val="20"/>
          <w:szCs w:val="20"/>
          <w:color w:val="auto"/>
        </w:rPr>
      </w:pPr>
    </w:p>
    <w:p>
      <w:pPr>
        <w:jc w:val="both"/>
        <w:ind w:firstLine="304"/>
        <w:spacing w:after="0" w:line="270" w:lineRule="auto"/>
        <w:rPr>
          <w:sz w:val="20"/>
          <w:szCs w:val="20"/>
          <w:color w:val="auto"/>
        </w:rPr>
      </w:pPr>
      <w:r>
        <w:rPr>
          <w:rFonts w:ascii="Arial" w:cs="Arial" w:eastAsia="Arial" w:hAnsi="Arial"/>
          <w:sz w:val="17"/>
          <w:szCs w:val="17"/>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changes to related products (e.g., health insurance exchanges), changes in government payment and reimbursement systems, or changes in payer mix, including an increase in capitated reimbursement mechanisms and evolving delivery models, could have a material adverse effect on the Company's net revenues, profitability and cash flow.</w:t>
      </w:r>
    </w:p>
    <w:p>
      <w:pPr>
        <w:spacing w:after="0" w:line="20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LCD's testing services are billed to MCOs, Medicare, Medicaid, physicians and physician groups, hospitals, patients and employer groups.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MCOs could have an adverse effect on the Company’s net revenues.</w:t>
      </w:r>
    </w:p>
    <w:p>
      <w:pPr>
        <w:spacing w:after="0" w:line="214"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Capitation shifts the risk of increased test utilization (and the underlying mix of testing services) to the commercial laboratory provider. The Company makes significant efforts to ensure that its services are adequately compensated in its capitated arrangements. For the year ended December 31, 2017, such capitated contracts accounted for approximately $259.1 million, or 3.6%, of LCD's net revenues.</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delivery models (e.g., accountable care organizations).</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76" w:lineRule="exact"/>
        <w:rPr>
          <w:sz w:val="20"/>
          <w:szCs w:val="20"/>
          <w:color w:val="auto"/>
        </w:rPr>
      </w:pPr>
    </w:p>
    <w:p>
      <w:pPr>
        <w:jc w:val="both"/>
        <w:ind w:firstLine="303"/>
        <w:spacing w:after="0" w:line="293" w:lineRule="auto"/>
        <w:rPr>
          <w:sz w:val="20"/>
          <w:szCs w:val="20"/>
          <w:color w:val="auto"/>
        </w:rPr>
      </w:pPr>
      <w:r>
        <w:rPr>
          <w:rFonts w:ascii="Arial" w:cs="Arial" w:eastAsia="Arial" w:hAnsi="Arial"/>
          <w:sz w:val="16"/>
          <w:szCs w:val="16"/>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however, changes to, or repeal of, the Patient Protection and Affordable Care Act (ACA) may continue to affect coverage, reimbursement,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utilization of laboratory services, as well as administrative requirements, in ways that are currently unpredictable. Further healthcare reform could adversely affect laboratory reimbursement from Medicare, Medicaid or commercial carriers.</w:t>
      </w:r>
    </w:p>
    <w:p>
      <w:pPr>
        <w:spacing w:after="0" w:line="7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These issues (particularly payer policy changes) and changes in coverage had a negative impact on revenue, revenue per requisition, and margins and cash flows in 2014 through 2017, and are expected to have a continuing negative impact. Similarly, the Clinical Laboratory Fee Schedule (CLFS) coding and billing changes related to toxicology and other procedures were implemented in 2016 and 2017. The Company experienced delays in the pricing and implementation of the new toxicology codes; however, the Company largely overcame issues related to price and margins through direct negotiation with the associated payers. Limited coding and billing changes related to other procedure types are expected to be implemented in 2018. The Company expects some continued delays in the pricing and implementation of these new codes.</w:t>
      </w:r>
    </w:p>
    <w:p>
      <w:pPr>
        <w:spacing w:after="0" w:line="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some MCOs are implementing, directly or through third parties, various types of laboratory benefit management programs that may include lab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molecular and genetic testing.</w:t>
      </w:r>
    </w:p>
    <w:p>
      <w:pPr>
        <w:spacing w:after="0" w:line="9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Company expects the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services and procedures, it could have a material adverse effect on the Company’s net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LCD,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CPT codes) to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The second data reporting period for CDLTs will occur during the first quarter of 2020, and new CLFS rates for CDLTs will be established based on that data beginning in 2021, subject to the previously described phase-in limits for 2021-2023. The third data reporting period for CDLTs will occur during the first quarter of 2023, and new CLFS rates for CDLTs will be established based on that data beginning in 2024. CLFS rates for 2024 and subsequent periods will not be subject to phase-in limits. CLFS rates for Advanced Diagnostic Laboratory Tests (ADLTs) will be updated annually. CMS published its initial proposed CLFS rates under PAMA for 2018-2020 on September 22, 2017. Following a public comment period, CMS made adjustments and published final CLFS rates for 2018-2020 on November 17, 2017, with additional adjustments published on December 1, 2017. For 2018, the Company estimates that CLFS rates will reduce LCD revenue from all payers affected by the CLFS by a total of approximately 8% ($70.0 million). The Company supports the efforts of the American Clinical Laboratory Association (ACLA) to work with Congress on potential legislative reform of PAMA, which if enacted could reduce the negative impact of PAMA as implemented by CMS.</w:t>
      </w:r>
    </w:p>
    <w:p>
      <w:pPr>
        <w:spacing w:after="0" w:line="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potential changes to the ACA, the exact impact to employers, including the Company, is uncertain.</w:t>
      </w:r>
    </w:p>
    <w:p>
      <w:pPr>
        <w:spacing w:after="0" w:line="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government regulation or in practices relating to the biopharmaceutical industry could decrease the need for certain services that Covance Drug Development (CDD) provides.</w:t>
      </w:r>
    </w:p>
    <w:p>
      <w:pPr>
        <w:spacing w:after="0" w:line="19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CDD assists biopharmaceutical companies in navigating the regulatory drug approval process. Changes in regulations such as a relaxation in regulatory requirements or the introduction of simplified drug approval procedures, or an increase in regulatory requirements that CDD has difficulty satisfying or that make its services less competitive, could eliminate or substantially reduce the demand for its services. Also, if government efforts to contain drug costs impact biopharmaceutical company profits from new drugs, or if health insurers were to change their practices with respect to reimbursement for biopharmaceutical products, some of CDD’s customers may spend less, or reduce their growth in spending on R&amp;D.</w:t>
      </w:r>
    </w:p>
    <w:p>
      <w:pPr>
        <w:spacing w:after="0" w:line="7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December 13, 2016, the 21st Century Cures Act was signed into law. This Act provides funding designed to increase government spending on certain drug development initiatives; contains several provisions designed to help make the drug development process more streamlined and efficient; and allows the FDA to increase staffing to support drug development, review</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regulation. These provisions should be helpful to biopharmaceutical companies and contract research organizations (CROs), including CDD, to the extent that they capitalize on the use of data, adaptive trial designs, real-world evidence, biomarkers and other development tools that are accepted by the FDA.</w:t>
      </w:r>
    </w:p>
    <w:p>
      <w:pPr>
        <w:spacing w:after="0" w:line="29" w:lineRule="exact"/>
        <w:rPr>
          <w:sz w:val="20"/>
          <w:szCs w:val="20"/>
          <w:color w:val="auto"/>
        </w:rPr>
      </w:pPr>
    </w:p>
    <w:p>
      <w:pPr>
        <w:jc w:val="both"/>
        <w:ind w:right="20" w:firstLine="270"/>
        <w:spacing w:after="0" w:line="312" w:lineRule="auto"/>
        <w:rPr>
          <w:sz w:val="20"/>
          <w:szCs w:val="20"/>
          <w:color w:val="auto"/>
        </w:rPr>
      </w:pPr>
      <w:r>
        <w:rPr>
          <w:rFonts w:ascii="Arial" w:cs="Arial" w:eastAsia="Arial" w:hAnsi="Arial"/>
          <w:sz w:val="16"/>
          <w:szCs w:val="16"/>
          <w:color w:val="auto"/>
        </w:rPr>
        <w:t>In addition, implementation of healthcare reform legislation that adds costs could limit the profits that can be made from the development of new drugs. This could adversely affect R&amp;D expenditures by biopharmaceutical companies, which could in turn decrease the business opportunities available to CDD both in the U.S. and other countries. New laws or regulations may create a risk of liability, increase CDD costs or limit service offerings through CDD.</w:t>
      </w:r>
    </w:p>
    <w:p>
      <w:pPr>
        <w:spacing w:after="0" w:line="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Failure to comply with the regulations of drug regulatory agencies, such as the FDA, the Medicines and Healthcare products Regulatory Agency in the United Kingdom (U.K.), the European Medicines Agency, the China Food and Drug Administration, and the Pharmaceuticals and Medical Devices Agency in Japan, could result in sanctions and/or remedies against CDD and have a material adverse effect upon the Company.</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operation of CDD's preclinical laboratory facilities and clinical trial operations must conform to good laboratory practice (GLP) and good clinical practice (GCP), as applicable, as well as all other applicable standards and regulations, as further described in Item 1 of Part I of this report. The business operations of CDD’s clinical and preclinical laboratories also require the import and export of medical devices, in vitro diagnostic devices, reagents, and human and animal biological products. Such activities are subject to numerous applicable local and international regulations with which CDD must comply or be subject to civil, criminal or administrative sanctions and/or remedies, including suspension of its ability to import or export to or from certain countries, which could have a material adverse effect upon the Company.</w:t>
      </w:r>
    </w:p>
    <w:p>
      <w:pPr>
        <w:spacing w:after="0" w:line="9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Additionally, certain CDD services and activities must conform to current good manufacturing practice (cGMP) as further described in Item 1 of Part I of this report. Failure to maintain compliance with GLP, GCP, or cGMP regulations and other applicable requirements of various regulatory agencies could result in warning letters, fines, unanticipated compliance expenditures, suspension of manufacturing, and civil, criminal or administrative sanctions and/or remedies against CDD, including suspension of its laboratory operations, which could have a material adverse effect upon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effect on the Company’s net revenues and profitability.</w:t>
      </w:r>
    </w:p>
    <w:p>
      <w:pPr>
        <w:spacing w:after="0" w:line="14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further described in Item 1 of Part I of this report, both LCD and CDD operate in highly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LCD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4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Competitors in the CRO industry range from hundreds of smaller CROs to a limited number of large CROs with global capabilities. CDD’s main competition consists of these small and large CROs, as well as in-house departments of biopharmaceutical companies and, to a lesser extent, select universities and teaching hospitals. CDD’s services have from time to time experienced periods of increased price competition that had an adverse effect on a segment's profitability and consolidated net revenues and net income. There is competition among CROs for both customers and potential acquisition candidates. Additionally, few barriers to entering the CRO industry further increases possible new competition.</w:t>
      </w:r>
    </w:p>
    <w:p>
      <w:pPr>
        <w:spacing w:after="0" w:line="1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These competitive pressures may affect the attractiveness or profitability of LCD’s and CDD’s services, and could adversely affect the financial results of the Company.</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207"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net revenues and profitability. The Company competes primarily on the basis of the quality of services, reporting and information systems, reputation in the medical community and the drug development industry, the pricing of services and ability to employ qualified personnel. The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failure to successfully compete on any of these factors could result in the loss of existing customers, an inability to gain new customers and a reduction in the Company's business.</w:t>
      </w:r>
    </w:p>
    <w:p>
      <w:pPr>
        <w:spacing w:after="0" w:line="72" w:lineRule="exact"/>
        <w:rPr>
          <w:sz w:val="20"/>
          <w:szCs w:val="20"/>
          <w:color w:val="auto"/>
        </w:rPr>
      </w:pPr>
    </w:p>
    <w:p>
      <w:pPr>
        <w:ind w:left="80" w:right="400" w:firstLine="648"/>
        <w:spacing w:after="0" w:line="282" w:lineRule="auto"/>
        <w:rPr>
          <w:sz w:val="20"/>
          <w:szCs w:val="20"/>
          <w:color w:val="auto"/>
        </w:rPr>
      </w:pPr>
      <w:r>
        <w:rPr>
          <w:rFonts w:ascii="Arial" w:cs="Arial" w:eastAsia="Arial" w:hAnsi="Arial"/>
          <w:sz w:val="18"/>
          <w:szCs w:val="18"/>
          <w:b w:val="1"/>
          <w:bCs w:val="1"/>
          <w:color w:val="auto"/>
        </w:rPr>
        <w:t>Continued and increased consolidation of MCOs, biopharmaceutical companies, health systems, physicians and other customers could adversely affect the Company's business.</w:t>
      </w:r>
    </w:p>
    <w:p>
      <w:pPr>
        <w:spacing w:after="0" w:line="193"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Many healthcare companies and providers, including MCOs, biopharmaceutical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1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LCD has a well-established base of relationships with those systems and networks, including collaborative agreements. LCD's inability to retain its existing relationships with those physicians as they become part of healthcare systems and networks and/or to create new relationships could impact its ability to successfully grow its business.</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LCD’s nutritional chemistry and food safety business exposes the Company to various risks, including liability for errors and omissions in work conducted for LCD customers.</w:t>
      </w:r>
    </w:p>
    <w:p>
      <w:pPr>
        <w:spacing w:after="0" w:line="8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LCD offers a range of product-development and product-integrity services to food and beverage manufacturers and retailers, industry organizations and academic institutions. LCD also is exploring the possibility of developing point-of-production testing for food safety. These business offerings and opportunities expose the Company to many of the same, or similar, risks that are applicable to other business activities of the Company, including with respect to the operations of its facilities and compliance with applicable laws and regulations. The agricultural, food, beverage and dietary supplement industries are continuing to gain the attention of governments and regulators around the world, and regulations and applicable laws have increased in recent years. For example, many food and beverage manufacturers and retailers will be subject to new nutrition labeling regulations and new food manufacturing requirements, including regulations issued under the Food Safety Modernization Act (FSMA). With these enhanced requirements on the Company’s customers, there is an increased risk that errors in or omissions from nutritional analysis and food safety tests conducted by the Company for its customers could result in liability for the Company under customer contracts. If LCD determines to further expand its nutritional chemistry and food safety testing business in the future beyond what is currently anticipated, LCD could become subject to additional standards and regulations, including under the FSMA, and could face additional liabilities resulting from new and pending regulatory and other legal actions.</w:t>
      </w:r>
    </w:p>
    <w:p>
      <w:pPr>
        <w:spacing w:after="0" w:line="189" w:lineRule="exact"/>
        <w:rPr>
          <w:sz w:val="20"/>
          <w:szCs w:val="20"/>
          <w:color w:val="auto"/>
        </w:rPr>
      </w:pPr>
    </w:p>
    <w:p>
      <w:pPr>
        <w:ind w:left="80" w:right="320" w:firstLine="648"/>
        <w:spacing w:after="0" w:line="282" w:lineRule="auto"/>
        <w:rPr>
          <w:sz w:val="20"/>
          <w:szCs w:val="20"/>
          <w:color w:val="auto"/>
        </w:rPr>
      </w:pPr>
      <w:r>
        <w:rPr>
          <w:rFonts w:ascii="Arial" w:cs="Arial" w:eastAsia="Arial" w:hAnsi="Arial"/>
          <w:sz w:val="18"/>
          <w:szCs w:val="18"/>
          <w:b w:val="1"/>
          <w:bCs w:val="1"/>
          <w:color w:val="auto"/>
        </w:rPr>
        <w:t>Changes or disruption in services or supplies provided by third parties, including transportation, could adversely affect the Company’s business.</w:t>
      </w:r>
    </w:p>
    <w:p>
      <w:pPr>
        <w:spacing w:after="0" w:line="19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depends on third parties to provide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of these services, products, or animal populations may arise from export/import restrictions or embargoes, political or economic instability, pressure from animal rights activists, adverse weather, natural disasters, transportation disruptions, or other causes. Disruption of supply could have a material adverse effect on the Company’s business.</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2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Many of the Company’s facilities could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20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Company bears financial risk for contracts that, for reasons beyond the Company's control, may be underpriced, subject to cost overruns, delayed, or terminated or reduced in scope.</w:t>
      </w:r>
    </w:p>
    <w:p>
      <w:pPr>
        <w:spacing w:after="0" w:line="8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and cash flows.</w:t>
      </w:r>
    </w:p>
    <w:p>
      <w:pPr>
        <w:spacing w:after="0" w:line="9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Many of CDD’s contracts, in particular, provide for services on a fixed-price or fee-for-service with a cap basis and they may be terminated or reduced in scope either immediately or upon notice. Cancellations may occur for a variety of reasons, including:</w:t>
      </w:r>
    </w:p>
    <w:p>
      <w:pPr>
        <w:spacing w:after="0" w:line="62"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products to satisfy safety requirements;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clinical trial subject enrollment;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customer's decision to terminate the development of a product or to end a particular study;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CDD’s failure to perform its duties properly under the contract.</w:t>
      </w:r>
    </w:p>
    <w:p>
      <w:pPr>
        <w:spacing w:after="0" w:line="103" w:lineRule="exact"/>
        <w:rPr>
          <w:sz w:val="20"/>
          <w:szCs w:val="20"/>
          <w:color w:val="auto"/>
        </w:rPr>
      </w:pPr>
    </w:p>
    <w:p>
      <w:pPr>
        <w:ind w:right="20" w:firstLine="162"/>
        <w:spacing w:after="0" w:line="332"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CDD.</w:t>
      </w: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contracting to work on drug development trials and studies, CDD faces a range of potential liabilities, including:</w:t>
      </w:r>
    </w:p>
    <w:p>
      <w:pPr>
        <w:spacing w:after="0" w:line="23" w:lineRule="exact"/>
        <w:rPr>
          <w:sz w:val="20"/>
          <w:szCs w:val="20"/>
          <w:color w:val="auto"/>
        </w:rPr>
      </w:pPr>
    </w:p>
    <w:p>
      <w:pPr>
        <w:ind w:left="740" w:hanging="327"/>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Errors or omissions that create harm to clinical trial subjects during a trial or to consumers of a drug after the trial is completed and regulatory approval of the drug has been granted;</w:t>
      </w:r>
    </w:p>
    <w:p>
      <w:pPr>
        <w:ind w:left="740" w:hanging="327"/>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physicians;</w:t>
      </w:r>
    </w:p>
    <w:p>
      <w:pPr>
        <w:ind w:left="740" w:right="520" w:hanging="327"/>
        <w:spacing w:after="0" w:line="281"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that animals in CDD’s breeding facilities may be infected with diseases that may be harmful and even lethal to themselves and humans despite preventive measures contained in CDD's business policies, including those for the quarantine and handling of imported animals; and</w:t>
      </w:r>
    </w:p>
    <w:p>
      <w:pPr>
        <w:spacing w:after="0" w:line="1" w:lineRule="exact"/>
        <w:rPr>
          <w:rFonts w:ascii="Arial" w:cs="Arial" w:eastAsia="Arial" w:hAnsi="Arial"/>
          <w:sz w:val="16"/>
          <w:szCs w:val="16"/>
          <w:color w:val="auto"/>
        </w:rPr>
      </w:pPr>
    </w:p>
    <w:p>
      <w:pPr>
        <w:ind w:left="740" w:hanging="327"/>
        <w:spacing w:after="0" w:line="261"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Errors and omissions during a trial that may undermine the usefulness of a trial or data from the trial or study or may delay the entry of a drug to the market.</w:t>
      </w:r>
    </w:p>
    <w:p>
      <w:pPr>
        <w:spacing w:after="0" w:line="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contracts with physicians, also referred to as investigators, to conduct the clinical trials to test new drugs on clinical trial subjects. These tests can create a risk of liability for personal injury or death to clinical trial subjects resulting from negative reactions to the drugs administered or from professional malpractice by third party investigators.</w:t>
      </w:r>
    </w:p>
    <w:p>
      <w:pPr>
        <w:spacing w:after="0" w:line="8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While CDD endeavors to include in its contracts provisions entitling it to be indemnified and entitling it to a limitation of liability, these provisions do not uniformly protect CDD against liability arising from certain of its own actions. CDD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CDD is not successful in limiting its liability or in the event that the damages and costs exceed CDD's insurance coverage. There can be no assurance that CDD will be able to maintain sufficient insurance coverage on acceptable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may become subject in the ordinary course of business to material legal action related to, among other things, intellectual property disputes, contract disputes, data and privacy issues, professional liability and employee-related matters. The Company may also receive inquiries and requests for information from governmental agencies and bodies, including Medicare or Medicaid payers, requesting comment and/or information on allegations of billing irregularities, billing and pricing arrangements, or privacy practices that are brought to their attention through audits or third parties. Legal actions could result in substantial monetary damages as well as damage to the Company’s reputation with customers, which could have a material adverse effect upon its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operating results, particularly for CDD, may vary significantly from quarter to quarter and are influenced by factors over which the</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 has little control, such as:</w:t>
      </w:r>
    </w:p>
    <w:p>
      <w:pPr>
        <w:spacing w:after="0" w:line="116" w:lineRule="exact"/>
        <w:rPr>
          <w:sz w:val="20"/>
          <w:szCs w:val="20"/>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groups of projects;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these fluctuations may not be related to the Company's future overall operating performance.</w:t>
      </w:r>
    </w:p>
    <w:p>
      <w:pPr>
        <w:spacing w:after="0" w:line="24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If the Company is unable to obtain or maintain the proprietary rights to its intellectual property, if it is unable to prevent attempted infringement against its intellectual property, or if it is unable to defend against claims that it is infringing on another party’s intellectual property, the Company could be adversely affected. These adverse effects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CDD’s revenues depend on the biopharmaceutical industry.</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CDD’s revenues depend greatly on the expenditures made by the biopharmaceutical industry in R&amp;D. In some instances, biopharmaceutical companies are reliant on their ability to raise capital in order to fund their R&amp;D projects. Biopharmaceutical companies are also reliant on reimbursement for their products from government programs and commercial payers. Accordingly, economic factors and industry trends affecting CDD’s customers in these industries may also affect CDD. If these companies were to reduce the number of R&amp;D projects they conduct or outsource, whether through the inability to raise capital, reductions in reimbursement from governmental programs or commercial payers, industry trends, economic conditions or otherwise, CDD could be materially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CDD's preclinical services utilize animals in preclinical testing of the safety and efficacy of drugs. Such activities are required for the development of new medicines and medical devices under regulatory regimes in the U.S., Europe, Japan and other countries. CDD also breeds and sells animals for biomedical research. Acts of vandalism and other acts by animal rights activists who object to the use of animals in drug development could have an adverse effect on the Company.</w:t>
      </w:r>
    </w:p>
    <w:p>
      <w:pPr>
        <w:spacing w:after="0" w:line="21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Animal populations may suffer diseases that can damage CDD's inventory, harm its reputation, result in decreased sales of research products or result in other liability.</w:t>
      </w:r>
    </w:p>
    <w:p>
      <w:pPr>
        <w:spacing w:after="0" w:line="19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CDD’s inventory, result in harm to humans or outside animal populations if the disease is not contained to animals in inventory, or result in other losses. Such results could harm CDD’s reputation or have an adverse effect on CDD's financial condition, results of operations, and cash flows.</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Failure to conduct animal research in compliance with animal welfare laws and regulations could result in sanctions and/or remedies against CDD and have a material adverse effect upon the Company.</w:t>
      </w:r>
    </w:p>
    <w:p>
      <w:pPr>
        <w:spacing w:after="0" w:line="19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conduct of animal research at CDD’s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CDD conducts animal research, including the European Union and China. CDD complies with licensing and registration requirement standards set by these laws and regulations in the jurisdictions in which it conducts animal research. If an enforcement agency determines that CDD’s equipment, facilities, laboratories or processes do not comply with applicable standards, it may issue an inspection report documenting the deficiencies and setting deadlines for any required corrective actions. For noncompliance, the agency may take action against CDD that may include fines, suspension and/or revocation of animal research licenses, or confiscation of research animals.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inability to attract and retain experienced and qualified personnel could adversely affect the Company’s business.</w:t>
      </w:r>
    </w:p>
    <w:p>
      <w:pPr>
        <w:spacing w:after="0" w:line="25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loss of key management personnel or the inability to attract and retain experienced and qualified employees at the Company’s clinical laboratories and drug development facilities could adversely affect the business. The success of the Company is dependent in part on the efforts of key members of its management team. Success in maintaining the Company’s leadership position in genomic and other advanced testing technologies and in drug development will depend in part on the Company’s ability to attract and retain skilled research professionals. In addition, the success of the Company’s clinical laboratories also depends on employing and retaining qualified and experienced laboratory professionals, including specialists, who perform commercial laboratory testing</w:t>
      </w:r>
    </w:p>
    <w:p>
      <w:pPr>
        <w:sectPr>
          <w:pgSz w:w="11900" w:h="16838" w:orient="portrait"/>
          <w:cols w:equalWidth="0" w:num="1">
            <w:col w:w="11420"/>
          </w:cols>
          <w:pgMar w:left="240" w:top="12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services. In the future, if competition for the services of these professionals increases, the Company may not be able to continue to attract and retain individuals in its markets. The Company’s revenues and earnings could be adversely affected if a significant number of professionals terminate their relationship with the Company or become unable or unwilling to continue their employment.</w:t>
      </w:r>
    </w:p>
    <w:p>
      <w:pPr>
        <w:spacing w:after="0" w:line="204" w:lineRule="exact"/>
        <w:rPr>
          <w:sz w:val="20"/>
          <w:szCs w:val="20"/>
          <w:color w:val="auto"/>
        </w:rPr>
      </w:pPr>
    </w:p>
    <w:p>
      <w:pPr>
        <w:jc w:val="both"/>
        <w:ind w:firstLine="45"/>
        <w:spacing w:after="0" w:line="282" w:lineRule="auto"/>
        <w:rPr>
          <w:sz w:val="20"/>
          <w:szCs w:val="20"/>
          <w:color w:val="auto"/>
        </w:rPr>
      </w:pPr>
      <w:r>
        <w:rPr>
          <w:rFonts w:ascii="Arial" w:cs="Arial" w:eastAsia="Arial" w:hAnsi="Arial"/>
          <w:sz w:val="18"/>
          <w:szCs w:val="18"/>
          <w:b w:val="1"/>
          <w:bCs w:val="1"/>
          <w:color w:val="auto"/>
        </w:rPr>
        <w:t>Unionization of employees, union strikes, work stoppages or failure to comply with labor or employment laws could adversely affect the Company's operations and have a material adverse effect upon the Company's business.</w:t>
      </w:r>
    </w:p>
    <w:p>
      <w:pPr>
        <w:spacing w:after="0" w:line="19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is a party to a limited number of collective bargaining agreements with various labor unions and is subject to employment and labor laws and unionization activity in the U.S. and other countries in which it conducts business. Disputes with regard to the terms of these agreements,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w:t>
      </w:r>
    </w:p>
    <w:p>
      <w:pPr>
        <w:spacing w:after="0" w:line="20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significant increase in LCD's or CDD's days sales outstanding could have an adverse effect on the Company’s business, including its cash flow, by increasing its bad debt or decreasing its cash flow.</w:t>
      </w:r>
    </w:p>
    <w:p>
      <w:pPr>
        <w:spacing w:after="0" w:line="19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LCD has experienced an increase in patient responsibility as a result of managed care fee-for-service plans that continue to increase deductibles, coinsurance and patient copayments. LCD expects this trend to continue. A material increase in LCD’s days sales outstanding level could have an adverse effect on the Company's business, including potentially increasing its bad debt rate and decreasing its cash flows. Although CDD does not face the same level of complexity in its billing process, it could also experience delays in billing or collection, and a material increase in CDD’s days sales outstanding could have an adverse effect on the Company’s business, including potentially decreasing its cash flows.</w:t>
      </w:r>
    </w:p>
    <w:p>
      <w:pPr>
        <w:spacing w:after="0" w:line="20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updates or enhancements to those systems could significantly increase testing turnaround time or delay billing processes and otherwise disrupt the Company’s operations or customer relationships.</w:t>
      </w:r>
    </w:p>
    <w:p>
      <w:pPr>
        <w:spacing w:after="0" w:line="207" w:lineRule="exact"/>
        <w:rPr>
          <w:sz w:val="20"/>
          <w:szCs w:val="20"/>
          <w:color w:val="auto"/>
        </w:rPr>
      </w:pPr>
    </w:p>
    <w:p>
      <w:pPr>
        <w:jc w:val="both"/>
        <w:ind w:firstLine="308"/>
        <w:spacing w:after="0" w:line="272" w:lineRule="auto"/>
        <w:rPr>
          <w:sz w:val="20"/>
          <w:szCs w:val="20"/>
          <w:color w:val="auto"/>
        </w:rPr>
      </w:pPr>
      <w:r>
        <w:rPr>
          <w:rFonts w:ascii="Arial" w:cs="Arial" w:eastAsia="Arial" w:hAnsi="Arial"/>
          <w:sz w:val="17"/>
          <w:szCs w:val="17"/>
          <w:color w:val="auto"/>
        </w:rPr>
        <w:t>The Company’s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Failure of the Company’s information technology systems could adversely affect the Company’s business, profitability and financial condition.</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new systems or system enhancements to existing systems, and cyber security breaches may harm the Company.</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Company's success depends on the efficient and uninterrupted operation of its computer and communications systems. A failure of the network or data-gathering procedures could impede the processing of data, delivery of databases and services, customer orders and day-to-day management of the business and could result in the corruption or loss of data. While certain operations have appropriate disaster recovery plans in place, there currently are not redundant facilities everywhere in the world to provide information technology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the Company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the Company's reputation and harm the business. Finally, long-term disruptions in the infrastructure caused by events such as natural disasters, the outbreak of war, the escalation of hostilities, acts of terrorism (particularly involving cities in which the Company has offices) and cybersecurity breaches could adversely affect the business. Although the Company carries property and business interruption insurance, the coverage may not be adequate to compensate for all losses that may occur.</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and unauthorized access to the Company's or its customers’ data could harm the Company’s reputation and adversely affect its business.</w:t>
      </w:r>
    </w:p>
    <w:p>
      <w:pPr>
        <w:spacing w:after="0" w:line="19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Company has experienced and expects to continue to experience attempts by computer programmers and hackers to attack and penetrate the Company’s layered security controls. These attempts, if successful, could result in the misappropriation or compromise of personal information or proprietary or confidential information stored within the Company's systems, create system disruptions or cause shutdowns. External actors may be able to develop and deploy viruses, worms and other malicious software programs that attack the Company’s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 Although the Company has robust information security procedures and other safeguards in place, which are monitored and routinely tested internally and by external parties,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Breaches of the Company’s security measures and the unauthorized dissemination of personal, proprietary or confidential information about the Company or its customers or other third-parties could expose customers’ private information. Such breaches could expose customers to the risk of financial or medical identity theft or expose the Company or other third-parties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Operations may be disrupted and adversely impacted by the effects of natural disasters such as adverse weather and earthquakes, acts of terrorism, or other criminal activities, or disease pandemics.</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Natural disasters may result in a temporary decline of volumes in both segments. In addition, such events may temporarily interrupt the Company’s ability to transport specimens, the Company's ability to efficiently commence studies, the Company’s information technology systems, the Company’s ability to utilize certain laboratories, and/or the Company’s ability to receive material from its suppliers.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deterioration in the economy could negatively impact testing volumes, drug development services, cash collections and the availability of credit.</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Company’s operations are dependent upon ongoing demand for diagnostic testing and drug development services by patients, physicians, hospitals, MCOs, biopharmaceutical companies and others. A significant downturn in the economy could negatively impact the demand for diagnostic testing and drug development services, as well as the ability of customers to pay for services rendered. In addition, uncertainty in the credit markets could reduce the availability of credit and impact the Company’s ability to meet its financing needs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fluctuations could have an adverse effect on the Company’s business.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business and operations outside the U.S., and CDD derives a significant portion of its net revenues from international operations. Since the Company's consolidated financial statements are denominated in U.S. dollars, fluctuations in exchange rates from period to period will have an impact on reported results. In addition, CDD may incur costs in one currency related to its services or products for which it is paid in a different currency. As a result, factors associated with international operations, including changes in foreign currency exchange rates, could significantly affect CDD's results of operations, financial condition and cash flows.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international operations could subject it to additional risks and expenses that could adversely impact the business or results of operations.</w:t>
      </w:r>
    </w:p>
    <w:p>
      <w:pPr>
        <w:spacing w:after="0" w:line="19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Company's international operations expose it to risks from failure to comply with foreign laws and regulations that differ from those under which the Company operates in the U.S. In addition, the Company may be adversely affected by other risks of expanded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w:t>
      </w:r>
    </w:p>
    <w:p>
      <w:pPr>
        <w:sectPr>
          <w:pgSz w:w="11900" w:h="16838" w:orient="portrait"/>
          <w:cols w:equalWidth="0" w:num="1">
            <w:col w:w="11420"/>
          </w:cols>
          <w:pgMar w:left="240" w:top="125"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Expanded international operations may increase the Company’s exposure to liabilities under the anti-corruption laws.</w:t>
      </w:r>
    </w:p>
    <w:p>
      <w:pPr>
        <w:spacing w:after="0" w:line="25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Anti-corruption laws in the countries where the Company conducts business, including the FCPA, the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some parts of the world where corruption may be common and where anti-corruption laws may conflict to some degree with local customs and practices. The Company maintains an anti-corruption program including policies, procedures and training and safeguards in the engagement and management of third parties acting on the Company’s behalf. Despite these safeguards, the Company cannot guarantee protection from corrupt acts committed by third parties associated with the Company. Violations or allegations of violations of anti-corruption laws could have a significant adverse effect on the business or results of operations.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20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On December 22, 2017, the U.S. Tax Cuts and Jobs Act (TCJA) was passed into law. The TCJA has given rise to significant one-time and ongoing changes to the taxes recognized and paid by the Company, and the full impact of the changes may only become fully understood over time.</w:t>
      </w:r>
    </w:p>
    <w:p>
      <w:pPr>
        <w:spacing w:after="0" w:line="17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effect on the Company's business objectives and its net revenues and profitability.</w:t>
      </w:r>
    </w:p>
    <w:p>
      <w:pPr>
        <w:spacing w:after="0" w:line="19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2013, the Company has invested net cash of approximately $6.5 billion and equity of $1.8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84" w:lineRule="exact"/>
        <w:rPr>
          <w:sz w:val="20"/>
          <w:szCs w:val="20"/>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Coordination of geographically separated facilities and workforces;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the day-to-day business of the Company.</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net revenues and profitability. Even if the Company is able to successfully integrate the operations of businesses that it may acquire in the future, the Company may not be able to realize the benefits that it expects from such 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level of indebtedness could adversely affect the Company’s liquidity, results of operations and business.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December 31, 2017, indebtedness on the Company's outstanding Senior Notes totaled approximately $5,900.0 million in aggregate principal. The Company is also a party to credit agreements relating to a $1.0 billion revolving credit facility, a 2014 term loan with a principal balance of $72.0 million, and a 2017 term loan with a balance of $750.0 million as of December 31, 2017. Under the term loan facility and the revolving credit facility, the Company is subject to negative covenants limiting subsidiary indebtedness and certain other covenants typical for investment-grade-rated borrowers, and the Company is required to maintain a leverage ratio within certain limits.</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Company’s level of indebtedness could adversely affect its business. In particular, it could increase the Company’s vulnerability to sustained, adverse macroeconomic weakness, limit its ability to obtain further financing, and limit its ability to pursue certain operational and strategic opportunities, including large acquisitions.</w:t>
      </w:r>
    </w:p>
    <w:p>
      <w:pPr>
        <w:spacing w:after="0" w:line="20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Global economic conditions and government and regulatory changes, including, but not limited to, the U.K.'s pending exit from the European Union (E.U.), could adversely impact the Company’s business and results of operations.</w:t>
      </w:r>
    </w:p>
    <w:p>
      <w:pPr>
        <w:spacing w:after="0" w:line="7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Company could be adversely impacted due to the consequences of changes in the economy, governments or regulations across the globe. In June 2016, a majority of voters in the U.K. elected to withdraw from the E.U. (often referred to as Brexit) in a national referendum. Although the referendum was advisory, the current U.K. government is abiding by the referendum and is in negotiations to withdraw from the E.U. in the near future. The terms of any withdrawal and future relations between the E.U. and the U.K. are not yet determined. While it appears that E.U. laws and regulations will continue to apply in the U.K. until the withdrawal is completed, it is difficult to anticipate how the clinical trial landscape in the U.K. might change in the next several years.</w:t>
      </w:r>
    </w:p>
    <w:p>
      <w:pPr>
        <w:spacing w:after="0" w:line="6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corporate headquarters are located in Burlington, North Carolina, and include facilities that are both owned and leased.</w:t>
      </w:r>
    </w:p>
    <w:p>
      <w:pPr>
        <w:spacing w:after="0" w:line="131" w:lineRule="exact"/>
        <w:rPr>
          <w:sz w:val="20"/>
          <w:szCs w:val="20"/>
          <w:color w:val="auto"/>
        </w:rPr>
      </w:pPr>
    </w:p>
    <w:p>
      <w:pPr>
        <w:ind w:right="20" w:firstLine="270"/>
        <w:spacing w:after="0" w:line="308" w:lineRule="auto"/>
        <w:rPr>
          <w:sz w:val="20"/>
          <w:szCs w:val="20"/>
          <w:color w:val="auto"/>
        </w:rPr>
      </w:pPr>
      <w:r>
        <w:rPr>
          <w:rFonts w:ascii="Arial" w:cs="Arial" w:eastAsia="Arial" w:hAnsi="Arial"/>
          <w:sz w:val="17"/>
          <w:szCs w:val="17"/>
          <w:color w:val="auto"/>
        </w:rPr>
        <w:t>LCD operates through a network of patient service centers, branches, rapid response laboratories, primary laboratories, and specialty laboratories. The table below summarizes certain information as to LCD's principal operating and administrative facilities as of December 31, 2017.</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Birmingham, Alabama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Phoenix,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Prescott,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Calabasas,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Los Angeles,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Monrovia,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Diego,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Tustin,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Englewood, Colorado</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Shelton, Connecticut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Hollywood,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Tampa,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Tucker, Georgia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Chicago,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Itasca,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Lenexa, Kansas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Louisville, Kentucky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Lafayette, Louisiana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Westborough, Massachusetts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Battle Creek, Michigan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Roseville,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St. Paul,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Kansas City, Missouri</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Ewing,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Raritan,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Santa Fe, New Mexico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New York, New York</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Burlington, North Carolina (5)</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Charlotte,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Greensboro,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McLeansville,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00"/>
              <w:spacing w:after="0"/>
              <w:rPr>
                <w:sz w:val="20"/>
                <w:szCs w:val="20"/>
                <w:color w:val="auto"/>
              </w:rPr>
            </w:pPr>
            <w:r>
              <w:rPr>
                <w:rFonts w:ascii="Arial" w:cs="Arial" w:eastAsia="Arial" w:hAnsi="Arial"/>
                <w:sz w:val="18"/>
                <w:szCs w:val="18"/>
                <w:color w:val="auto"/>
              </w:rPr>
              <w:t>Raleigh,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Research Triangle Park, North Carolina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Dublin, Ohio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Oklahoma City, Oklahoma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Brentwood,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Knoxville,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Austin,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Houston,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Antonio,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Chesapeake,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Herndon,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Lorton,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Seattle, Washington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Spokane, Washington (2)</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Charleston, West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Abingdon,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346"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019"/>
          </w:cols>
          <w:pgMar w:left="1440" w:top="125" w:right="1440"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CDD operates on a global scale. The table below summarizes certain information as to CDD's principal operating and administrative facilities as of December 31, 2017.</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Mechelen, Belgium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Beijing, China (2)</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Shanghai, China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Muenster, Germany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Bangalore, India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Harrogate,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Leeds,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Maidenhead,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Slough,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Indianapolis,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Alice,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Chantilly,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Greenfield,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Gaithersburg, Maryland</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Cranford,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Princeton,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 Trenton,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Cary,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Denver, Pennsylvania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Cumberland,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Geneva, Switzerland</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Madison, 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All of the Company’s primary laboratory and drug development facilities have been built or improved for the purpose of providing commercial laboratory testing or drug development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 (dollars in millions)</w:t>
      </w:r>
    </w:p>
    <w:p>
      <w:pPr>
        <w:spacing w:after="0" w:line="256"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Medicare or Medicaid payers, managed care organizations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healthcare providers (e.g., physician assistants and nurse practitioners, generally referred to herein as physicians). The Company works cooperatively to respond to appropriate requests for information.</w:t>
      </w:r>
    </w:p>
    <w:p>
      <w:pPr>
        <w:spacing w:after="0" w:line="193" w:lineRule="exact"/>
        <w:rPr>
          <w:sz w:val="20"/>
          <w:szCs w:val="20"/>
          <w:color w:val="auto"/>
        </w:rPr>
      </w:pPr>
    </w:p>
    <w:p>
      <w:pPr>
        <w:jc w:val="both"/>
        <w:ind w:right="20" w:firstLine="270"/>
        <w:spacing w:after="0" w:line="279"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1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ectPr>
          <w:pgSz w:w="11900" w:h="16838" w:orient="portrait"/>
          <w:cols w:equalWidth="0" w:num="1">
            <w:col w:w="11420"/>
          </w:cols>
          <w:pgMar w:left="240" w:top="125" w:right="239" w:bottom="1149"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149"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05"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 The amount of ultimate loss may also differ from the Company’s estimates. It is possible that an unfavorable outcome that exceeds the Company’s current accrued estimate, if any, for one or more of the matters below could have a material adverse effect on the Company’s financial condition.</w:t>
      </w:r>
    </w:p>
    <w:p>
      <w:pPr>
        <w:spacing w:after="0" w:line="206"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As previously reported, the Company reached a settlement in the previously disclosed lawsuit, </w:t>
      </w:r>
      <w:r>
        <w:rPr>
          <w:rFonts w:ascii="Arial" w:cs="Arial" w:eastAsia="Arial" w:hAnsi="Arial"/>
          <w:sz w:val="17"/>
          <w:szCs w:val="17"/>
          <w:i w:val="1"/>
          <w:iCs w:val="1"/>
          <w:color w:val="auto"/>
        </w:rPr>
        <w:t>California ex rel. Hunter Laboratories, LLC et al.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Diagnostics Incorporated, et al. </w:t>
      </w:r>
      <w:r>
        <w:rPr>
          <w:rFonts w:ascii="Arial" w:cs="Arial" w:eastAsia="Arial" w:hAnsi="Arial"/>
          <w:sz w:val="17"/>
          <w:szCs w:val="17"/>
          <w:color w:val="auto"/>
        </w:rPr>
        <w:t>(Hunter Labs Settlement Agreement), to avoid the uncertainty and costs associated with prolonged litigation. Pursuant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of healthcare services, including clinical laboratories. In 2012, the California legislature enacted Assembly Bill No. 1494, which directed the Department of Healthcare Services (DHCS) to establish new reimbursement rates for Medi-Cal commercial laboratory services based on payments made to California clinical laboratories for similar services by other third-party payers, and provided that until the new rates are set through this process, Medi-Cal payments for commercial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terminated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The 2016 rates have been implemented and recoupments began in 2017. Taken together, these changes are not expected to have a material impact on the Company's consolidated revenues or results of operations.</w:t>
      </w:r>
    </w:p>
    <w:p>
      <w:pPr>
        <w:spacing w:after="0" w:line="22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20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is cooperating with this request.</w:t>
      </w:r>
    </w:p>
    <w:p>
      <w:pPr>
        <w:spacing w:after="0" w:line="21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 xml:space="preserve">On May 2, 2013, the Company was served with a False Claims Act lawsuit, </w:t>
      </w:r>
      <w:r>
        <w:rPr>
          <w:rFonts w:ascii="Arial" w:cs="Arial" w:eastAsia="Arial" w:hAnsi="Arial"/>
          <w:sz w:val="18"/>
          <w:szCs w:val="18"/>
          <w:i w:val="1"/>
          <w:iCs w:val="1"/>
          <w:color w:val="auto"/>
        </w:rPr>
        <w:t>State of Georgia ex rel. Hunter Laboratories, LLC</w:t>
      </w:r>
      <w:r>
        <w:rPr>
          <w:rFonts w:ascii="Arial" w:cs="Arial" w:eastAsia="Arial" w:hAnsi="Arial"/>
          <w:sz w:val="18"/>
          <w:szCs w:val="18"/>
          <w:color w:val="auto"/>
        </w:rPr>
        <w:t xml:space="preserve"> and </w:t>
      </w:r>
      <w:r>
        <w:rPr>
          <w:rFonts w:ascii="Arial" w:cs="Arial" w:eastAsia="Arial" w:hAnsi="Arial"/>
          <w:sz w:val="18"/>
          <w:szCs w:val="18"/>
          <w:i w:val="1"/>
          <w:iCs w:val="1"/>
          <w:color w:val="auto"/>
        </w:rPr>
        <w:t>Chris Riedel v. Quest</w:t>
      </w:r>
      <w:r>
        <w:rPr>
          <w:rFonts w:ascii="Arial" w:cs="Arial" w:eastAsia="Arial" w:hAnsi="Arial"/>
          <w:sz w:val="18"/>
          <w:szCs w:val="18"/>
          <w:color w:val="auto"/>
        </w:rPr>
        <w:t xml:space="preserve"> </w:t>
      </w:r>
      <w:r>
        <w:rPr>
          <w:rFonts w:ascii="Arial" w:cs="Arial" w:eastAsia="Arial" w:hAnsi="Arial"/>
          <w:sz w:val="18"/>
          <w:szCs w:val="18"/>
          <w:i w:val="1"/>
          <w:iCs w:val="1"/>
          <w:color w:val="auto"/>
        </w:rPr>
        <w:t>Diagnostics Incorporated, et al.</w:t>
      </w:r>
      <w:r>
        <w:rPr>
          <w:rFonts w:ascii="Arial" w:cs="Arial" w:eastAsia="Arial" w:hAnsi="Arial"/>
          <w:sz w:val="18"/>
          <w:szCs w:val="18"/>
          <w:color w:val="auto"/>
        </w:rPr>
        <w:t>, filed in the State Court of Fulton County, Georgia. The lawsuit, filed by a competitor laboratory, alleges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overcharged Georgia's Medicaid program. The State of Georgia filed a Notice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w:t>
      </w:r>
      <w:r>
        <w:rPr>
          <w:rFonts w:ascii="Arial" w:cs="Arial" w:eastAsia="Arial" w:hAnsi="Arial"/>
          <w:sz w:val="18"/>
          <w:szCs w:val="18"/>
          <w:i w:val="1"/>
          <w:iCs w:val="1"/>
          <w:color w:val="auto"/>
        </w:rPr>
        <w:t>amicus curiae</w:t>
      </w:r>
      <w:r>
        <w:rPr>
          <w:rFonts w:ascii="Arial" w:cs="Arial" w:eastAsia="Arial" w:hAnsi="Arial"/>
          <w:sz w:val="18"/>
          <w:szCs w:val="18"/>
          <w:color w:val="auto"/>
        </w:rPr>
        <w:t>. The Company will vigorously defend the lawsuit.</w:t>
      </w:r>
    </w:p>
    <w:p>
      <w:pPr>
        <w:spacing w:after="0" w:line="216"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On August 24, 2012, the Company was served with a putative class action lawsuit, </w:t>
      </w:r>
      <w:r>
        <w:rPr>
          <w:rFonts w:ascii="Arial" w:cs="Arial" w:eastAsia="Arial" w:hAnsi="Arial"/>
          <w:sz w:val="18"/>
          <w:szCs w:val="18"/>
          <w:i w:val="1"/>
          <w:iCs w:val="1"/>
          <w:color w:val="auto"/>
        </w:rPr>
        <w:t>Sandusky Wellness Center, LLC, et al. v. MEDTOX Scientific,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filed in the United States District Court for the District of Minnesota. The lawsuit alleges that on or about February 21, 2012, the defendants violated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United States Court of Appeals for the Eighth Circuit issued its decision and order reversing the District Court’s denial of class certification. The Eighth Circuit remanded the matter for further proceedings. On December 7, 2016, the District Court granted the Plaintiff's renewed Motion for Class Certification. The Company will vigorously defend the lawsuit.</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31, 2015, the Company was served with a putative class action lawsuit, </w:t>
      </w:r>
      <w:r>
        <w:rPr>
          <w:rFonts w:ascii="Arial" w:cs="Arial" w:eastAsia="Arial" w:hAnsi="Arial"/>
          <w:sz w:val="18"/>
          <w:szCs w:val="18"/>
          <w:i w:val="1"/>
          <w:iCs w:val="1"/>
          <w:color w:val="auto"/>
        </w:rPr>
        <w:t>Patty Davis v. Laboratory Corporation of America, et al.,</w:t>
      </w:r>
      <w:r>
        <w:rPr>
          <w:rFonts w:ascii="Arial" w:cs="Arial" w:eastAsia="Arial" w:hAnsi="Arial"/>
          <w:sz w:val="18"/>
          <w:szCs w:val="18"/>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has appealed the Circuit Court's ruling to the Florida Second District Court of Appeal. The Company will vigorously defend the lawsuit.</w:t>
      </w:r>
    </w:p>
    <w:p>
      <w:pPr>
        <w:spacing w:after="0" w:line="22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7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 2016, Covance Inc. was served with a putative class action lawsuit, </w:t>
      </w:r>
      <w:r>
        <w:rPr>
          <w:rFonts w:ascii="Arial" w:cs="Arial" w:eastAsia="Arial" w:hAnsi="Arial"/>
          <w:sz w:val="18"/>
          <w:szCs w:val="18"/>
          <w:i w:val="1"/>
          <w:iCs w:val="1"/>
          <w:color w:val="auto"/>
        </w:rPr>
        <w:t>Daniel L. Bloomquist v. Covance Inc., et al.</w:t>
      </w:r>
      <w:r>
        <w:rPr>
          <w:rFonts w:ascii="Arial" w:cs="Arial" w:eastAsia="Arial" w:hAnsi="Arial"/>
          <w:sz w:val="18"/>
          <w:szCs w:val="18"/>
          <w:color w:val="auto"/>
        </w:rPr>
        <w:t>, filed in the Superior Court of California, County of San Diego. The complaint alleges that Covance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to clinical research associates and senior clinical research associates employed by Covance Inc. (Covance) in California. The lawsuit seeks monetary damages, civil penalties, injunctive relief, and recovery of attorney's fees and costs. On October 13, 2016, the case was removed to the United States District Court for the Southern District of California. The Company will vigorously defend the lawsuit.</w:t>
      </w:r>
    </w:p>
    <w:p>
      <w:pPr>
        <w:spacing w:after="0" w:line="216"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Prior to the Company’s acquisition of Sequenom, between August 15, 2016 and August 24, 2016, six putative class-action lawsuits were filed on behalf of purported Sequenom stockholders (captioned </w:t>
      </w:r>
      <w:r>
        <w:rPr>
          <w:rFonts w:ascii="Arial" w:cs="Arial" w:eastAsia="Arial" w:hAnsi="Arial"/>
          <w:sz w:val="16"/>
          <w:szCs w:val="16"/>
          <w:i w:val="1"/>
          <w:iCs w:val="1"/>
          <w:color w:val="auto"/>
        </w:rPr>
        <w:t>Malkoff v. Sequenom, Inc., et al.</w:t>
      </w:r>
      <w:r>
        <w:rPr>
          <w:rFonts w:ascii="Arial" w:cs="Arial" w:eastAsia="Arial" w:hAnsi="Arial"/>
          <w:sz w:val="16"/>
          <w:szCs w:val="16"/>
          <w:color w:val="auto"/>
        </w:rPr>
        <w:t xml:space="preserve">, No. 16-cv-02054-JAH-BLM, </w:t>
      </w:r>
      <w:r>
        <w:rPr>
          <w:rFonts w:ascii="Arial" w:cs="Arial" w:eastAsia="Arial" w:hAnsi="Arial"/>
          <w:sz w:val="16"/>
          <w:szCs w:val="16"/>
          <w:i w:val="1"/>
          <w:iCs w:val="1"/>
          <w:color w:val="auto"/>
        </w:rPr>
        <w:t>Gupta v. Sequenom, Inc., et al.</w:t>
      </w:r>
      <w:r>
        <w:rPr>
          <w:rFonts w:ascii="Arial" w:cs="Arial" w:eastAsia="Arial" w:hAnsi="Arial"/>
          <w:sz w:val="16"/>
          <w:szCs w:val="16"/>
          <w:color w:val="auto"/>
        </w:rPr>
        <w:t xml:space="preserve">, No. 16-cv-02084-JAH-KSC, </w:t>
      </w:r>
      <w:r>
        <w:rPr>
          <w:rFonts w:ascii="Arial" w:cs="Arial" w:eastAsia="Arial" w:hAnsi="Arial"/>
          <w:sz w:val="16"/>
          <w:szCs w:val="16"/>
          <w:i w:val="1"/>
          <w:iCs w:val="1"/>
          <w:color w:val="auto"/>
        </w:rPr>
        <w:t>Fruchter v. Sequenom, Inc., et al.</w:t>
      </w:r>
      <w:r>
        <w:rPr>
          <w:rFonts w:ascii="Arial" w:cs="Arial" w:eastAsia="Arial" w:hAnsi="Arial"/>
          <w:sz w:val="16"/>
          <w:szCs w:val="16"/>
          <w:color w:val="auto"/>
        </w:rPr>
        <w:t xml:space="preserve">, No. 16-cv-02101-WQH-KSC, </w:t>
      </w:r>
      <w:r>
        <w:rPr>
          <w:rFonts w:ascii="Arial" w:cs="Arial" w:eastAsia="Arial" w:hAnsi="Arial"/>
          <w:sz w:val="16"/>
          <w:szCs w:val="16"/>
          <w:i w:val="1"/>
          <w:iCs w:val="1"/>
          <w:color w:val="auto"/>
        </w:rPr>
        <w:t>Asiatrade Development Ltd. v. Sequenom, Inc., et al.</w:t>
      </w:r>
      <w:r>
        <w:rPr>
          <w:rFonts w:ascii="Arial" w:cs="Arial" w:eastAsia="Arial" w:hAnsi="Arial"/>
          <w:sz w:val="16"/>
          <w:szCs w:val="16"/>
          <w:color w:val="auto"/>
        </w:rPr>
        <w:t xml:space="preserve">, No. 16-cv-02113-AJB-JMA, </w:t>
      </w:r>
      <w:r>
        <w:rPr>
          <w:rFonts w:ascii="Arial" w:cs="Arial" w:eastAsia="Arial" w:hAnsi="Arial"/>
          <w:sz w:val="16"/>
          <w:szCs w:val="16"/>
          <w:i w:val="1"/>
          <w:iCs w:val="1"/>
          <w:color w:val="auto"/>
        </w:rPr>
        <w:t>Nunes v. Sequenom, Inc., et al.</w:t>
      </w:r>
      <w:r>
        <w:rPr>
          <w:rFonts w:ascii="Arial" w:cs="Arial" w:eastAsia="Arial" w:hAnsi="Arial"/>
          <w:sz w:val="16"/>
          <w:szCs w:val="16"/>
          <w:color w:val="auto"/>
        </w:rPr>
        <w:t xml:space="preserve">, No. 16-cv-02128-AJB-MDD, and </w:t>
      </w:r>
      <w:r>
        <w:rPr>
          <w:rFonts w:ascii="Arial" w:cs="Arial" w:eastAsia="Arial" w:hAnsi="Arial"/>
          <w:sz w:val="16"/>
          <w:szCs w:val="16"/>
          <w:i w:val="1"/>
          <w:iCs w:val="1"/>
          <w:color w:val="auto"/>
        </w:rPr>
        <w:t>Cusumano v. Sequenom, Inc., et al.</w:t>
      </w:r>
      <w:r>
        <w:rPr>
          <w:rFonts w:ascii="Arial" w:cs="Arial" w:eastAsia="Arial" w:hAnsi="Arial"/>
          <w:sz w:val="16"/>
          <w:szCs w:val="16"/>
          <w:color w:val="auto"/>
        </w:rPr>
        <w:t xml:space="preserve">, No. 16-cv-02134-LAB-JMA) in the United States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6"/>
          <w:szCs w:val="16"/>
          <w:i w:val="1"/>
          <w:iCs w:val="1"/>
          <w:color w:val="auto"/>
        </w:rPr>
        <w:t>Nunes</w:t>
      </w:r>
      <w:r>
        <w:rPr>
          <w:rFonts w:ascii="Arial" w:cs="Arial" w:eastAsia="Arial" w:hAnsi="Arial"/>
          <w:sz w:val="16"/>
          <w:szCs w:val="16"/>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w:t>
      </w:r>
      <w:r>
        <w:rPr>
          <w:rFonts w:ascii="Arial" w:cs="Arial" w:eastAsia="Arial" w:hAnsi="Arial"/>
          <w:sz w:val="16"/>
          <w:szCs w:val="16"/>
          <w:i w:val="1"/>
          <w:iCs w:val="1"/>
          <w:color w:val="auto"/>
        </w:rPr>
        <w:t>Asiatrade</w:t>
      </w:r>
      <w:r>
        <w:rPr>
          <w:rFonts w:ascii="Arial" w:cs="Arial" w:eastAsia="Arial" w:hAnsi="Arial"/>
          <w:sz w:val="16"/>
          <w:szCs w:val="16"/>
          <w:color w:val="auto"/>
        </w:rPr>
        <w:t xml:space="preserve"> action, and the </w:t>
      </w:r>
      <w:r>
        <w:rPr>
          <w:rFonts w:ascii="Arial" w:cs="Arial" w:eastAsia="Arial" w:hAnsi="Arial"/>
          <w:sz w:val="16"/>
          <w:szCs w:val="16"/>
          <w:i w:val="1"/>
          <w:iCs w:val="1"/>
          <w:color w:val="auto"/>
        </w:rPr>
        <w:t xml:space="preserve">Cusumano </w:t>
      </w:r>
      <w:r>
        <w:rPr>
          <w:rFonts w:ascii="Arial" w:cs="Arial" w:eastAsia="Arial" w:hAnsi="Arial"/>
          <w:sz w:val="16"/>
          <w:szCs w:val="16"/>
          <w:color w:val="auto"/>
        </w:rPr>
        <w:t>action alleged that the Individual Defendants breached their fiduciary duties to Sequenom shareholders. The actions sought,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injunctive relief enjoining the merger. On August 30, 2016, the parties entered into a Memorandum of Understanding (MOU) in each of the above-referenced actions. In connection with the settlement, Sequenom agreed to make certain additional disclosures to its stockholders. On September 6, 2016, the Court entered an order consolidating for all pre-trial purposes the six individual actions described above under the caption </w:t>
      </w:r>
      <w:r>
        <w:rPr>
          <w:rFonts w:ascii="Arial" w:cs="Arial" w:eastAsia="Arial" w:hAnsi="Arial"/>
          <w:sz w:val="16"/>
          <w:szCs w:val="16"/>
          <w:i w:val="1"/>
          <w:iCs w:val="1"/>
          <w:color w:val="auto"/>
        </w:rPr>
        <w:t>In re Sequenom, Inc. Shareholder Litig.</w:t>
      </w:r>
      <w:r>
        <w:rPr>
          <w:rFonts w:ascii="Arial" w:cs="Arial" w:eastAsia="Arial" w:hAnsi="Arial"/>
          <w:sz w:val="16"/>
          <w:szCs w:val="16"/>
          <w:color w:val="auto"/>
        </w:rPr>
        <w:t xml:space="preserve">, Lead Case No. 16-cv-02054-JAH-BLM, and designating the complaint from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as the operative complaint for the consolidated action. On November 11, 2016, two competing motions were filed by two separate 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Company is awaiting the Court's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appointment of a permanent lead Plaintiff. The parties agree that the MOU has been terminated. The Plaintiffs filed a Consolidated Amended Class Action Complaint on July 24, 2017, and the Defendants filed a Motion to Dismiss, which remains pending. The Company will vigorously defend the lawsuit.</w:t>
      </w:r>
    </w:p>
    <w:p>
      <w:pPr>
        <w:spacing w:after="0" w:line="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February 7, 2017, Sequenom received a subpoena from the U.S. Securities and Exchange Commission (SEC) relating to an SEC investigation into the trading activity of Sequenom shares in connection with the Company’s July 2016 announcement regarding the Sequenom merger. On March 7, 2017, the Company received a similar subpoena. The Company is cooperating with these requests.</w:t>
      </w:r>
    </w:p>
    <w:p>
      <w:pPr>
        <w:spacing w:after="0" w:line="8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March 10, 2017, the Company was served with a putative class action lawsuit, </w:t>
      </w:r>
      <w:r>
        <w:rPr>
          <w:rFonts w:ascii="Arial" w:cs="Arial" w:eastAsia="Arial" w:hAnsi="Arial"/>
          <w:sz w:val="18"/>
          <w:szCs w:val="18"/>
          <w:i w:val="1"/>
          <w:iCs w:val="1"/>
          <w:color w:val="auto"/>
        </w:rPr>
        <w:t>Victoria Bouffard, et al. v. Laboratory Corporation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w:t>
      </w:r>
      <w:r>
        <w:rPr>
          <w:rFonts w:ascii="Arial" w:cs="Arial" w:eastAsia="Arial" w:hAnsi="Arial"/>
          <w:sz w:val="18"/>
          <w:szCs w:val="18"/>
          <w:color w:val="auto"/>
        </w:rPr>
        <w:t>, filed in the United States District Court for the Middle District of North Carolina. The complaint alleges that the Company’s patient list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unlawfully 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this motion is currently pending. On October 10, 2017, a second putative class action lawsuit, Sheryl Anderson, et al. v. Laboratory Corporation of America Holdings, was filed in the United States District Court for the Middle District of North Carolina. The complaint contains similar allegations and seeks similar relief to the Bouffard complaint, and adds additional counts regarding state consumer protection laws. The Company will vigorously defend the lawsuits.</w:t>
      </w:r>
    </w:p>
    <w:p>
      <w:pPr>
        <w:spacing w:after="0" w:line="10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May 24, 2017, a putative class action lawsuit, </w:t>
      </w:r>
      <w:r>
        <w:rPr>
          <w:rFonts w:ascii="Arial" w:cs="Arial" w:eastAsia="Arial" w:hAnsi="Arial"/>
          <w:sz w:val="16"/>
          <w:szCs w:val="16"/>
          <w:i w:val="1"/>
          <w:iCs w:val="1"/>
          <w:color w:val="auto"/>
        </w:rPr>
        <w:t>Maria T. Gonzalez, et al. v. Examination Management Services, Inc. and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w:t>
      </w:r>
      <w:r>
        <w:rPr>
          <w:rFonts w:ascii="Arial" w:cs="Arial" w:eastAsia="Arial" w:hAnsi="Arial"/>
          <w:sz w:val="16"/>
          <w:szCs w:val="16"/>
          <w:color w:val="auto"/>
        </w:rPr>
        <w:t>, was filed against the Company in the United States District Court for the Southern District of California. The complaint alleges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misclassified phlebotomists as independent contractors through an arrangement with the co-Defendant temporary staffing agency. The complaint further alleges that the Company violated the California Labor Code and California Business and Professions Code by failing to pay minimum wage, failing to pay for all hours worked, failing to pay for all wages owed upon termination, and failing to provide accurate itemized wage statements. The lawsuit seeks monetary damages, civil penalties, injunctive relief, and recovery of attorney's fees and costs. The Company will vigorously defend the lawsuit.</w:t>
      </w:r>
    </w:p>
    <w:p>
      <w:pPr>
        <w:spacing w:after="0" w:line="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 2017, a putative class action lawsuit, </w:t>
      </w:r>
      <w:r>
        <w:rPr>
          <w:rFonts w:ascii="Arial" w:cs="Arial" w:eastAsia="Arial" w:hAnsi="Arial"/>
          <w:sz w:val="18"/>
          <w:szCs w:val="18"/>
          <w:i w:val="1"/>
          <w:iCs w:val="1"/>
          <w:color w:val="auto"/>
        </w:rPr>
        <w:t>John Sealock, et al. v. Covance Market Access Services, Inc.</w:t>
      </w:r>
      <w:r>
        <w:rPr>
          <w:rFonts w:ascii="Arial" w:cs="Arial" w:eastAsia="Arial" w:hAnsi="Arial"/>
          <w:sz w:val="18"/>
          <w:szCs w:val="18"/>
          <w:color w:val="auto"/>
        </w:rPr>
        <w:t>, was filed in the United States District Court for the Southern District of New York. The complaint alleges that Covance Market Access Services, Inc. violated the Fair Labor Standards Act and New York labor laws by failing to provide overtime wages, failing to pay for all hours worked, and failing to provide accurate wage statements. The lawsuit seeks monetary damages, civil penalties, injunctive relief, and recovery of attorney’s fees and costs. In November 2017, the Company filed a Motion to Strike Class Allegations. In December 2017, the Plaintiff filed a Motion for Conditional Certification of a Collective Action. The parties’ motions remain pending. The Company will vigorously defend the lawsuit.</w:t>
      </w:r>
    </w:p>
    <w:p>
      <w:pPr>
        <w:spacing w:after="0" w:line="9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November 6, 2017, Covance was served with two False Claims Act lawsuits, Health Choice Alliance, LLC on behalf of the </w:t>
      </w:r>
      <w:r>
        <w:rPr>
          <w:rFonts w:ascii="Arial" w:cs="Arial" w:eastAsia="Arial" w:hAnsi="Arial"/>
          <w:sz w:val="16"/>
          <w:szCs w:val="16"/>
          <w:i w:val="1"/>
          <w:iCs w:val="1"/>
          <w:color w:val="auto"/>
        </w:rPr>
        <w:t>United States of America,</w:t>
      </w:r>
      <w:r>
        <w:rPr>
          <w:rFonts w:ascii="Arial" w:cs="Arial" w:eastAsia="Arial" w:hAnsi="Arial"/>
          <w:sz w:val="16"/>
          <w:szCs w:val="16"/>
          <w:color w:val="auto"/>
        </w:rPr>
        <w:t xml:space="preserve"> </w:t>
      </w:r>
      <w:r>
        <w:rPr>
          <w:rFonts w:ascii="Arial" w:cs="Arial" w:eastAsia="Arial" w:hAnsi="Arial"/>
          <w:sz w:val="16"/>
          <w:szCs w:val="16"/>
          <w:i w:val="1"/>
          <w:iCs w:val="1"/>
          <w:color w:val="auto"/>
        </w:rPr>
        <w:t>et al. v. Eli Lilly and Company, Inc. et al.</w:t>
      </w:r>
      <w:r>
        <w:rPr>
          <w:rFonts w:ascii="Arial" w:cs="Arial" w:eastAsia="Arial" w:hAnsi="Arial"/>
          <w:sz w:val="16"/>
          <w:szCs w:val="16"/>
          <w:color w:val="auto"/>
        </w:rPr>
        <w:t>, and Health Choice Advocates, LLC, on behalf of the</w:t>
      </w:r>
      <w:r>
        <w:rPr>
          <w:rFonts w:ascii="Arial" w:cs="Arial" w:eastAsia="Arial" w:hAnsi="Arial"/>
          <w:sz w:val="16"/>
          <w:szCs w:val="16"/>
          <w:i w:val="1"/>
          <w:iCs w:val="1"/>
          <w:color w:val="auto"/>
        </w:rPr>
        <w:t xml:space="preserve"> United States of America v. Gilead Sciences, Inc., et al.</w:t>
      </w:r>
      <w:r>
        <w:rPr>
          <w:rFonts w:ascii="Arial" w:cs="Arial" w:eastAsia="Arial" w:hAnsi="Arial"/>
          <w:sz w:val="16"/>
          <w:szCs w:val="16"/>
          <w:color w:val="auto"/>
        </w:rPr>
        <w:t>, both</w:t>
      </w:r>
      <w:r>
        <w:rPr>
          <w:rFonts w:ascii="Arial" w:cs="Arial" w:eastAsia="Arial" w:hAnsi="Arial"/>
          <w:sz w:val="16"/>
          <w:szCs w:val="16"/>
          <w:i w:val="1"/>
          <w:iCs w:val="1"/>
          <w:color w:val="auto"/>
        </w:rPr>
        <w:t xml:space="preserve"> </w:t>
      </w:r>
      <w:r>
        <w:rPr>
          <w:rFonts w:ascii="Arial" w:cs="Arial" w:eastAsia="Arial" w:hAnsi="Arial"/>
          <w:sz w:val="16"/>
          <w:szCs w:val="16"/>
          <w:color w:val="auto"/>
        </w:rPr>
        <w:t>filed in the United States District Court for the Eastern District of Texas. The complaints allege under the Federal False Claims Act and various state analogues that Covance and the co-defendants unlawfully provided in-kind remuneration to medical providers in the form of reimbursement support services in order to induce providers to prescribe certain drugs. Neither the U.S. government nor any state government intervened in the lawsuits. The lawsuit seeks actual and treble damages and civil penalties for each alleged false claim, as well as recovery of costs. The Company will vigorously defend the lawsuits.</w:t>
      </w:r>
    </w:p>
    <w:p>
      <w:pPr>
        <w:spacing w:after="0" w:line="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At December 31, 2017, the Company had provided letters of credit aggregating approximately $72.2, primarily in connection with certain insurance programs. The Company’s availability under its Revolving Credit Facility is reduced by the amount of these letters of credit.</w:t>
      </w:r>
    </w:p>
    <w:p>
      <w:pPr>
        <w:spacing w:after="0" w:line="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common stock, par value $0.10 per share (Common Stock), trades on the New York Stock Exchange (NYSE) under the symbol “LH.” The following table sets forth for the calendar periods indicated the high and low sales prices for the Common Stock reported on the NYSE Composite Tape.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Low</w:t>
            </w:r>
          </w:p>
        </w:tc>
      </w:tr>
      <w:tr>
        <w:trPr>
          <w:trHeight w:val="34"/>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97.79</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115.98</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141.32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129.68</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119.51</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128.00</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134.19</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146.68</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165.18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147.28</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February 22, 2018, there were approximately 2,500 holders of record of the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3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not historically paid dividends on its Common Stock and does not presently anticipate paying any dividends on its Common Stock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135"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The graph below shows the cumulative total return assuming an investment of $100 on December 31, 2012, in each of the Company’s common stock, the Standard &amp; Poor’s (S&amp;P) Composite-500 Stock Index and the S&amp;P 500 healthcare Index (Peer Group) and assuming that all dividends were reinvested.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12/2013</w:t>
            </w:r>
          </w:p>
        </w:tc>
        <w:tc>
          <w:tcPr>
            <w:tcW w:w="3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12/2014</w:t>
            </w:r>
          </w:p>
        </w:tc>
        <w:tc>
          <w:tcPr>
            <w:tcW w:w="3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12/2015</w:t>
            </w:r>
          </w:p>
        </w:tc>
        <w:tc>
          <w:tcPr>
            <w:tcW w:w="3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12/2016</w:t>
            </w:r>
          </w:p>
        </w:tc>
        <w:tc>
          <w:tcPr>
            <w:tcW w:w="2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12/2017</w:t>
            </w:r>
          </w:p>
        </w:tc>
      </w:tr>
      <w:tr>
        <w:trPr>
          <w:trHeight w:val="34"/>
        </w:trPr>
        <w:tc>
          <w:tcPr>
            <w:tcW w:w="40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Laboratory Corporation of America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148.21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184.15</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280" w:type="dxa"/>
            <w:vAlign w:val="bottom"/>
          </w:tcPr>
          <w:p>
            <w:pPr>
              <w:ind w:left="20"/>
              <w:spacing w:after="0"/>
              <w:rPr>
                <w:sz w:val="20"/>
                <w:szCs w:val="20"/>
                <w:color w:val="auto"/>
              </w:rPr>
            </w:pPr>
            <w:r>
              <w:rPr>
                <w:rFonts w:ascii="Arial" w:cs="Arial" w:eastAsia="Arial" w:hAnsi="Arial"/>
                <w:sz w:val="18"/>
                <w:szCs w:val="18"/>
                <w:color w:val="auto"/>
              </w:rPr>
              <w:t>Index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132.39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150.51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152.59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170.84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208.14</w:t>
            </w:r>
          </w:p>
        </w:tc>
      </w:tr>
      <w:tr>
        <w:trPr>
          <w:trHeight w:val="27"/>
        </w:trPr>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189.52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225.13</w:t>
            </w:r>
          </w:p>
        </w:tc>
      </w:tr>
      <w:tr>
        <w:trPr>
          <w:trHeight w:val="513"/>
        </w:trPr>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306705</wp:posOffset>
            </wp:positionV>
            <wp:extent cx="5257165" cy="3190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(all amounts in millions, except per share amounts)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information with respect to purchases of shares of the Company’s Common Stock made during the quarter ended December 31, 2017, by or on behalf of the Company:</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Repurchased as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w w:val="92"/>
              </w:rPr>
              <w:t>of Shares that May Yet</w:t>
            </w:r>
          </w:p>
        </w:tc>
      </w:tr>
      <w:tr>
        <w:trPr>
          <w:trHeight w:val="216"/>
        </w:trPr>
        <w:tc>
          <w:tcPr>
            <w:tcW w:w="366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Number of Shares</w:t>
            </w: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Average Price Paid Per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Part of Publicly</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w w:val="90"/>
              </w:rPr>
              <w:t>Be Repurchased Under</w:t>
            </w:r>
          </w:p>
        </w:tc>
      </w:tr>
      <w:tr>
        <w:trPr>
          <w:trHeight w:val="230"/>
        </w:trPr>
        <w:tc>
          <w:tcPr>
            <w:tcW w:w="366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Repurchased</w:t>
            </w:r>
          </w:p>
        </w:tc>
        <w:tc>
          <w:tcPr>
            <w:tcW w:w="40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color w:val="auto"/>
                <w:w w:val="83"/>
              </w:rPr>
              <w:t>Share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Announced Program</w:t>
            </w:r>
          </w:p>
        </w:tc>
        <w:tc>
          <w:tcPr>
            <w:tcW w:w="28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the Program</w:t>
            </w:r>
          </w:p>
        </w:tc>
      </w:tr>
      <w:tr>
        <w:trPr>
          <w:trHeight w:val="34"/>
        </w:trPr>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401.4</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Borders>
              <w:top w:val="single" w:sz="8" w:color="CCEEFF"/>
            </w:tcBorders>
          </w:tcPr>
          <w:p>
            <w:pPr>
              <w:spacing w:after="0"/>
              <w:rPr>
                <w:sz w:val="21"/>
                <w:szCs w:val="21"/>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150.67</w:t>
            </w:r>
          </w:p>
        </w:tc>
        <w:tc>
          <w:tcPr>
            <w:tcW w:w="120" w:type="dxa"/>
            <w:vAlign w:val="bottom"/>
            <w:tcBorders>
              <w:top w:val="single" w:sz="8" w:color="CCEEFF"/>
            </w:tcBorders>
          </w:tcPr>
          <w:p>
            <w:pPr>
              <w:spacing w:after="0"/>
              <w:rPr>
                <w:sz w:val="21"/>
                <w:szCs w:val="21"/>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401.4</w:t>
            </w:r>
          </w:p>
        </w:tc>
      </w:tr>
    </w:tbl>
    <w:p>
      <w:pPr>
        <w:spacing w:after="0" w:line="13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At the end of 2016, the Company had outstanding authorization from the board of directors to purchase up to $739.5 of Company common stock. During 2017, the Company purchased 2.5 shares of its common stock at a total cost of $338.1 (inclusive of 0.1 shares of common stock at a cost of $6.0 representing committed purchases as of December 31, 2016, that settled in early 2017). At the end of 2017, the Company had outstanding authorization from its board of directors to purchase an additional $401.4 of Company common stock. The repurchase authorization has no expiration date.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millions, except per share amounts)</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selected financial data presented below under the captions “Statement of Operations Data” and “Balance Sheet Data” as of and for the five-year period ended December 31, 2017, are derived from consolidated financial statements of the Company, which have been audited by an independent registered public accounting firm. This data should be read in conjunction with the accompanying notes, the Company's consolidated financial statements and the related notes thereto, and “Management's Discussion and Analysis of Financial Condition and Results of Operations,” all included elsewhere in this annual report.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858"/>
        </w:trPr>
        <w:tc>
          <w:tcPr>
            <w:tcW w:w="42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4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(a)</w:t>
            </w:r>
          </w:p>
        </w:tc>
        <w:tc>
          <w:tcPr>
            <w:tcW w:w="28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b w:val="1"/>
                <w:bCs w:val="1"/>
                <w:color w:val="auto"/>
              </w:rPr>
              <w:t>(b)</w:t>
            </w:r>
          </w:p>
        </w:tc>
        <w:tc>
          <w:tcPr>
            <w:tcW w:w="280" w:type="dxa"/>
            <w:vAlign w:val="bottom"/>
          </w:tcPr>
          <w:p>
            <w:pPr>
              <w:spacing w:after="0"/>
              <w:rPr>
                <w:sz w:val="19"/>
                <w:szCs w:val="19"/>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w:t>
            </w:r>
          </w:p>
        </w:tc>
        <w:tc>
          <w:tcPr>
            <w:tcW w:w="3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(d)</w:t>
            </w:r>
          </w:p>
        </w:tc>
        <w:tc>
          <w:tcPr>
            <w:tcW w:w="2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(e)</w:t>
            </w:r>
          </w:p>
        </w:tc>
      </w:tr>
      <w:tr>
        <w:trPr>
          <w:trHeight w:val="234"/>
        </w:trPr>
        <w:tc>
          <w:tcPr>
            <w:tcW w:w="4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34"/>
        </w:trPr>
        <w:tc>
          <w:tcPr>
            <w:tcW w:w="4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10,205.9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9,437.2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8,505.7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6,011.6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5,808.3</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income (i)</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983.3</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Corporation of America Holdings (j)</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573.8</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common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Goodwill and intangible assets, net (h)</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11,870.8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4,575.2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4,594.8</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(f)</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6,939.8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obligations (f) (g)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6,762.1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2,974.3</w:t>
            </w:r>
          </w:p>
        </w:tc>
      </w:tr>
      <w:tr>
        <w:trPr>
          <w:trHeight w:val="27"/>
        </w:trPr>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2,491.3</w:t>
            </w:r>
          </w:p>
        </w:tc>
      </w:tr>
      <w:tr>
        <w:trPr>
          <w:trHeight w:val="27"/>
        </w:trPr>
        <w:tc>
          <w:tcPr>
            <w:tcW w:w="4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hanging="652"/>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2017, the Company recorded net restructuring charges of $70.9. The charges were comprised of $36.1 in severance and other personnel costs and $39.9 in facility-related costs primarily associated with facility closures and general integration initiatives. These charges were offset by the reversal of previously established reserves of $0.5 in unused severance and $4.6 in unused facility-related costs. The Company also recognized asset impairment losses of $23.5 related to the termination of software development projects within the CDD segment and the forgiveness of certain indebtedness for LCD customers in areas heavily impacted by hurricanes during the third quarter.</w:t>
      </w:r>
    </w:p>
    <w:p>
      <w:pPr>
        <w:spacing w:after="0" w:line="77"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2016, the Company recorded net restructuring charges of $58.4. The charges were comprised of $30.9 in severance and other personnel costs and $33.8 in facility-related costs primarily associated with facility closures and general integration initiatives. These charges were offset by the reversal of previously established reserves of $2.8 in unused severance and $3.5 in unused facility-related costs.</w:t>
      </w:r>
    </w:p>
    <w:p>
      <w:pPr>
        <w:spacing w:after="0" w:line="70"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2015, the Company recorded net restructuring charges of $113.9. The charges were comprised of $59.2 in severance and other personnel costs and $55.8 in facility-related costs primarily associated with facility closures and general integration initiatives. These charges were offset by the reversal of previously established reserves of $1.1 in unused facility-related costs.</w:t>
      </w:r>
    </w:p>
    <w:p>
      <w:pPr>
        <w:spacing w:after="0" w:line="86"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2014, the Company recorded net restructuring charges of $17.8. The charges were comprised of $10.5 in severance and other personnel costs and $8.4 in facility-related costs primarily associated with facility closures and general integration initiatives. These charges were offset by the reversal of previously established reserves of $0.4 in unused severance and $0.7 in unused facility-related costs.</w:t>
      </w:r>
    </w:p>
    <w:p>
      <w:pPr>
        <w:spacing w:after="0" w:line="70"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2013, the Company recorded net restructuring charges of $21.8. The charges were comprised of $15.4 in severance and other personnel costs and $9.5 in facility-related costs primarily associated with facility closures and general integration initiatives. These charges were offset by the reversal of previously established reserves of $0.7 in unused severance and $2.4 in unused facility-related costs.</w:t>
      </w:r>
    </w:p>
    <w:p>
      <w:pPr>
        <w:spacing w:after="0" w:line="71" w:lineRule="exact"/>
        <w:rPr>
          <w:sz w:val="20"/>
          <w:szCs w:val="20"/>
          <w:color w:val="auto"/>
        </w:rPr>
      </w:pPr>
    </w:p>
    <w:p>
      <w:pPr>
        <w:jc w:val="both"/>
        <w:ind w:left="840" w:hanging="836"/>
        <w:spacing w:after="0" w:line="259" w:lineRule="auto"/>
        <w:rPr>
          <w:sz w:val="20"/>
          <w:szCs w:val="20"/>
          <w:color w:val="auto"/>
        </w:rPr>
      </w:pPr>
      <w:r>
        <w:rPr>
          <w:rFonts w:ascii="Arial" w:cs="Arial" w:eastAsia="Arial" w:hAnsi="Arial"/>
          <w:sz w:val="18"/>
          <w:szCs w:val="18"/>
          <w:color w:val="auto"/>
        </w:rPr>
        <w:t>(f)During the first quarter of 2016, the Company adopted Accounting Standards Update (ASU) 2015-03, Interest-Imputation of Interest: Simplifying the Presentation of Debt Issuance Costs. In accordance with this guidance, unamortized debt issuance costs of $52.8, $39.0 and $26.1 associated with the Senior Notes and loan obligations have been reclassified from total assets to long-term obligations for fiscal 2015, 2014, 2013, respectively, in the table above.</w:t>
      </w:r>
    </w:p>
    <w:p>
      <w:pPr>
        <w:spacing w:after="0" w:line="92" w:lineRule="exact"/>
        <w:rPr>
          <w:sz w:val="20"/>
          <w:szCs w:val="20"/>
          <w:color w:val="auto"/>
        </w:rPr>
      </w:pPr>
    </w:p>
    <w:p>
      <w:pPr>
        <w:jc w:val="both"/>
        <w:ind w:left="660" w:hanging="652"/>
        <w:spacing w:after="0" w:line="273"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Long-term obligations primarily include the Company’s zero-coupon convertible subordinated notes, 5.625% Senior Notes due 2015, 3.125% Senior Notes due 2016, 2.20% Senior Notes due 2017, 2.50% Senior Notes due 2018, 4.625% Senior Notes due 2020, 2.625% Senior Notes due 2020, 3.75% Senior Notes due 2022, 3.20% Senior Notes due 2022, 4.00% Senior Notes due 2023, 3.25% Senior Notes due 2024, 3.60% Senior Notes due 2025, 3.60% Senior Notes due 2027, 4.70% Senior Notes due 2045, 2014 term loan, 2017 term loan, revolving credit facility and other long-term obligations. The accreted balance of the zero-coupon convertible subordinated notes was $8.8, $42.4, $94.5, $93.9, and $110.8 at December 31, 2017, 2016, 2015, 2014, and 2013, respectively. The principal balance of the 5.625% Senior</w:t>
      </w:r>
    </w:p>
    <w:p>
      <w:pPr>
        <w:sectPr>
          <w:pgSz w:w="11900" w:h="16838" w:orient="portrait"/>
          <w:cols w:equalWidth="0" w:num="1">
            <w:col w:w="11420"/>
          </w:cols>
          <w:pgMar w:left="240" w:top="108"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08"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95" w:lineRule="exact"/>
        <w:rPr>
          <w:sz w:val="20"/>
          <w:szCs w:val="20"/>
          <w:color w:val="auto"/>
        </w:rPr>
      </w:pPr>
    </w:p>
    <w:p>
      <w:pPr>
        <w:jc w:val="both"/>
        <w:ind w:left="660"/>
        <w:spacing w:after="0" w:line="317" w:lineRule="auto"/>
        <w:rPr>
          <w:sz w:val="20"/>
          <w:szCs w:val="20"/>
          <w:color w:val="auto"/>
        </w:rPr>
      </w:pPr>
      <w:r>
        <w:rPr>
          <w:rFonts w:ascii="Arial" w:cs="Arial" w:eastAsia="Arial" w:hAnsi="Arial"/>
          <w:sz w:val="17"/>
          <w:szCs w:val="17"/>
          <w:color w:val="auto"/>
        </w:rPr>
        <w:t>Notes was $0.0 at December 31, 2017, 2016 and 2015 and $250.0 at December 31, 2014 and 2013. The principal balance of the 3.125% Senior Notes was $0.0 at December 31, 2017, and 2016 and $325.0 at December 31, 2015, 2014, and 2013. The principal balance of the 4.625% Senior Notes was $600.0 at December 31, 2017, 2016, 2015, 2014, and 2013. The aggregate fair value of the fixed-to-variable interest rate swap on the 4.625% Senior Notes was $4.1 at December 31, 2017, $14.6 at December 31, 2016, $21.6 at December 31, 2015, $18.5 at December 31, 2014, and $0.0 at December 31, 2013. The principal balance of the 2.625% Senior Notes was $500.0 at December 31, 2017, 2016, and 2015, and was $0.0 for the years 2014 and 2013. The principal balances of the 2.20% Senior Notes was $0.0 at December 31, 2017 and $500.0 at December 31, 2016, 2015, 2014, and 2013. The 3.75% Senior Notes was $500.0 at December 31, 2017, 2016, 2015, 2014, and 2013. The principal balance for the 3.20% Senior Notes was $500.0 at December 31, 2017, 2016 and 2015 and was $0.0 at both December 31, 2014 and 2013. The principal balances of the 2.50% Senior Notes due 2018 and 4.00% Senior Notes due 2023 were $400.0 and $300.0, respectively, at December 31, 2017, 2016, 2015, 2014, and 2013. The principal balances of the 3.60% Senior Notes due 2025 and 4.70% Senior Notes due 2045 were $1,000.0 and $900.0, respectively, at December 31, 2017, 2016 and 2015 and were each $0.0 at both December 31, 2014, and 2013. The principal balance of the 3.25% Senior Notes due 2024 was $600.0 at December 31, 2017, and $0.0 for all other years presented. The principal balance of the 3.60% notes due 2027 was $600.0 at December 31, 2017, and $0.0 for all other years presented. The outstanding balance on the 2014 term loan was $72.0 at December 31, 2017, $565.0 at December 31, 2016, $715.0 at December 31, 2015, and $0.0 for all other years presented. The outstanding balance on the 2017 term loan was $750.0 at December 31, 2017, and $0.0 for all other years presented. The outstanding balance on the revolving credit facility was $0.0 at December 31, 2017, 2016, 2015, 2014, and 2013. The remainder of other long-term obligations consisted primarily of capital leases and mortgages payable with balances of $76.8, $71.8, $60.9, $42.4, and $14.6 at December 31, 2017, 2016, 2015, 2014, and 2013, respectively. Long-term obligations exclude amounts due to affiliates.</w:t>
      </w:r>
    </w:p>
    <w:p>
      <w:pPr>
        <w:spacing w:after="0" w:line="66" w:lineRule="exact"/>
        <w:rPr>
          <w:sz w:val="20"/>
          <w:szCs w:val="20"/>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2016, the Company revised the final purchase price allocation for Covance. As a result, an out of period adjustment of $25.6 was recorded to reduce goodwill and increase a deferred tax asset as of December 31, 2015. The Company concluded that the impact of this adjustment was not material to the current or prior periods.</w:t>
      </w:r>
    </w:p>
    <w:p>
      <w:pPr>
        <w:spacing w:after="0" w:line="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changed its financial statement classification for certain gross receipts taxes in 2016, removing these taxes from its provision for income taxes and moving this expense into selling, general and administrative expenses. Certain gross receipts taxes of $6.1, $6.1, and $7.6 were reclassified in 2015, 2014 and 2013, respectively.</w:t>
      </w:r>
    </w:p>
    <w:p>
      <w:pPr>
        <w:spacing w:after="0" w:line="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earnings attributable to Laboratory Corporation of America Holdings in 2017 includes a provisional net benefit of $519.0 due to the Tax Cuts and Jobs Act (TCJA). For additional information on the TCJA, see Note 13 to the Consolidated Financial Statements.</w:t>
      </w:r>
    </w:p>
    <w:p>
      <w:pPr>
        <w:spacing w:after="0" w:line="72"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(in millions)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revenues increased 8.1% in comparison to 2016 primarily due to growth from acquisitions of 5.8% and organic growth (net revenue growth less revenue from acquisitions for the first twelve months after the close of each acquisition) of 2.3%. Operating income increased 3.9% in comparison to 2016 primarily due to acquisitions, organic revenue growth and the Company's LaunchPad business process improvement initiative. During 2017, the Company achieved its three-year-goal to deliver $150.0 in net LaunchPad savings. The Company expects the inclusion of Chiltern International Group Limited (Chiltern) for a full twelve months in 2018 will provide an approximate 13.0% to 14.0% increase in CDD revenue for 2018, excluding the impact of the adoption of the new revenue recognition accounting standard.</w:t>
      </w:r>
    </w:p>
    <w:p>
      <w:pPr>
        <w:spacing w:after="0" w:line="22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April 25, 2017, the Company announced that it was expanding its LaunchPad business process improvement initiative to include its CDD segment. The Company generated $20.0 in savings in 2017, and expects to achieve additional net savings of $130.0 through the three-year period ending 2020. This initiative is expected to align people and capabilities with client and business demand, utilize automation and new information technology platforms to create efficiencies, and enhance customers' experience with CDD through investments in commercial and operational processes.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fourth quarter of 2017, the Company recorded the estimated impact of the Tax Cuts and Jobs Act of 2017 (TCJA), which resulted in a favorable re-valuation of deferred taxes, partially offset by the deemed repatriation tax. Given the significant changes resulting from the TCJA, the estimated financial impact is provisional and subject to further clarification, which could result in changes to these estimates in 2018. The Company expects its consolidated effective tax rate to be approximately 25.0% in 2018, which will benefit earnings per share and cash flow compared to the tax rate in 2017. The Company will invest a portion of this benefit in its employees, and has announced a one-time payment to all eligible employees that will be paid in 2018 based on length of service and certain other criteria.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jc w:val="both"/>
        <w:ind w:firstLine="243"/>
        <w:spacing w:after="0" w:line="268" w:lineRule="auto"/>
        <w:rPr>
          <w:sz w:val="20"/>
          <w:szCs w:val="20"/>
          <w:color w:val="auto"/>
        </w:rPr>
      </w:pPr>
      <w:r>
        <w:rPr>
          <w:rFonts w:ascii="Arial" w:cs="Arial" w:eastAsia="Arial" w:hAnsi="Arial"/>
          <w:sz w:val="17"/>
          <w:szCs w:val="17"/>
          <w:color w:val="auto"/>
        </w:rPr>
        <w:t>The new accounting standard on revenue recognition will be effective for the Company beginning January 1, 2018. The Company will adopt the full retrospective method allowed by this standard and is continuing to evaluate the expected impact of this adoption. Currently, the Company expects this standard to reduce LCD revenue but increase LCD operating margins due to the recording of substantially all LCD bad debt expense against net revenues (versus selling, general and administrative expense) as an implicit price reduction. The Company expects this standard to increase CDD reported revenue and decrease gross profit margin due to inclusion of reimbursable out-of-pocket expenses and investigator fees in revenues and cost of sales. In addition, the Company expects the timing of revenue recognition for customer contracts in the clinical business to accelerate, as revenue from study related change orders will be included in the total transaction price and recognized as the single performance obligation is satisfied, when reasonably estimated, which is often prior to the signed change order threshold used previously. CDD will also discontinue its current practice of expensing sales commissions when paid upon the execution of a customer contract and instead will recognize this selling expense over the weighted average of the underlying contract terms for each major revenue stream. Based on its preliminary analysis, the Company currently anticipates that 2017 total revenue will be approximately 2.0% to 5.0% higher under the new standard upon retrospective restatement consisting of an increase in CDD revenue (due in large part to the inclusion of out-of-pocket and investigator fees in revenue) partially offset by a decrease in LCD revenue (due to the recording of bad debt expense as an offset within revenue). The Company also anticipates enhanced financial statement disclosures surrounding the nature, amount, timing and uncertainty of revenue and cash flows arising from contracts with customers. The Company is currently performing a detailed contract review which will be completed before the final quantification of the impact of the standard is completed. The impact of the new standard will be finalized upon adoption in the first quarter of 2018 and is therefore subject to change.</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notes that changes to the Affordable Care Act may continue to affect coverage, reimbursement and utilization of laboratory services, as well as administrative requirements, in ways that are currently unpredictable. Further, structural reforms of Medicare that could occur, such as imposition of uniform co-insurance and combination of the Medicare Part A and Part B deductibles, could adversely affect Medicare reimbursement for laboratory reimbursement.</w:t>
      </w:r>
    </w:p>
    <w:p>
      <w:pPr>
        <w:spacing w:after="0" w:line="9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 For 2018, the Company estimates that the CLFS rates will reduce LCD revenue from all payers affected by the CLFS by a total of approximately 8% ($70.0 million)</w:t>
      </w:r>
    </w:p>
    <w:p>
      <w:pPr>
        <w:spacing w:after="0" w:line="17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plans to continue to work to maintain its investment grade credit rating and plans to use its operating cash flows to meet its annual capital expenditure requirements and to continue building long-term shareholder value through strategic acquisitions, debt reduction and the return of capital to shareholders.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 and External Factors</w:t>
      </w:r>
    </w:p>
    <w:p>
      <w:pPr>
        <w:spacing w:after="0" w:line="252"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experiences seasonality in both segments of its business. For example, testing volume generally declines during the year-end holiday period and other major holidays and can also decline due to inclement weather, reducing net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The results of both segments are impacted by exchange rate fluctuations. Approximately 21.4% of the Company's net revenues are billed in currencies other than the U.S. dollar, with the Swiss franc, British pound, Canadian dollar and the euro representing the largest components of its currency exposure. The Company expects the inclusion of Chiltern for a full twelve months in 2018 will increase the Company's percentage of revenues billed in currencies other than the U.S. dollar. Given the seasonality and changing economic factors impacting the business, comparison of the results for successive quarters may not accurately reflect trends or results for the full year.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Years ended December 31, 2017, 2016, and 2015</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99"/>
        </w:trPr>
        <w:tc>
          <w:tcPr>
            <w:tcW w:w="10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0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34"/>
        </w:trPr>
        <w:tc>
          <w:tcPr>
            <w:tcW w:w="10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CDD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2,306.4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Intercompany eliminations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51"/>
        </w:trPr>
        <w:tc>
          <w:tcPr>
            <w:tcW w:w="45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10,205.9</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9,437.2</w:t>
            </w: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8,505.7</w:t>
            </w:r>
          </w:p>
        </w:tc>
        <w:tc>
          <w:tcPr>
            <w:tcW w:w="100" w:type="dxa"/>
            <w:vAlign w:val="bottom"/>
            <w:tcBorders>
              <w:top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8.1% increase in net revenue for the year ended December 31, 2017, as compared with the corresponding period in 2016 was due to growth from acquisitions of 5.8% and organic growth of 2.3%.</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9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LCD net revenues for the year ended December 31, 2017, were $7,170.5, an increase of 8.7% over net revenues of $6,593.9 in the corresponding period in 2016. The increase in net revenue was the result of acquisitions, organic volume growth (measured by requisitions), price and mix. Total volume (measured by requisitions) increased by 5.8%, of which organic volume was 2.2% and acquisition volume was 3.6%. Revenue per requisition increased 2.9%.</w:t>
      </w:r>
    </w:p>
    <w:p>
      <w:pPr>
        <w:spacing w:after="0" w:line="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net revenues for the year ended December 31, 2017, were $3,037.2, an increase of 6.8% over net revenues of $2,844.1 in the corresponding period in 2016. The increase in net revenue was primarily due to the acquisition of Chiltern, which contributed growth of 6.6%, an increase in organic growth of 0.4% and an unfavorable impact from foreign currency translation of approximately 0.2%.</w:t>
      </w:r>
    </w:p>
    <w:p>
      <w:pPr>
        <w:spacing w:after="0" w:line="8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increase in net revenues for the year ended December 31, 2016, as compared with the corresponding period in 2015 was driven primarily by the inclusion of Covance's financial results for the entire year as well as solid organic growth and acquisitions, partially offset by the negative impact of foreign currency translation.</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LCD net revenues for the year ended December 31, 2016, were $6,593.9, an increase of 6.4% over net revenues of $6,199.3 in the corresponding period in 2015. The increase in net revenues was driven by organic volume growth, measured by requisitions, of 1.2%. The commercial launch of Beacon LBS, the Company's technology-enabled solution providing point-of-care decision support, contributed 0.3%. The increase in net revenues was unfavorably impacted by 0.3% of currency fluctuations. Revenue per requisition favorably impacted revenue by 2.7%. In addition, acquisitions added 2.5% to net revenues.</w:t>
      </w:r>
    </w:p>
    <w:p>
      <w:pPr>
        <w:spacing w:after="0" w:line="60"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CDD net revenues for the year ended December 31, 2016, were $2,844.1, an increase of 23.3% over net revenues of $2,306.4 in the corresponding period in 2015. The increase in revenue is due to the inclusion of a full year of Covance revenue for 2016 as compared to the period from the close of the Covance acquisition on February 19, 2015, through December 31, 2015, as well as demand and mix. This increase was partially offset by the expiration on October 31, 2015, of a minimum volume service contract and an unfavorable currency impact of approximately 160 basis points.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Cost of Revenues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2016</w:t>
            </w:r>
          </w:p>
        </w:tc>
      </w:tr>
      <w:tr>
        <w:trPr>
          <w:trHeight w:val="34"/>
        </w:trPr>
        <w:tc>
          <w:tcPr>
            <w:tcW w:w="16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cost of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5,602.4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Cost of revenues as a % of net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Net cost of revenues (primarily laboratory, labor and distribution costs) increased 7.8% in 2017 as compared with 2016 primarily due to increased volume, measured by requisitions, and test mix changes. The slight decrease in net cost of revenues as a percentage of net revenues in 2017 as compared to 2016 was due to LaunchPad savings and acquisition integration synergies offset by relatively higher costs of revenues for certain 2017 acquisitions. The increase in net cost of revenues in 2017 was negatively impacted by a net increase of 0.1% due to currency fluctuations.</w:t>
      </w:r>
    </w:p>
    <w:p>
      <w:pPr>
        <w:spacing w:after="0" w:line="7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Net cost of revenues (primarily laboratory, labor and distribution costs) increased 11.7% in 2016 as compared with 2015 primarily due to increased volume, measured by requisitions, and test mix changes. The increase in net cost of revenues as a percentage of net revenues in 2016 as compared to 2015 was due to the inclusion of CDD operations, which carry higher personnel costs as a percentage of revenue, for the entire year along with overall growth in the Company's operations. The increase in net cost of revenues in 2016 was negatively impacted by a net increase of 0.6% due to currency fluctuations.</w:t>
      </w:r>
    </w:p>
    <w:p>
      <w:pPr>
        <w:spacing w:after="0" w:line="6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 and testing supplies for the year ended December 31, 2017, comprise over 76.3% of the Company’s net cost of revenues. Net cost of revenues has increased over the three-year period ended December 31, 2017, primarily due to the impact of acquisitions, overall growth in the Company's volume and increases in merit-based labor costs.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2016</w:t>
            </w:r>
          </w:p>
        </w:tc>
      </w:tr>
      <w:tr>
        <w:trPr>
          <w:trHeight w:val="34"/>
        </w:trPr>
        <w:tc>
          <w:tcPr>
            <w:tcW w:w="3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SG&amp;A as a % of net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as a percentage of net revenues increased to 17.8% in 2017 compared to 17.3% in 2016. The increase in selling, general and administrative expenses as a percentage of net revenues is primarily due to current year acquisitions offset by LaunchPad savings. Bad debt expense as a percentage of net revenues for LCD was 4.4% for that segment during 2017 as compared to 4.3% in 2016. The increase in selling, general and administrative expenses in 2017 was impacted by a net increase of 0.1% due to currency fluctuations.</w:t>
      </w:r>
    </w:p>
    <w:p>
      <w:pPr>
        <w:spacing w:after="0" w:line="7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incurred legal and other costs of $49.7 primarily relating to the acquisition of Chiltern. The Company also recorded $25.6 in consulting and other expenses relating to Covance and Chiltern integration initiatives. In addition, the Company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incurred $4.4 in consulting expenses relating to fees incurred as part of its integration and management transition costs. The Company also recognized asset impairment losses of $20.9 related to the termination of software development projects within the CDD segment and the forgiveness of certain indebtedness for LCD customers in areas heavily impacted by hurricanes during the third quarter. Excluding these charges, selling, general and administrative expenses as a percentage of net revenues were 16.8% for the year ended December 31, 2017.</w:t>
      </w:r>
    </w:p>
    <w:p>
      <w:pPr>
        <w:spacing w:after="0" w:line="9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as a percentage of net revenues decreased to 17.3% in 2016 compared to 19.1% in 2015. The decrease in selling, general and administrative expenses as a percentage of net revenues is primarily due to the Covance acquisition, integration synergies, and the impact of LaunchPad, LCD's comprehensive, enterprise-wide business process improvement initiative. Bad debt expense as a percentage of net revenues for LCD remained constant at 4.3% for that segment during 2016 and 2015. The increase in selling, general and administrative expenses in 2016 was impacted by a net increase of 0.5% due to currency fluctuations.</w:t>
      </w:r>
    </w:p>
    <w:p>
      <w:pPr>
        <w:spacing w:after="0" w:line="9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2016, the Company incurred additional legal and other costs of $4.6 relating to the wind-down of two operations used to service minimum volume service contract operations. On February 9, 2016, the Company reached an agreement for the sale of assets and business of one of these sites. As required by U.K. law, substantially all of the employees were transferred with the business. On November 21, 2016, following the wind-down of the business, the Company reached an agreement for the sale of the property and assets of the other site. In addition, the Company incurred $8.0 in acquisition fees and expenses. The Company also recorded $6.9 in consulting expenses relating to fees incurred as part of its Covance acquisition integration costs and compensation analysis, along with $2.5 in short-term equity retention arrangements relating to the Covance acquisition and $8.9 of accelerated equity compensation relating to executive transition. In addition, the Company incurred $9.0 of non-capitalized costs associated with the implementation of a major system as part of LaunchPad. Excluding these charges, selling, general and administrative expenses as a percentage of net revenues were 16.9% for the year ended December 31, 2016.</w:t>
      </w:r>
    </w:p>
    <w:p>
      <w:pPr>
        <w:spacing w:after="0" w:line="10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2015, the Company incurred additional legal and other costs of $5.7 relating to the wind-down of two operations used to service minimum volume contract operations. The Company also recorded $25.6 in consulting expenses relating to fees incurred as part of LaunchPad as well as Covance integration costs and employee compensation studies, along with $5.4 in short-term equity retention arrangements relating to the Covance acquisition and $0.3 of accelerated equity compensation relating to the previously disclosed retirement of a Company executive. During the fourth quarter, the Company paid $12.2 in settlement costs and litigation expenses related to the resolution of a U.S. federal court putative class action lawsuit. In addition, the Company incurred $3.0 of non-capitalized costs associated with the implementation of a major system as part of LaunchPad. Excluding these charges, selling, general and administrative expenses as a percentage of net revenues were 18.5% for the year ended December 31,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Amortization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172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1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7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34"/>
        </w:trPr>
        <w:tc>
          <w:tcPr>
            <w:tcW w:w="17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84"/>
        </w:trPr>
        <w:tc>
          <w:tcPr>
            <w:tcW w:w="4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intangibles and other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amortization of intangibles and other assets from 2015 through 2017 primarily reflects the impact of acquisitions offset by the impact of working capital and earnout adjustments.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Special Charges</w:t>
      </w:r>
    </w:p>
    <w:p>
      <w:pPr>
        <w:spacing w:after="0" w:line="175" w:lineRule="exact"/>
        <w:rPr>
          <w:sz w:val="20"/>
          <w:szCs w:val="20"/>
          <w:color w:val="auto"/>
        </w:rPr>
      </w:pPr>
    </w:p>
    <w:p>
      <w:pPr>
        <w:jc w:val="center"/>
        <w:ind w:left="74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70" w:lineRule="exact"/>
        <w:rPr>
          <w:sz w:val="20"/>
          <w:szCs w:val="20"/>
          <w:color w:val="auto"/>
        </w:rPr>
      </w:pPr>
    </w:p>
    <w:p>
      <w:pPr>
        <w:ind w:left="7880"/>
        <w:spacing w:after="0"/>
        <w:tabs>
          <w:tab w:leader="none" w:pos="9220" w:val="left"/>
          <w:tab w:leader="none" w:pos="1060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7440" w:val="left"/>
          <w:tab w:leader="none" w:pos="8240" w:val="left"/>
          <w:tab w:leader="none" w:pos="8800" w:val="left"/>
          <w:tab w:leader="none" w:pos="9620" w:val="left"/>
          <w:tab w:leader="none" w:pos="10180" w:val="left"/>
          <w:tab w:leader="none" w:pos="10900" w:val="left"/>
        </w:tabs>
        <w:rPr>
          <w:sz w:val="20"/>
          <w:szCs w:val="20"/>
          <w:color w:val="auto"/>
        </w:rPr>
      </w:pPr>
      <w:r>
        <w:rPr>
          <w:rFonts w:ascii="Arial" w:cs="Arial" w:eastAsia="Arial" w:hAnsi="Arial"/>
          <w:sz w:val="18"/>
          <w:szCs w:val="18"/>
          <w:color w:val="auto"/>
        </w:rPr>
        <w:t>Restructuring and other special charges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70.9</w:t>
        <w:tab/>
        <w:t>$</w:t>
      </w:r>
      <w:r>
        <w:rPr>
          <w:sz w:val="20"/>
          <w:szCs w:val="20"/>
          <w:color w:val="auto"/>
        </w:rPr>
        <w:tab/>
      </w:r>
      <w:r>
        <w:rPr>
          <w:rFonts w:ascii="Arial" w:cs="Arial" w:eastAsia="Arial" w:hAnsi="Arial"/>
          <w:sz w:val="18"/>
          <w:szCs w:val="18"/>
          <w:color w:val="auto"/>
        </w:rPr>
        <w:t>58.4</w:t>
        <w:tab/>
        <w:t>$</w:t>
      </w:r>
      <w:r>
        <w:rPr>
          <w:sz w:val="20"/>
          <w:szCs w:val="20"/>
          <w:color w:val="auto"/>
        </w:rPr>
        <w:tab/>
      </w:r>
      <w:r>
        <w:rPr>
          <w:rFonts w:ascii="Arial" w:cs="Arial" w:eastAsia="Arial" w:hAnsi="Arial"/>
          <w:sz w:val="15"/>
          <w:szCs w:val="15"/>
          <w:color w:val="auto"/>
        </w:rPr>
        <w:t>113.9</w:t>
      </w:r>
    </w:p>
    <w:p>
      <w:pPr>
        <w:spacing w:after="0" w:line="200" w:lineRule="exact"/>
        <w:rPr>
          <w:sz w:val="20"/>
          <w:szCs w:val="20"/>
          <w:color w:val="auto"/>
        </w:rPr>
      </w:pPr>
    </w:p>
    <w:p>
      <w:pPr>
        <w:spacing w:after="0" w:line="28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2017, the Company recorded net restructuring charges of $70.9; $16.8 within LCD and $54.1 within CDD. The charges were comprised of $36.1 in severance and other personnel costs and $39.9 in facility-related costs primarily associated with general integration activities. The charges were offset by the reversal of previously established reserves of $0.5 in unused severance and $4.6 in unused facility-related costs.</w:t>
      </w:r>
    </w:p>
    <w:p>
      <w:pPr>
        <w:spacing w:after="0" w:line="7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During 2016, the Company recorded net restructuring and other special charges of $58.4; $15.8 within LCD and $42.6 within CDD. The charges were comprised of $30.9 related to severance and other personnel costs along with $33.8 in costs associated with facility closures. A substantial portion of these costs relate to the planned closure of duplicative data center operations and other facilities. These charges were offset by the reversal of previously established reserves of $2.8 in unused severance and $3.5 in unused facility-related costs, as the result of selling one of its minimum volume service contract facilities to a third party.</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During 2015, the Company recorded net restructuring and other special charges of $113.9; $39.2 within LCD and $74.7 within CDD. The charges were comprised of $59.2 related to severance and other personnel costs along with $55.8 in costs associated with facility closures and general integration initiatives. A substantial portion of these costs relate to the planned closure of two CDD operations that serviced a minimum volume contract that expired on October 31, 2015. These charges were offset by the reversal of previously established reserves of $1.1 in unused facility-related costs. Included within the facility-related charges noted above is a $26.7 asset impairment charge relating to CDD lab and customer service applications that will no longer be used.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center"/>
              <w:ind w:left="57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34"/>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12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increase in interest expense for 2017 as compared with the corresponding period in 2016 is primarily due to the issuance of Senior Notes, the addition of the 2017 term loan, and increased borrowings under the Company's Revolving Credit Facility, to fund the acquisition of Chiltern and support growth. This increase was partially offset by the repayment of the 2.20% Senior Notes in August 2017 and a portion of the zero-coupon subordinated notes, and the retirement of the convertible Senior Notes acquired as part of the Sequenom acquisition in October 2016.</w:t>
      </w:r>
    </w:p>
    <w:p>
      <w:pPr>
        <w:spacing w:after="0" w:line="7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decrease in interest expense for 2016 as compared with the corresponding period in 2015 is primarily due to the reduction of the term loan balance, Covance acquisition-related expenses including a $37.4 make-whole payment that was required in connection with the prepayment of the $250.0 Covance Senior Notes and $15.2 of deferred financing costs associated with the Company's previous credit agreement and the bridge financing facilities used to complete the Covance acquisition. In addition, the Company repaid the 3.125% Senior Notes in May 2016. These decreases were offset by $5.6 of interest expense relating to the early retirement of subsidiary indebtedness and the timing of Covance acquisition-related debt.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9"/>
        </w:trPr>
        <w:tc>
          <w:tcPr>
            <w:tcW w:w="214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gridSpan w:val="6"/>
          </w:tcPr>
          <w:p>
            <w:pPr>
              <w:jc w:val="center"/>
              <w:ind w:left="3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2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34"/>
        </w:trPr>
        <w:tc>
          <w:tcPr>
            <w:tcW w:w="21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21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Equity method income, net represents the Company's ownership share in joint venture partnerships along with equity investments in other companies in the healthcare industry. All of these partnerships and investments reside within LCD. The increase in income for 2017 as compared with the corresponding period in 2016 was primarily due to the increased profitability in one of the joint ventures and the addition of several joint ventures related to the May 2017 acquisition of Pathology Associates Medical Laboratories (PAML).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jc w:val="center"/>
              <w:ind w:right="3760"/>
              <w:spacing w:after="0"/>
              <w:rPr>
                <w:sz w:val="20"/>
                <w:szCs w:val="20"/>
                <w:color w:val="auto"/>
              </w:rPr>
            </w:pPr>
            <w:r>
              <w:rPr>
                <w:rFonts w:ascii="Arial" w:cs="Arial" w:eastAsia="Arial" w:hAnsi="Arial"/>
                <w:sz w:val="18"/>
                <w:szCs w:val="18"/>
                <w:b w:val="1"/>
                <w:bCs w:val="1"/>
                <w:color w:val="auto"/>
                <w:w w:val="94"/>
              </w:rPr>
              <w:t>Other, Net</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82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6"/>
          </w:tcPr>
          <w:p>
            <w:pPr>
              <w:jc w:val="center"/>
              <w:ind w:left="1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4"/>
                <w:szCs w:val="24"/>
                <w:color w:val="auto"/>
              </w:rPr>
            </w:pPr>
          </w:p>
        </w:tc>
      </w:tr>
      <w:tr>
        <w:trPr>
          <w:trHeight w:val="34"/>
        </w:trPr>
        <w:tc>
          <w:tcPr>
            <w:tcW w:w="8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34"/>
        </w:trPr>
        <w:tc>
          <w:tcPr>
            <w:tcW w:w="8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jc w:val="center"/>
              <w:ind w:right="3800"/>
              <w:spacing w:after="0"/>
              <w:rPr>
                <w:sz w:val="20"/>
                <w:szCs w:val="20"/>
                <w:color w:val="auto"/>
              </w:rPr>
            </w:pPr>
            <w:r>
              <w:rPr>
                <w:rFonts w:ascii="Arial" w:cs="Arial" w:eastAsia="Arial" w:hAnsi="Arial"/>
                <w:sz w:val="18"/>
                <w:szCs w:val="18"/>
                <w:color w:val="auto"/>
                <w:w w:val="87"/>
              </w:rPr>
              <w:t>Other, net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7"/>
        </w:trPr>
        <w:tc>
          <w:tcPr>
            <w:tcW w:w="8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net is primarily comprised of net investment gains and losses as well as the realization of foreign currency transaction losses.</w:t>
      </w:r>
    </w:p>
    <w:p>
      <w:pPr>
        <w:spacing w:after="0" w:line="13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decrease in other, net for the year ended December 31, 2017, is primarily due to the inclusion of a net gain of $9.7 on the sale of investment securities from the Company's venture fund in 2016, offset by an increase in net realized foreign currency transaction losses.</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increase in other, net for the year ended December 31, 2016, is primarily due to a net gain of $9.7 on the sale of investment securities from the Company's venture fund offset by net realized foreign currency transaction losses and a non-cash loss of $2.3 upon the dissolution of one of the Company's equity investments in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r>
      <w:tr>
        <w:trPr>
          <w:trHeight w:val="34"/>
        </w:trPr>
        <w:tc>
          <w:tcPr>
            <w:tcW w:w="16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287.3</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income before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r>
    </w:tbl>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fourth quarter of 2017, the Company recorded the estimated provisions of the TCJA, which resulted in a reduction in income tax expense arising from a re-measurement of deferred taxes, and the release of deferred taxes on unremitted foreign</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earnings, partially offset by the deemed repatriation tax. Given the significant changes resulting from the TCJA, the estimated financial impact is provisional and subject to further clarification, which could result in changes to these estimates in 2018.</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2017 was favorably impacted by the re-measurement of the Company's net deferred tax liabilities to rates enacted in the TCJA, partially offset by the deemed repatriation tax enacted in this legislation. The 2017 rate was also favorably impacted by foreign earnings taxed at rates lower than the U.S. and by share-based compensation.</w:t>
      </w:r>
    </w:p>
    <w:p>
      <w:pPr>
        <w:spacing w:after="0" w:line="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2016 and 2015, the Company's effective rate was favorably impacted by foreign earnings taxed at lower rates than the U.S. statutory tax rate and, for 2016 specifically, by a reduction in certain foreign rates. The 2016 rate also benefited from the early adoption of share-based payment accounting and the reversal of uncertain tax position reserves. The Company considers substantially all of its foreign earnings to be permanently reinvested overseas.</w:t>
      </w:r>
    </w:p>
    <w:p>
      <w:pPr>
        <w:spacing w:after="0" w:line="17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effective rate for 2015 was unfavorably impacted by restructuring and acquisition items, the recording of additional uncertain tax reserves and a decrease in the benefit recorded from releasing uncertain tax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Segment</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110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0"/>
                <w:szCs w:val="20"/>
                <w:color w:val="auto"/>
              </w:rPr>
            </w:pPr>
          </w:p>
        </w:tc>
      </w:tr>
      <w:tr>
        <w:trPr>
          <w:trHeight w:val="3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2016</w:t>
            </w:r>
          </w:p>
        </w:tc>
      </w:tr>
      <w:tr>
        <w:trPr>
          <w:trHeight w:val="34"/>
        </w:trPr>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LCD operating margin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CDD operating margin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64"/>
        </w:trPr>
        <w:tc>
          <w:tcPr>
            <w:tcW w:w="44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1,364.2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1,312.4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operating earnings were $1,298.6 for the year ended December 31, 2017, an increase of 9.3% over operating earnings of $1,187.6 in the corresponding period of 2016 and an increase of 0.1% in operating margin year-over-year. The slight increase in operating margin was primarily due to strong revenue growth and LaunchPad savings, offset by lower margins on certain 2017 acquisitions prior to the full impact of synergies. During the year, the Company achieved its three-year goal to deliver $150.0 in net LaunchPad savings.</w:t>
      </w:r>
    </w:p>
    <w:p>
      <w:pPr>
        <w:spacing w:after="0" w:line="7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CDD operating earnings were $206.2 for the year ended December 31, 2017, a decrease of 24.4% over operating earnings of $272.7 in the corresponding period of 2016 and a decrease of 2.8% in operating margin year-over-year. The decrease in operating earning and operating margin was primarily due to acquisitions and transaction costs. The segment also experienced higher personnel costs and increased restructuring and other special charges related to the expansion of LaunchPad and the termination of a software development project. These costs were partially offset by cost synergies. During the year, the Company achieved its three-year goal to deliver cost synergies of $100.0 related to the Covance acquisition.</w:t>
      </w:r>
    </w:p>
    <w:p>
      <w:pPr>
        <w:spacing w:after="0" w:line="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$140.6 for the year ended December 31, 2017, a decrease of 4.9% over corporate expenses of $147.9 in the corresponding period of 2016. The decrease in corporate expenses in 2017 is primarily due to a reduction in acquisition related costs and certain incentive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to the Company's Consolidated Financial Statements.</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In summary the Company's cash flows were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6"/>
          </w:tcPr>
          <w:p>
            <w:pPr>
              <w:jc w:val="right"/>
              <w:spacing w:after="0"/>
              <w:rPr>
                <w:sz w:val="20"/>
                <w:szCs w:val="20"/>
                <w:color w:val="auto"/>
              </w:rPr>
            </w:pPr>
            <w:r>
              <w:rPr>
                <w:rFonts w:ascii="Arial" w:cs="Arial" w:eastAsia="Arial" w:hAnsi="Arial"/>
                <w:sz w:val="18"/>
                <w:szCs w:val="18"/>
                <w:color w:val="auto"/>
              </w:rPr>
              <w:t>For the Year Ended December 31,</w:t>
            </w:r>
          </w:p>
        </w:tc>
        <w:tc>
          <w:tcPr>
            <w:tcW w:w="80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2015</w:t>
            </w:r>
          </w:p>
        </w:tc>
      </w:tr>
      <w:tr>
        <w:trPr>
          <w:trHeight w:val="34"/>
        </w:trPr>
        <w:tc>
          <w:tcPr>
            <w:tcW w:w="420" w:type="dxa"/>
            <w:vAlign w:val="bottom"/>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r>
      <w:tr>
        <w:trPr>
          <w:trHeight w:val="243"/>
        </w:trPr>
        <w:tc>
          <w:tcPr>
            <w:tcW w:w="420" w:type="dxa"/>
            <w:vAlign w:val="bottom"/>
          </w:tcPr>
          <w:p>
            <w:pPr>
              <w:spacing w:after="0"/>
              <w:rPr>
                <w:sz w:val="21"/>
                <w:szCs w:val="21"/>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(3,994.9)</w:t>
            </w:r>
          </w:p>
        </w:tc>
      </w:tr>
      <w:tr>
        <w:trPr>
          <w:trHeight w:val="27"/>
        </w:trPr>
        <w:tc>
          <w:tcPr>
            <w:tcW w:w="4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3,184.6</w:t>
            </w:r>
          </w:p>
        </w:tc>
      </w:tr>
      <w:tr>
        <w:trPr>
          <w:trHeight w:val="243"/>
        </w:trPr>
        <w:tc>
          <w:tcPr>
            <w:tcW w:w="420" w:type="dxa"/>
            <w:vAlign w:val="bottom"/>
          </w:tcPr>
          <w:p>
            <w:pPr>
              <w:spacing w:after="0"/>
              <w:rPr>
                <w:sz w:val="21"/>
                <w:szCs w:val="21"/>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Effect of exchange rate on changes in cash and cash equivalents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420" w:type="dxa"/>
            <w:vAlign w:val="bottom"/>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20" w:type="dxa"/>
            <w:vAlign w:val="bottom"/>
          </w:tcPr>
          <w:p>
            <w:pPr>
              <w:spacing w:after="0"/>
              <w:rPr>
                <w:sz w:val="22"/>
                <w:szCs w:val="22"/>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0"/>
        </w:trPr>
        <w:tc>
          <w:tcPr>
            <w:tcW w:w="4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Cash and cash equivalents at December 31, 2017, 2016 and 2015 totaled $316.7, $433.6 and $716.4, respectively. Cash and cash equivalents consist of highly liquid instruments, such as commercial paper, time deposits and other money market investments, substantially all of which have original maturities of three months or less.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year ended December 31, 2017, the Company's operations provided $1,459.4 of cash as compared to $1,175.9 in 2016. The $283.5 increase in cash provided from operations in 2017 as compared with the corresponding 2016 period was primarily due to higher net earnings and improved working capital in 2017. The Company’s 2017 earnings were impacted by $70.9 of restructuring and special items compared to an impact of $58.4 during the same period in 2016.</w:t>
      </w:r>
    </w:p>
    <w:p>
      <w:pPr>
        <w:spacing w:after="0" w:line="9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year ended December 31, 2016, the Company's operations provided $1,175.9 of cash as compared to $982.4 in 2015. The $193.5 increase in cash provided from operations in 2016 as compared with the corresponding 2015 period was primarily due to higher net earnings in 2016. The Company’s 2016 earnings were impacted by $58.4 of restructuring and special items compared to an impact of $113.9 during the same period in 2015, primarily in connection with the Covance acquisition.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Net cash used in investing activities for the year ended December 31, 2017, was $2,228.7 as compared to $795.7 for the year ended December 31, 2016. The $1,433.0 increase in cash used in investing activities for the year ended December 31, 2017, was primarily due to a year over year increase of $1,334.0 in cash paid for acquisitions. In addition, the Company had proceeds of $5.5 from the sale of assets during 2017 in comparison to $30.8 during 2016. Capital expenditures were $312.9 and $278.9 for the years ended December 31, 2017 and 2016, respectively. Capital expenditures in 2017 were 3.1% of net revenues primarily in connection with projects to support growth in the Company's core businesses, projects related to LaunchPad and further Covance integration initiatives. The Company intends to continue to pursue acquisitions to fund growth and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such capital expenditures in 2018 to be approximately 3.5% of net revenues, primarily in connection with projects to support growth in the Company's core businesses, facility updates, ongoing projects related to LaunchPad within the LCD business, LaunchPad's expansion within the CDD business, and further acquisition integration initiatives.</w:t>
      </w:r>
    </w:p>
    <w:p>
      <w:pPr>
        <w:spacing w:after="0" w:line="8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cash used in investing activities for the year ended December 31, 2016, was $795.7 as compared to $3,994.9 for the year ended December 31, 2015. The $3,184.3 decrease in cash used in investing activities for the year ended December 31, 2016, was primarily due to cash paid for the Covance acquisition in the first quarter of 2015. In addition, the Company had proceeds of $30.8 from the sale of assets during 2016 in comparison to $0.6 during 2015. Capital expenditures were $278.9 and $255.8 for the years ended December 31, 2016 and 2015,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Net cash provided by financing activities for the year ended December 31, 2017, was $631.9 compared to cash used for financing activities of $649.8 for the year ended December 31, 2016. This movement in cash within financing activities for 2017, as compared to 2016, was primarily a result of $923.0 of net financing proceeds and $338.1 in share repurchases in 2017 compared to $658.4 in debt repayments combined with $43.9 share repurchases in 2016.</w:t>
      </w:r>
    </w:p>
    <w:p>
      <w:pPr>
        <w:spacing w:after="0" w:line="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in financing activities for the year ended December 31, 2016, was $649.8 compared to $3,184.6 net cash provided by financing activities for the year ended December 31, 2015. This movement in cash within financing activities for 2016, as compared to 2015, was primarily a result of $3,113.7 of net financing proceeds in 2015 compared to $658.4 in debt repayments combined with $43.9 for the re-initiation of the Company's share repurchase program in 2016.</w:t>
      </w:r>
    </w:p>
    <w:p>
      <w:pPr>
        <w:spacing w:after="0" w:line="9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August 22, 2017, the Company issued new Senior Notes representing $1,200.0 in debt securities consisting of a $600.0 aggregate principal amount of 3.25% Senior Notes due 2024 and a $600.0 aggregate principal amount of 3.60% Senior Notes due 2027. Interest on these notes is payable semi-annually on March 1 and September 1 of each year, commencing on March 1, 2018. Net proceeds from the offering of these notes were $1,190.1 after deducting underwriting discounts and other expenses of the offering. Net proceeds were used to pay off the 2.20% Senior Notes due August 23, 2017, as well as a portion of the cash consideration and the fees and expenses in connection with the Chiltern acquisition.</w:t>
      </w:r>
    </w:p>
    <w:p>
      <w:pPr>
        <w:spacing w:after="0" w:line="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September 15, 2017, the Company entered into a new $750.0 term loan. The 2017 term loan facility will mature on September 15, 2022. The 2017 term loan balance at December 31, 2017, was $750.0.</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December 19, 2014, the Company entered into a five-year term loan credit facility in the principal amount of $1,000.0 for the purpose of financing a portion of the cash consideration and the fees and expenses in connection with the transactions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contemplated by the November 2, 2014, Merger Agreement to acquire Covance. The term loan credit facility was advanced in full on the Covance acquisition date and was amended on July 13, 2016 and further amended on September 15, 2017. The term loan credit facility will mature five years after the Covance acquisition date and may be prepaid without penalty. The 2014 term loan balance at December 31, 2017, was $72.0.</w:t>
      </w:r>
    </w:p>
    <w:p>
      <w:pPr>
        <w:spacing w:after="0" w:line="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Also as part of its financing of the Covance acquisition,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Covance acquisition. The 60-day cash bridge term loan credit facility was advanced in full on the Covance acquisition date, and was repaid in March 2015.</w:t>
      </w:r>
    </w:p>
    <w:p>
      <w:pPr>
        <w:spacing w:after="0" w:line="20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On September 15, 2017, the Company also entered into an amendment and restatement of its existing senior revolving credit facility, which was originally entered into on December 21, 2011, and amended on December 21, 2011. The senior revolving credit facility consists of a five-year revolving facility in the principal amount of up to $1,000.0, with the option of increasing the facility by up to an additional $350.0,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revolving credit facility is permitted to be used for general corporate purposes, including working capital, capital expenditures, funding of share repurchases and certain other payments, and acquisitions and other investments. There were no balances outstanding on the Company's current revolving credit facility at December 31, 2017, or December 31, 2016.</w:t>
      </w:r>
    </w:p>
    <w:p>
      <w:pPr>
        <w:spacing w:after="0" w:line="1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January 30, 2015, the Company issued the Covance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Net proceeds from the offering of the Covance acquisition notes were $2,870.2 after deducting underwriting discounts and other estimated expenses of the offering. Net proceeds were used to pay a portion of the cash consideration and the fees and expenses in connection with the acquisition of Covance.</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Company's term loan credit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term loan credit facilities and the revolving credit facility at December 31, 2017. As of December 31, 2017, the ratio of total debt to consolidated pro forma trailing 12 month earnings before interest, tax, depreciation, and amortization (EBITDA) was 3.2 to 1.0.</w:t>
      </w:r>
    </w:p>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2014 term loan credit facility accrues interest at a per annum rate equal to, at the Company’s election, either an Intercontinental Exchange London Inter-bank Offered Rate (LIBOR) rate plus a margin ranging from 1.125% to 2.00%, or a base rate determined according to a prime rate or federal funds rate plus a margin ranging from 0.125% to 1.00%. The 2017 term loan credit facility accrues interest at a per annum rate equal to, at the Company’s election, either a LIBOR rate plus a margin ranging from 0.875% to 1.50%, or a base rate determined according to a prime rate or federal funds rate plus a margin ranging from 0.0% to 0.50%. Advances under the revolving credit facility accrue interest at a per annum rate equal to, at the Company’s election, either a LIBOR rate plus a margin ranging from 0.775% to 1.25%, or a base rate determined according to a prime rate or federal funds rate plus a margin ranging from 0.00% to 0.25%.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0.10% to 0.25%. The interest margin applicable to the credit facilities, and the facility fee and letter of credit fees payable under the revolving credit facility, are based on the Company’s senior credit ratings as determined by S&amp;P and Moody’s.</w:t>
      </w:r>
    </w:p>
    <w:p>
      <w:pPr>
        <w:spacing w:after="0" w:line="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2017, the effective interest rate on the revolving credit facility was 2.7% and the effective interest rate was 2.8% and 2.6% on the 2014 and 2017 term loans, respectively.</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was no outstanding balance on the Company's revolving credit facility at December 31, 2017, or 2016. As of December 31, 2017, the Company provided letters of credit aggregating $72.2, primarily in connection with certain insurance programs. Letters of credit provided by the Company are issued under the Company's revolving credit facility and are renewed annually.</w:t>
      </w:r>
    </w:p>
    <w:p>
      <w:pPr>
        <w:spacing w:after="0" w:line="8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During 2017, the Company purchased 2.5 shares of its common stock at a total cost of $338.1. At the end of 2017, the Company had outstanding authorization from the board of directors to purchase an additional $401.4 of Company common stock. The repurchase authorization has no expiration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had a $27.4 and $28.3 reserve for unrecognized income tax benefits, including interest and penalties, as of December 31, 2017, and December 31, 2016, respectively. Substantially all of these tax reserves are classified in other long-term liabilities in the Company's Consolidated Balance Sheets at December 31, 2017, and 2016.</w:t>
      </w:r>
    </w:p>
    <w:p>
      <w:pPr>
        <w:spacing w:after="0" w:line="20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2017 and 2016, the Company settled notices to convert $37.1 and $59.4 aggregate principal amount at maturity of its zero-coupon subordinated notes with a conversion value of $33.9 and $53.7, respectively. The total cash used for these settlements was $33.9 and $53.7 and the Company also issued 0.3 and 0.4 additional shares of common stock, respectively. As a result of these conversions in 2017 and 2016, the Company also reversed approximately $0.0 and $4.9, respectively, of deferred tax liability to reflect the tax benefit realized upon issuance of the shares.</w:t>
      </w:r>
    </w:p>
    <w:p>
      <w:pPr>
        <w:spacing w:after="0" w:line="7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12, 2017, the Company announced that for the period of September 12, 2017 to March 10, 2018, the zero-coupon subordinated notes will accrue contingent cash interest at a rate of no less than 0.125% of the average market price of a zero-coupon subordinated note for the five trading days ended September 8, 2017, in addition to the continued accrual of the original issue discount.</w:t>
      </w:r>
    </w:p>
    <w:p>
      <w:pPr>
        <w:spacing w:after="0" w:line="20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3, 2018,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23,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January 1, 2018, through the close of business on the last business day of the calendar quarter, which is 5:00 p.m., New York City time, on Friday, March 31, 2018. If notices of conversion are received, the Company plans to settle the cash portion of the conversion obligation with cash on hand and/or borrowings under its revolving credit facility.</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Ratings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debt ratings of Baa2 from Moody’s and BBB from S&amp;P contribute to its ability to access capital markets.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0" w:type="dxa"/>
            <w:vAlign w:val="bottom"/>
            <w:gridSpan w:val="6"/>
          </w:tcPr>
          <w:p>
            <w:pPr>
              <w:jc w:val="right"/>
              <w:ind w:right="180"/>
              <w:spacing w:after="0"/>
              <w:rPr>
                <w:sz w:val="20"/>
                <w:szCs w:val="20"/>
                <w:color w:val="auto"/>
              </w:rPr>
            </w:pPr>
            <w:r>
              <w:rPr>
                <w:rFonts w:ascii="Arial" w:cs="Arial" w:eastAsia="Arial" w:hAnsi="Arial"/>
                <w:sz w:val="18"/>
                <w:szCs w:val="18"/>
                <w:color w:val="auto"/>
                <w:w w:val="90"/>
              </w:rPr>
              <w:t>Payments Due by Period</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
        </w:trPr>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8"/>
              </w:rPr>
              <w:t>2023 and</w:t>
            </w:r>
          </w:p>
        </w:tc>
      </w:tr>
      <w:tr>
        <w:trPr>
          <w:trHeight w:val="270"/>
        </w:trPr>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3"/>
                <w:szCs w:val="23"/>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8"/>
              </w:rPr>
              <w:t>thereafter</w:t>
            </w:r>
          </w:p>
        </w:tc>
      </w:tr>
      <w:tr>
        <w:trPr>
          <w:trHeight w:val="34"/>
        </w:trPr>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160.8</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future licensing payments (a)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5.6</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Minimum royalty payments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 on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407.5</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Scheduled interest payments on Term Loan</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6,741.6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1,258.7</w:t>
            </w:r>
          </w:p>
        </w:tc>
        <w:tc>
          <w:tcPr>
            <w:tcW w:w="3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1,672.3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3,400.0</w:t>
            </w:r>
          </w:p>
        </w:tc>
      </w:tr>
      <w:tr>
        <w:trPr>
          <w:trHeight w:val="264"/>
        </w:trPr>
        <w:tc>
          <w:tcPr>
            <w:tcW w:w="4500" w:type="dxa"/>
            <w:vAlign w:val="bottom"/>
          </w:tcPr>
          <w:p>
            <w:pPr>
              <w:ind w:left="40"/>
              <w:spacing w:after="0"/>
              <w:rPr>
                <w:sz w:val="20"/>
                <w:szCs w:val="20"/>
                <w:color w:val="auto"/>
              </w:rPr>
            </w:pPr>
            <w:r>
              <w:rPr>
                <w:rFonts w:ascii="Arial" w:cs="Arial" w:eastAsia="Arial" w:hAnsi="Arial"/>
                <w:sz w:val="18"/>
                <w:szCs w:val="18"/>
                <w:color w:val="auto"/>
              </w:rPr>
              <w:t>Total contractual cash obligations (b)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9,959.5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897.2</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2,025.7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2,227.1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4,809.5</w:t>
            </w:r>
          </w:p>
        </w:tc>
      </w:tr>
      <w:tr>
        <w:trPr>
          <w:trHeight w:val="20"/>
        </w:trPr>
        <w:tc>
          <w:tcPr>
            <w:tcW w:w="4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the achievement specified revenue milestones.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16 to Consolidated Financial Statements.” Benefits under the Company's postretirement medical plan are made when claims are submitted for payment, the timing of which is not practicable to estimate.</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does not include the Company’s reserves for unrecognized tax benefits. The Company had a $27.4 and $28.3 reserve for unrecognized tax benefits, including interest and penalties, at December 31, 2017, and 2016, respectively, which is included in “Note 13 to Consolidated Financial Statements.” Substantially all of these tax reserves are classified in other long-term liabilities in the Company’s Consolidated Balance Sheets at December 31,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31"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As of December 31, 2017, the Company provided letters of credit aggregating approximately $72.2, primarily in connection with certain insurance programs. Letters of credit provided by the Company are secured by the Company’s revolving credit facility and are renewed annually.</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$20.8 and $15.2 at December 31, 2017, and 2016, respectively, and has been classified as mezzanine equity in the Company's consolidated balance sheet.</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8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recognition and allowance for doubtful accounts;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Pension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Accruals for self-insurance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Allowance for Doubtful Accounts</w:t>
      </w:r>
    </w:p>
    <w:p>
      <w:pPr>
        <w:spacing w:after="0" w:line="131"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LCD recognizes revenue for services rendered when the testing process is complete and test results are reported to the ordering physician. The sales are generally billed to three types of payers – customers, patients and third parties such as managed care organizations (MCOs), Medicare and Medicaid. For customers, sales are recorded on a fee-for-service basis at the Company’s customer list price, less any negotiated discount. Patient sales are recorded at the Company’s patient fee schedule, net of any discounts negotiated with physicians on behalf of their patients, or made available through charity care or an uninsured or underinsured patient program. LCD bills third-party payers in two ways: fee-for-service and capitated agreements. Fee-for-service third-party payers are billed at the Company's patient fee schedule amount, and third-party revenue is recorded net of contractual discounts. These discounts are recorded at the transaction level at the time of sale based on a fee schedule that is maintained for each third-party payer. The majority of the Company’s third-party sales are recorded using an actual or contracted fee schedule at the time of sale. For the remaining third-party sales, estimated fee schedules are maintained for each payer. Adjustments to the estimated payment amounts are recorded at the time of final collection and settlement of each transaction as an adjustment to revenue. These adjustments are not material to the Company’s results of operations in any period presented. The Company periodically adjusts these estimated fee schedules based upon historical payment trends. Under capitated agreements with MCOs, the Company recognizes revenue based on a negotiated monthly contractual rate for each member of the managed care plan regardless of the number or cost of the tests performed.</w:t>
      </w:r>
    </w:p>
    <w:p>
      <w:pPr>
        <w:spacing w:after="0" w:line="7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Occasionally, CDD also has committed minimum volume arrangements with certain customers. Under these types of arrangements, if the annual minimum dollar value of service commitment is not reached, the customer is required to pay CDD for the shortfall. Annual minimum commitment shortfalls are not included in net revenues until the amount has been determined and agreed to by the customer.</w:t>
      </w:r>
    </w:p>
    <w:p>
      <w:pPr>
        <w:spacing w:after="0" w:line="7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preclinical services include, among others, the number of slides read, or specimens prepared. Examples of output measures in the clinical trials services include, among others, the number of investigators enrolled, the number of sites initiated, the number of trial subjects enrolled and the number of monitoring visits completed, or the number of dosings for clinical pharmacology.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customer has agreed to the changes in scope and renegotiated pricing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52"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CDD bills the customer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8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7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customer is invoiced. In these cases, revenue recognized will exceed amounts billed, and the difference, representing an unbilled receivable, is recorded for the amount that is currently not billable to the customer pursuant to contractual terms. Once the customer is invoiced, the unbilled services are reduced for the amount billed, and a corresponding account receivable is recorded. All unbilled services are billable to customers within one year from the respective balance sheet date.</w:t>
      </w:r>
    </w:p>
    <w:p>
      <w:pPr>
        <w:spacing w:after="0" w:line="7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Most contracts are terminable with or without cause by the customer,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realization is assured. In connection with the management of multi-site clinical trials, CDD pays on behalf of its customers fees to investigators, clinical trial subjects and certain out-of-pocket costs, for which it is reimbursed at cost, without markup or profit. Investigator fees are not reflected in net revenues or expenses where CDD acts in the capacity of an agent on behalf of the biopharmaceutical company sponsor, passing through these costs without markup or profit. All other out-of-pocket costs are included in total revenues and expenses.</w:t>
      </w:r>
    </w:p>
    <w:p>
      <w:pPr>
        <w:spacing w:after="0" w:line="83"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LCD has a formal process to estimate and review the collectability of its receivables based on the period of time they have been outstanding. Bad debt expense is recorded within selling, general and administrative expenses as a percentage of sales considered necessary to maintain the allowance for doubtful accounts at an appropriate level. LCD’s process for determining the appropriate level of the allowance for doubtful accounts involves judgment and considers such factors as the age of the underlying receivables, historical and projected collection experience, and other external factors that could affect the collectability of its receivables. Accounts are written off against the allowance for doubtful accounts based on LCD’s write-off policy (e.g.</w:t>
      </w:r>
      <w:r>
        <w:rPr>
          <w:rFonts w:ascii="Arial" w:cs="Arial" w:eastAsia="Arial" w:hAnsi="Arial"/>
          <w:sz w:val="18"/>
          <w:szCs w:val="18"/>
          <w:i w:val="1"/>
          <w:iCs w:val="1"/>
          <w:color w:val="auto"/>
        </w:rPr>
        <w:t>,</w:t>
      </w:r>
      <w:r>
        <w:rPr>
          <w:rFonts w:ascii="Arial" w:cs="Arial" w:eastAsia="Arial" w:hAnsi="Arial"/>
          <w:sz w:val="18"/>
          <w:szCs w:val="18"/>
          <w:color w:val="auto"/>
        </w:rPr>
        <w:t xml:space="preserve"> when they are deemed to be uncollectible). In the determination of the appropriate level of the allowance, accounts are progressively reserved based on the historical timing of cash collections relative to their respective aging categories within LCD’s receivables. These collection and reserve processes, along with the close monitoring of the billing process, help reduce the risks of material revisions to reserve estimates resulting from adverse changes in collection or reimbursement experience.</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the percentage of LCD’s net accounts receivable outstanding by aging category at December 31, 2017, and 2016:</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Days Outstanding</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4360" w:type="dxa"/>
            <w:vAlign w:val="bottom"/>
            <w:tcBorders>
              <w:bottom w:val="single" w:sz="8" w:color="CCEEFF"/>
            </w:tcBorders>
            <w:gridSpan w:val="2"/>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 – 30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49.1%</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31</w:t>
            </w:r>
          </w:p>
        </w:tc>
        <w:tc>
          <w:tcPr>
            <w:tcW w:w="2260" w:type="dxa"/>
            <w:vAlign w:val="bottom"/>
          </w:tcPr>
          <w:p>
            <w:pPr>
              <w:ind w:left="40"/>
              <w:spacing w:after="0"/>
              <w:rPr>
                <w:sz w:val="20"/>
                <w:szCs w:val="20"/>
                <w:color w:val="auto"/>
              </w:rPr>
            </w:pPr>
            <w:r>
              <w:rPr>
                <w:rFonts w:ascii="Arial" w:cs="Arial" w:eastAsia="Arial" w:hAnsi="Arial"/>
                <w:sz w:val="18"/>
                <w:szCs w:val="18"/>
                <w:color w:val="auto"/>
              </w:rPr>
              <w:t>– 60</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17.3%</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9.2%</w:t>
            </w:r>
          </w:p>
        </w:tc>
      </w:tr>
      <w:tr>
        <w:trPr>
          <w:trHeight w:val="243"/>
        </w:trPr>
        <w:tc>
          <w:tcPr>
            <w:tcW w:w="4360" w:type="dxa"/>
            <w:vAlign w:val="bottom"/>
            <w:gridSpan w:val="2"/>
          </w:tcPr>
          <w:p>
            <w:pPr>
              <w:jc w:val="center"/>
              <w:spacing w:after="0"/>
              <w:rPr>
                <w:sz w:val="20"/>
                <w:szCs w:val="20"/>
                <w:color w:val="auto"/>
              </w:rPr>
            </w:pPr>
            <w:r>
              <w:rPr>
                <w:rFonts w:ascii="Arial" w:cs="Arial" w:eastAsia="Arial" w:hAnsi="Arial"/>
                <w:sz w:val="18"/>
                <w:szCs w:val="18"/>
                <w:color w:val="auto"/>
                <w:w w:val="91"/>
              </w:rPr>
              <w:t>91 – 120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6.1%</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7.5%</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150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151</w:t>
            </w:r>
          </w:p>
        </w:tc>
        <w:tc>
          <w:tcPr>
            <w:tcW w:w="2260" w:type="dxa"/>
            <w:vAlign w:val="bottom"/>
          </w:tcPr>
          <w:p>
            <w:pPr>
              <w:ind w:left="40"/>
              <w:spacing w:after="0"/>
              <w:rPr>
                <w:sz w:val="20"/>
                <w:szCs w:val="20"/>
                <w:color w:val="auto"/>
              </w:rPr>
            </w:pPr>
            <w:r>
              <w:rPr>
                <w:rFonts w:ascii="Arial" w:cs="Arial" w:eastAsia="Arial" w:hAnsi="Arial"/>
                <w:sz w:val="18"/>
                <w:szCs w:val="18"/>
                <w:color w:val="auto"/>
              </w:rPr>
              <w:t>– 180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3.9%</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270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7.4%</w:t>
            </w:r>
          </w:p>
        </w:tc>
      </w:tr>
      <w:tr>
        <w:trPr>
          <w:trHeight w:val="243"/>
        </w:trPr>
        <w:tc>
          <w:tcPr>
            <w:tcW w:w="2100" w:type="dxa"/>
            <w:vAlign w:val="bottom"/>
          </w:tcPr>
          <w:p>
            <w:pPr>
              <w:jc w:val="right"/>
              <w:spacing w:after="0"/>
              <w:rPr>
                <w:sz w:val="20"/>
                <w:szCs w:val="20"/>
                <w:color w:val="auto"/>
              </w:rPr>
            </w:pPr>
            <w:r>
              <w:rPr>
                <w:rFonts w:ascii="Arial" w:cs="Arial" w:eastAsia="Arial" w:hAnsi="Arial"/>
                <w:sz w:val="18"/>
                <w:szCs w:val="18"/>
                <w:color w:val="auto"/>
              </w:rPr>
              <w:t>271</w:t>
            </w:r>
          </w:p>
        </w:tc>
        <w:tc>
          <w:tcPr>
            <w:tcW w:w="2260" w:type="dxa"/>
            <w:vAlign w:val="bottom"/>
          </w:tcPr>
          <w:p>
            <w:pPr>
              <w:ind w:left="40"/>
              <w:spacing w:after="0"/>
              <w:rPr>
                <w:sz w:val="20"/>
                <w:szCs w:val="20"/>
                <w:color w:val="auto"/>
              </w:rPr>
            </w:pPr>
            <w:r>
              <w:rPr>
                <w:rFonts w:ascii="Arial" w:cs="Arial" w:eastAsia="Arial" w:hAnsi="Arial"/>
                <w:sz w:val="18"/>
                <w:szCs w:val="18"/>
                <w:color w:val="auto"/>
              </w:rPr>
              <w:t>– 360</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1.3%</w:t>
            </w:r>
          </w:p>
        </w:tc>
      </w:tr>
      <w:tr>
        <w:trPr>
          <w:trHeight w:val="27"/>
        </w:trPr>
        <w:tc>
          <w:tcPr>
            <w:tcW w:w="436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Over 360</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r>
      <w:tr>
        <w:trPr>
          <w:trHeight w:val="27"/>
        </w:trPr>
        <w:tc>
          <w:tcPr>
            <w:tcW w:w="2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above table excludes the percentage of net accounts receivable outstanding by aging category for certain foreign operations, BeaconLBS, and the nutritional chemistry and food safety business. Combined these net accounts receivable balances comprise less than 10.8% of LCD's total net accounts receivable balances. The Company believes that including the agings of the accounts receivable for these businesses would not be representative of the majority of accounts receivable by aging category for LCD. The majority of the accounts receivable for the foreign operations, BeaconLBS, and the nutritional chemistry and food safety business are generally paid within 30 to 60 days of billing.</w:t>
      </w:r>
    </w:p>
    <w:p>
      <w:pPr>
        <w:spacing w:after="0" w:line="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CDD endeavors to assess and monitor the creditworthiness of its customers to which it grants credit terms in the ordinary course of business. CDD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 The allowance for doubtful accounts amounted to $2.3 and $2.8 at December 31, 2017, and 2016,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3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a defined-benefit retirement plan (Company Plan) and a non-qualified supplemental retirement plan (PEP). In October 2009, the Company received approval from its board of directors to freeze any additional service-based credits for any years of service after December 31, 2009, on the Company Plan and the PEP. Both plans have been closed to new participants. Employees participating in the Company Plan and the PEP no longer earn service-based credits, but continue to earn interest credits. In addition, effective January 1, 2010, all employees eligible for the defined-contribution retirement plan (401K Plan) receive a minimum 3% non-elective contribution (NEC) concurrent with each payroll period. The 401K Plan also permits discretionary contributions by the Company of up to 1% and up to 3% of pay for eligible employees, based on service.</w:t>
      </w:r>
    </w:p>
    <w:p>
      <w:pPr>
        <w:spacing w:after="0" w:line="8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Plan covers substantially all employees employed by the Company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PEP covers a portion of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70"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 addition, as a result of the Covance acquisition, the Company has a frozen non-qualified Supplemental Executive Retirement Plan (SERP). The SERP, which is not funded, is intended to provide retirement benefits for certain employees who were executive officers of Covance prior to the Covance acquisition. Benefit amounts are based upon years of service and compensation of the participating employees. As a result of the Covance acquisition, the Company also sponsors two defined-benefit pension plans for the benefit of its employees at two U.K. subsidiaries (U.K. Plans) and one defined-benefit pension plan for the benefit of its employees at a German subsidiary (German Plan), all of which are legacy plans of previously acquired companies and are closed to new entrants. Benefit amounts for all three plans are based upon years of service and compensation. The German Plan is unfunded while the U.K. Plans are funded. The Company’s funding policy for the U.K. Plans has been to contribute annually amounts at least equal to the local statutory funding requirements.</w:t>
      </w:r>
    </w:p>
    <w:p>
      <w:pPr>
        <w:spacing w:after="0" w:line="98"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defined-benefit retirement plans were a 3.7% discount rate and a 6.8% expected long-term rate of return on plan assets for the Company Plan, a 3.7% discount rate for the PEP, a 4.2% discount rate for the SERP, a 1.7% discount rate and a 2.0% expected salary increase for the German plan and a 2.7% discount rate and a 3.8% expected salary increase for the U.K. Plans as of December 31, 2017.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31"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at which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2017 retirement plan expense of $1.5 for the Company Plan and PEP. A one percentage point decrease or increase in the discount rate would have resulted in a respective increase or decrease in 2017 retirement plan expense of $1.1 for the U.K.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13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2017 pension expense of $2.4 for the Company Plan. A one percentage point increase or decrease in the expected return on plan assets would have resulted in a corresponding change in 2017 pension expense of $2.4 for the U.K. Plans.</w:t>
      </w:r>
    </w:p>
    <w:p>
      <w:pPr>
        <w:spacing w:after="0" w:line="6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Net pension cost for 2017 was $14.6 as compared with $14.9 in 2016 and $12.0 in 2015. The increase in pension expense was due to increases in the amount of net amortization and deferral as a result of lower discount rates. Pension expense for the Company Plan and the PEP is expected to increase to $13.3 in 2018 as a result of a lower assumed discount rate and changes in participant mortality tables. Pension expense for the Germany Plan and the U.K. Plans is expected to increase to $0.1 in 2018 as a result of changes in participant mortality tables.</w:t>
      </w:r>
    </w:p>
    <w:p>
      <w:pPr>
        <w:spacing w:after="0" w:line="92" w:lineRule="exact"/>
        <w:rPr>
          <w:sz w:val="20"/>
          <w:szCs w:val="20"/>
          <w:color w:val="auto"/>
        </w:rPr>
      </w:pPr>
    </w:p>
    <w:p>
      <w:pPr>
        <w:ind w:right="1320" w:firstLine="270"/>
        <w:spacing w:after="0" w:line="391" w:lineRule="auto"/>
        <w:rPr>
          <w:sz w:val="20"/>
          <w:szCs w:val="20"/>
          <w:color w:val="auto"/>
        </w:rPr>
      </w:pPr>
      <w:r>
        <w:rPr>
          <w:rFonts w:ascii="Arial" w:cs="Arial" w:eastAsia="Arial" w:hAnsi="Arial"/>
          <w:sz w:val="18"/>
          <w:szCs w:val="18"/>
          <w:color w:val="auto"/>
        </w:rPr>
        <w:t xml:space="preserve">Further information on the Company’s defined-benefit retirement plans is provided in Note 16 to the Consolidated Financial Statements. </w:t>
      </w:r>
      <w:r>
        <w:rPr>
          <w:rFonts w:ascii="Arial" w:cs="Arial" w:eastAsia="Arial" w:hAnsi="Arial"/>
          <w:sz w:val="18"/>
          <w:szCs w:val="18"/>
          <w:b w:val="1"/>
          <w:bCs w:val="1"/>
          <w:i w:val="1"/>
          <w:iCs w:val="1"/>
          <w:color w:val="auto"/>
        </w:rPr>
        <w:t>Accruals for Self-Insurance Reserves</w:t>
      </w:r>
    </w:p>
    <w:p>
      <w:pPr>
        <w:spacing w:after="0" w:line="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87" w:lineRule="exact"/>
        <w:rPr>
          <w:sz w:val="20"/>
          <w:szCs w:val="20"/>
          <w:color w:val="auto"/>
        </w:rPr>
      </w:pPr>
    </w:p>
    <w:p>
      <w:pPr>
        <w:jc w:val="both"/>
        <w:ind w:firstLine="207"/>
        <w:spacing w:after="0" w:line="279" w:lineRule="auto"/>
        <w:rPr>
          <w:sz w:val="20"/>
          <w:szCs w:val="20"/>
          <w:color w:val="auto"/>
        </w:rPr>
      </w:pPr>
      <w:r>
        <w:rPr>
          <w:rFonts w:ascii="Arial" w:cs="Arial" w:eastAsia="Arial" w:hAnsi="Arial"/>
          <w:sz w:val="17"/>
          <w:szCs w:val="17"/>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77" w:lineRule="exact"/>
        <w:rPr>
          <w:sz w:val="20"/>
          <w:szCs w:val="20"/>
          <w:color w:val="auto"/>
        </w:rPr>
      </w:pPr>
    </w:p>
    <w:p>
      <w:pPr>
        <w:ind w:right="380" w:firstLine="216"/>
        <w:spacing w:after="0" w:line="391" w:lineRule="auto"/>
        <w:rPr>
          <w:sz w:val="20"/>
          <w:szCs w:val="20"/>
          <w:color w:val="auto"/>
        </w:rPr>
      </w:pPr>
      <w:r>
        <w:rPr>
          <w:rFonts w:ascii="Arial" w:cs="Arial" w:eastAsia="Arial" w:hAnsi="Arial"/>
          <w:sz w:val="18"/>
          <w:szCs w:val="18"/>
          <w:color w:val="auto"/>
        </w:rPr>
        <w:t xml:space="preserve">If actual trends differ from these estimates, the financial results could be impacted. Historical trends have not differed materially from these estimates.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fourth quarter of 2017, the Company recorded the estimated impact of the TCJA, which resulted in a favorable remeasurement of deferred taxes, partially offset by the deemed repatriation tax. Given the significant changes resulting from the TCJA, the estimated financial impact is provisional and subject to further clarification, which could result in changes to these estimates in 2018.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 In accordance with updates to the FASB's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quantitative assessment. Similarly, a company can proceed directly to a quantitative assessment in the case of impairment testing for indefinite-lived intangible assets as well.</w:t>
      </w:r>
    </w:p>
    <w:p>
      <w:pPr>
        <w:spacing w:after="0" w:line="9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quantitative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An entity should recognize an impairment charge for the amount by which the carrying amount exceeds the reporting unit’s fair value; however, the loss recognized should not exceed the total amount of goodwill allocated to that reporting unit.</w:t>
      </w:r>
    </w:p>
    <w:p>
      <w:pPr>
        <w:spacing w:after="0" w:line="8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94"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2017. The Company elected to perform the qualitative assessment for goodwill and intangible assets for all reporting units except the Canadian reporting unit and its indefinite-lived assets consisting of acquired Canadian licenses for which a quantitative assessment was performed.</w:t>
      </w:r>
    </w:p>
    <w:p>
      <w:pPr>
        <w:spacing w:after="0" w:line="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2017 will prove to be accurate predictions of the future, if, for example, (i) the businesses do not perform as projected, (ii) overall economic conditions in 2018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The Company will particularly monitor the financial performance of and assumptions for two of the CDD reporting units for which an income approach was performed in 2017.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Item 1A Risk Factors, and in the Company’s other public filings, press releases and discussion with Company management, including:</w:t>
      </w:r>
    </w:p>
    <w:p>
      <w:pPr>
        <w:spacing w:after="0" w:line="206" w:lineRule="exact"/>
        <w:rPr>
          <w:sz w:val="20"/>
          <w:szCs w:val="20"/>
          <w:color w:val="auto"/>
        </w:rPr>
      </w:pPr>
    </w:p>
    <w:p>
      <w:pPr>
        <w:jc w:val="both"/>
        <w:ind w:left="66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 and third-party payer regulations, reimbursement, or coverage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Protecting Access to Medicare Act of 2014 (PAMA);</w:t>
      </w:r>
    </w:p>
    <w:p>
      <w:pPr>
        <w:spacing w:after="0" w:line="78"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monetary damages, fines, penalties, assessments, refunds, repayments, unanticipated compliance expenditures and/or exclusion or disbarment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7"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national, state or local privacy and security laws and regulations, including the Health Insurance Portability and Accountability Act of 1996, the Health Information Technology for Economic and Clinical Health Act, the European Union's General Data Protection Regulation and similar laws and regulations in jurisdictions in which the Company conducts business;</w:t>
      </w:r>
    </w:p>
    <w:p>
      <w:pPr>
        <w:spacing w:after="0" w:line="7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applicable national, state or local licensing laws or regulations regarding the operation of clinical laboratories and the delivery of clinical laboratory test results, including, but not limited to, the U.S. Clinical Laboratory Improvement Act of 1967 and the Clinical Laboratory Improvement Amendments of 1988 and similar laws and regulations in jurisdictions in which the Company conducts business;</w:t>
      </w:r>
    </w:p>
    <w:p>
      <w:pPr>
        <w:spacing w:after="0" w:line="7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national, state or local occupational and workplace safety laws and regulations, including the U.S. Occupational Safety and Health Administration requirements and the U.S. Needlestick Safety and Prevention Act and similar laws and regulations in jurisdictions in which the Company conducts business;</w:t>
      </w:r>
    </w:p>
    <w:p>
      <w:pPr>
        <w:spacing w:after="0" w:line="7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similar national, state and local laws and regulations in jurisdictions in which the Company conducts business;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national, state or local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U.K., the China Food and Drug Administration, the Pharmaceutical and Medical Devices Agency in Japan, the European Medicines Agency and similar regulations and policies of agencies in jurisdictions in which the Company conducts business;</w:t>
      </w:r>
    </w:p>
    <w:p>
      <w:pPr>
        <w:spacing w:after="0" w:line="64"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government regulations or reimbursement pertaining to the biopharmaceutical and medical device and diagnostic industries, changes in reimbursement of biopharmaceutical products or reduced spending on research and development by biopharmaceutical customers;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and consumerism, competitive bidding and/or changes or reductions to fee schedules and competition from companies that do not comply with existing laws or regulations or otherwise disregard compliance standards in the industry;</w:t>
      </w:r>
    </w:p>
    <w:p>
      <w:pPr>
        <w:spacing w:after="0" w:line="7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an increased level of member cost-sharing, and adverse changes in payer reimbursement or payer coverage policies (implemented directly or through a third party utilization management organization) related to specific diagnostic tests, categories of testing or testing methodologies;</w:t>
      </w:r>
    </w:p>
    <w:p>
      <w:pPr>
        <w:spacing w:after="0" w:line="7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retain or attract managed care organization (MCO) business as a result of changes in business models, including new risk based or network approaches, out-sourced Laboratory Network Management or Utilization Management companies, or other changes in strategy or business models by MCOs;</w:t>
      </w:r>
    </w:p>
    <w:p>
      <w:pPr>
        <w:spacing w:after="0" w:line="7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consolidation and convergence of MCOs, biopharmaceutical companies, health systems, large physician organizations and other customers, potentially causing material shifts in insourcing, utilization, pricing and reimbursements, including full and partial risk based models;</w:t>
      </w:r>
    </w:p>
    <w:p>
      <w:pPr>
        <w:spacing w:after="0" w:line="3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 acquired businesses, and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arising from errors or omissions in the performance of contract research services or other contractual arrangements;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obtain, maintain and enforce intellectual property rights and defend against challenges to the Company’s intellectual property rights;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extremists or potential harm and/or liability arising from animal research activities or the provision of animal research products;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and maintain adequate patent and other proprietary rights for protection of the Company's products and services and successfully enforce the Company's proprietary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fires and/or other natural disasters, acts of war,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73"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failure in the Company's information technology systems, including with respect to testing turnaround time and billing processes, or the failure to maintain the security of business information or systems or to protect against cyber 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0"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and/or bad debt expense levels including a negative impact on the Company's reimbursement, cash collections and profitability arising from unfavorable changes in third-party payer policies, payment delays introduced by third party benefit management organizations and increasing levels of patient payment responsibility;</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impact on the Company's revenue,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the U.K. Bribery Act, other global anti-corruption laws and regulations, trade sanction laws and regulations, and economic, political, legal and other operational risks associated with foreign jurisdictions;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 including the TCJA; and</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including, but not limited to the United Kingdom's announced intention to exit from the European Union.</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ABOUT MARKET RISK (in millions)</w:t>
      </w:r>
    </w:p>
    <w:p>
      <w:pPr>
        <w:spacing w:after="0" w:line="25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Approximately 10.2% of the Company's net revenues for the year ended December 31, 2017 and approximately 10.3% of those for the year ended 2016 were denominated in currencies other than the U.S. dollar. The Company's financial statements are reported in U.S. dollars and, accordingly, fluctuations in exchange rates will affect the translation of revenues and expenses denominated in foreign currencies into U.S. dollars for purposes of reporting the Company's consolidated financial results. In both 2017 and 2016,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 dollars would have impacted income before income taxes for 2016 by approximately $2.3. Gross accumulated currency translation adjustments recorded as a separate component of shareholders’ equity were $262.3 and $(250.0) at December 31, 2017, and 2016, respectively. The Company does not have significant operations in countries in which the economy is considered to be highly inflationary.</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2017, the Company had 26 open foreign exchange forward contracts with various amounts maturing monthly through January 2018 with a notional value totaling approximately $360.5. At December 31, 2016, the Company had five open foreign exchange forward contracts with various amounts maturing monthly through January 2017 with a notional value totaling approximately $167.9.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20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Borrowings under the Company's term loan credit facilities and revolving credit facility are subject to variable interest rates, unless fixed through interest rate swaps or other agreements. As of December 31, 2017, and 2016, the Company had approximately $72.0 and $565.0, respectively, of unhedged variable rate debt under the 2014 term loan credit facility and $750.0 and $0.0, respectively, under the 2017 term loan credit facility.</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w:t>
      </w:r>
    </w:p>
    <w:p>
      <w:pPr>
        <w:spacing w:after="0" w:line="20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97" w:lineRule="exact"/>
        <w:rPr>
          <w:sz w:val="20"/>
          <w:szCs w:val="20"/>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 Ratings Services is BB- or lower.</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$2.1 per year for the Company's unhedged variable rate debt.</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to the </w:t>
      </w: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 xml:space="preserve"> and from the consolidated financial statements, related notes and supplementary data. See the Index on Page F-1.</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May 4, 2017, the Company completed the acquisition of Pathology Associates Medical Laboratories (PAML), and on September 1, 2017, the Company completed the acquisition of Chiltern International Group Limited (Chiltern). The Company’s management has extended its oversight and monitoring processes that support internal control over financial reporting to include PAML and Chiltern's operations. The Company’s management is continuing to integrate the acquired operations of PAML and Chiltern's into the Company’s overall internal control over financial reporting process. However, management has excluded PAML</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Chiltern from its assessment of internal controls over financial reporting set forth below. There have been no other changes in the Company’s internal control over financial reporting (as defined in Exchange Act Rules 13a-15(f) and 15d-15(f)) during the fiscal year ended December 31, 2017, that have materially affected, or are reasonably likely to materially affect, the Company’s internal control over financial reporting.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6"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7" w:lineRule="exact"/>
        <w:rPr>
          <w:sz w:val="20"/>
          <w:szCs w:val="20"/>
          <w:color w:val="auto"/>
        </w:rPr>
      </w:pPr>
    </w:p>
    <w:p>
      <w:pPr>
        <w:ind w:left="6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2017.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2017, the Company maintained effective internal control over financial reporting. Management reviewed the results of its assessment with the Audit Committee of the Company’s board of directors.</w:t>
      </w:r>
    </w:p>
    <w:p>
      <w:pPr>
        <w:spacing w:after="0" w:line="94"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On May 4, 2017, the Company completed the acquisition of PAML, and on September 1, 2017, the Company completed the acquisition of Chiltern. As a result, management has excluded PAML and Chiltern from its assessment of internal control over financial reporting. PAML and Chiltern are wholly-owned subsidiaries whose total assets and total revenues, excluded from management's assessment, represent 1.9% and 4.0%, respectively, of the related consolidated financial statement amounts as of and for the year ended December 31, 2017.</w:t>
      </w:r>
    </w:p>
    <w:p>
      <w:pPr>
        <w:spacing w:after="0" w:line="9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2017, as stated in its report, which is included herein immediately preceding the Company’s audited financial statements.</w:t>
      </w:r>
    </w:p>
    <w:p>
      <w:pPr>
        <w:spacing w:after="0" w:line="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David P. King </w:t>
      </w:r>
      <w:r>
        <w:rPr>
          <w:rFonts w:ascii="Arial" w:cs="Arial" w:eastAsia="Arial" w:hAnsi="Arial"/>
          <w:sz w:val="17"/>
          <w:szCs w:val="17"/>
          <w:color w:val="auto"/>
        </w:rPr>
        <w:t>- Mr. King (61) has served as chairman of the board, president, and chief executive officer of the Company since May 6, 2009; prior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date he served as a director, president, and chief executive officer of the Company since January 1, 2007. Mr. King served as executive vice president and chief operating officer from December 2005 to January 2007, as executive vice president of Strategic Planning and Corporate Development from January 2004 to December 2005 and was hired in September 2001 as senior vice president, general counsel, and chief compliance officer. Prior to joining the Company, he was a partner with Hogan &amp; Hartson LLP (now Hogan Lovells US LLP) in Baltimore, Maryland, from 1992 to 2001. Mr. King was appointed to the board of directors of Cardinal Health Inc. in 2011 and chairs its Human Resources and Compensation Committee. He also sits on the boards of directors of the Seattle Science Foundation and the American Clinical Laboratory Association, is board chair of PATH, Inc., on the boards of trustees of Elon University and Durham Academy, and on the advisory board for Duke University’s Robert J. Margolis, MD, Center for Health Policy. Mr. King has over 10 years’ experience with the Company in a variety of roles of increasing responsibility in corporate operations, strategic planning, and corporate administration. Mr. King has a deep</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understanding of the commercial laboratory industry, business strategy, sales and marketing, and executive management of the Company and its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Mr. King holds a bachelor’s degree, cum laude, from Princeton University and a J.D., cum laude, from the University of Pennsylvania Law School.</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Kerrii B. Anderson</w:t>
      </w:r>
      <w:r>
        <w:rPr>
          <w:rFonts w:ascii="Arial" w:cs="Arial" w:eastAsia="Arial" w:hAnsi="Arial"/>
          <w:sz w:val="22"/>
          <w:szCs w:val="22"/>
          <w:color w:val="auto"/>
          <w:vertAlign w:val="superscript"/>
        </w:rPr>
        <w:t>1,4</w:t>
      </w:r>
      <w:r>
        <w:rPr>
          <w:rFonts w:ascii="Arial" w:cs="Arial" w:eastAsia="Arial" w:hAnsi="Arial"/>
          <w:sz w:val="16"/>
          <w:szCs w:val="16"/>
          <w:b w:val="1"/>
          <w:bCs w:val="1"/>
          <w:color w:val="auto"/>
        </w:rPr>
        <w:t xml:space="preserve"> </w:t>
      </w:r>
      <w:r>
        <w:rPr>
          <w:rFonts w:ascii="Arial" w:cs="Arial" w:eastAsia="Arial" w:hAnsi="Arial"/>
          <w:sz w:val="16"/>
          <w:szCs w:val="16"/>
          <w:color w:val="auto"/>
        </w:rPr>
        <w:t>- Ms. Anderson (60) has served as a director of the Company since May 17, 2006. Ms. Anderson was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Wendy’s International Inc., a restaurant operating and franchising company, from April 2006 until September 2008, when the company was merged with Triarc. Ms. Anderson served as executive vice president and chief financial officer of Wendy’s International from 2000 to 2006. Prior to this position, she was chief financial officer and senior vice president of M/I Schottenstein Homes Inc. from 1987 to 2000. Ms. Anderson served as the chairwoman of the board of Chiquita Brands International Inc. from October 2012 until the Company was sold on January 6, 2015, and was the chair of the Nominating and Corporate Governance Committee and a member of the Audit Committee. She is also a director and a member of the Compensation Committee and Audit Committee of Worthington Industries Inc. Ms. Anderson serves on the Financial Committee of The Columbus Foundation, and she is also a member of the board of trustees as well as the chair of the Finance and Audit Committee for Ohio Health. She is also the chairman of the board of trustees for Elon University, as well as a member of the Audit Committee for Elon. She also was a director of PF Chang’s China Bistro Inc. from 2010 until June 2012 and Wendy’s International from 2006 until September 30, 2008. She has a strong record of leadership in operations and strategy. Ms. Anderson is also an audit committee financial expert as a result of her experience as CEO and CFO of Wendy’s International. Through her service on other public company boards, Ms. Anderson brings extensive financial, corporate governance and executive compensation experience to the Company’s board.</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Jean-Luc Bélingard</w:t>
      </w:r>
      <w:r>
        <w:rPr>
          <w:rFonts w:ascii="Arial" w:cs="Arial" w:eastAsia="Arial" w:hAnsi="Arial"/>
          <w:sz w:val="24"/>
          <w:szCs w:val="24"/>
          <w:color w:val="auto"/>
          <w:vertAlign w:val="superscript"/>
        </w:rPr>
        <w:t>2,3</w:t>
      </w:r>
      <w:r>
        <w:rPr>
          <w:rFonts w:ascii="Arial" w:cs="Arial" w:eastAsia="Arial" w:hAnsi="Arial"/>
          <w:sz w:val="17"/>
          <w:szCs w:val="17"/>
          <w:b w:val="1"/>
          <w:bCs w:val="1"/>
          <w:color w:val="auto"/>
        </w:rPr>
        <w:t xml:space="preserve"> </w:t>
      </w:r>
      <w:r>
        <w:rPr>
          <w:rFonts w:ascii="Arial" w:cs="Arial" w:eastAsia="Arial" w:hAnsi="Arial"/>
          <w:sz w:val="17"/>
          <w:szCs w:val="17"/>
          <w:color w:val="auto"/>
        </w:rPr>
        <w:t>- Mr. Bélingard (69) has served as a director of the Company since April 28, 1995. Mr. Bélingard was chairman of bioMérieux, the</w:t>
      </w:r>
      <w:r>
        <w:rPr>
          <w:rFonts w:ascii="Arial" w:cs="Arial" w:eastAsia="Arial" w:hAnsi="Arial"/>
          <w:sz w:val="17"/>
          <w:szCs w:val="17"/>
          <w:b w:val="1"/>
          <w:bCs w:val="1"/>
          <w:color w:val="auto"/>
        </w:rPr>
        <w:t xml:space="preserve"> </w:t>
      </w:r>
      <w:r>
        <w:rPr>
          <w:rFonts w:ascii="Arial" w:cs="Arial" w:eastAsia="Arial" w:hAnsi="Arial"/>
          <w:sz w:val="17"/>
          <w:szCs w:val="17"/>
          <w:color w:val="auto"/>
        </w:rPr>
        <w:t>worldwide leader of the IVD microbiology segment and a non-U.S. public company from 2011 to December 2017. Mr. Bélingard also served as chief executive officer of bioMérieux from July 2011 to April 2014. Mr. Bélingard retired as chairman and chief executive officer of Ipsen SA, a diversified French healthcare holding company, on November 22, 2010. He had served in that position since 2002. Prior to this position, Mr. Bélingard was chief executive officer from 1999 to 2001 of bioMérieux-Pierre Fabre, a diversified French healthcare holding company, where his responsibilities included the management of that company’s worldwide pharmaceutical and cosmetic business. From 1990 to 1999, Mr. Bélingard was CEO of Roche Diagnostics and a member of the Hoffman La Roche group Executive Committee. Mr. Bélingard is a director of the following non-U.S. public companies: Stallergenes Greer (U.K.) since 2011, Laboratoire Pierre Fabre (France) since 2013, and Lupin Limited (India) since October 27, 2015. Mr. Bélingard holds directorships at various Institut Mérieux Group companies, in particular at Institut Mérieux, the Group’s parent company, and at Transgene SA., a non-U.S. public company. Mr. Bélingard is a member of the Bill and Melinda Gates Foundation CEO Roundtable. Mr. Bélingard has been chairman of “FEFIS,” the French Federation of Health Industries (Fédération Française des Industries de Santé), since 2016, and, since January 2017, he has been a member of the Conseil National de l’Industrie (C.N.I.) chaired by the French government. Mr. Bélingard’s long tenure at Roche, Ipsen and bioMérieux demonstrates his valuable business, leadership and management experience, including leading a large organization with global operations. He brings a strong strategic and operational background to the Company’s board. He also brings an important international perspective to the board’s deliberations. Mr. Bélingard has extensive corporate governance experience through his service on other public company boards.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D. Gary Gilliland, M.D., Ph.D.</w:t>
      </w:r>
      <w:r>
        <w:rPr>
          <w:rFonts w:ascii="Arial" w:cs="Arial" w:eastAsia="Arial" w:hAnsi="Arial"/>
          <w:sz w:val="22"/>
          <w:szCs w:val="22"/>
          <w:color w:val="auto"/>
          <w:vertAlign w:val="superscript"/>
        </w:rPr>
        <w:t>1,3</w:t>
      </w:r>
      <w:r>
        <w:rPr>
          <w:rFonts w:ascii="Arial" w:cs="Arial" w:eastAsia="Arial" w:hAnsi="Arial"/>
          <w:sz w:val="16"/>
          <w:szCs w:val="16"/>
          <w:b w:val="1"/>
          <w:bCs w:val="1"/>
          <w:color w:val="auto"/>
        </w:rPr>
        <w:t xml:space="preserve"> </w:t>
      </w:r>
      <w:r>
        <w:rPr>
          <w:rFonts w:ascii="Arial" w:cs="Arial" w:eastAsia="Arial" w:hAnsi="Arial"/>
          <w:sz w:val="16"/>
          <w:szCs w:val="16"/>
          <w:color w:val="auto"/>
        </w:rPr>
        <w:t>- Dr. Gilliland (63) has served as a director of the Company since April 1, 2014. Since January 2, 2015, Dr. Gilliland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and director of the NCI-designated Fred Hutchinson Cancer Research Center in Seattle, Washington. Prior to that, he was the inaugural vice dean and vice president for precision medicine at the University of Pennsylvania Perelman School of Medicine from 2013 to January 2015, where he was responsible for synthesizing research and clinical-care initiatives across all medical disciplines, including cancer, heart and vascular medicine, neurosciences, genetics and pathology, in order to create a national model for the delivery of precise, personalized medicine. From 2009 until he joined Penn Medicine in October 2013, Dr. Gilliland was senior vice president of Merck Research Laboratories and Oncology Franchise head. At Merck, Dr. Gilliland oversaw first-in-human studies, proof-of-concept trials, and Phase II/III registration trials that included the development of pembrolizumab (anti-PD1) for the treatment of cancer, and managed all preclinical and clinical oncology licensing activities. Prior to joining Merck, Dr. Gilliland was a member of the faculty at Harvard Medical School for nearly 20 years, where he served as professor of medicine and a professor of stem cell and regenerative biology. He was also an investigator of the Howard Hughes Medical Institute from 1996 to 2009, director of the Leukemia Program at the Dana-Farber/Harvard Cancer Center from 2002 to 2009, and director of the Cancer Stem Cell Program of the Harvard Stem Cell Institute from 2004 to 2009. Dr. Gilliland has a Ph.D. in microbiology from UCLA and an M.D. from University of California San Francisco School of Medicine. He is board-certified in internal medicine and had his fellowship training in hematology and oncology, all at Harvard Medical School. Dr. Gilliland’s expertise in cancer genetics and his experience working within medical communities ranging from academia to the pharmaceutical industry position him to provide a practical and balanced perspective to the board.</w:t>
      </w:r>
    </w:p>
    <w:p>
      <w:pPr>
        <w:spacing w:after="0" w:line="20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color w:val="auto"/>
        </w:rPr>
        <w:t>Garheng Kong, M.D., Ph.D.</w:t>
      </w:r>
      <w:r>
        <w:rPr>
          <w:rFonts w:ascii="Arial" w:cs="Arial" w:eastAsia="Arial" w:hAnsi="Arial"/>
          <w:sz w:val="25"/>
          <w:szCs w:val="25"/>
          <w:color w:val="auto"/>
          <w:vertAlign w:val="superscript"/>
        </w:rPr>
        <w:t>2,4</w:t>
      </w:r>
      <w:r>
        <w:rPr>
          <w:rFonts w:ascii="Arial" w:cs="Arial" w:eastAsia="Arial" w:hAnsi="Arial"/>
          <w:sz w:val="18"/>
          <w:szCs w:val="18"/>
          <w:b w:val="1"/>
          <w:bCs w:val="1"/>
          <w:color w:val="auto"/>
        </w:rPr>
        <w:t xml:space="preserve"> </w:t>
      </w:r>
      <w:r>
        <w:rPr>
          <w:rFonts w:ascii="Arial" w:cs="Arial" w:eastAsia="Arial" w:hAnsi="Arial"/>
          <w:sz w:val="18"/>
          <w:szCs w:val="18"/>
          <w:color w:val="auto"/>
        </w:rPr>
        <w:t>- Dr. Kong (42) has served as a director of the Company since December 1, 2013. Dr. Kong is the managing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Sofinnova HealthQuest Capital, a healthcare focused investment firm, and was previously a general partner at Sofinnova Ventures, a position he held from 2010 to 2013. Before joining Sofinnova, Dr. Kong was a general partner from 2000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2010 at Intersouth Partners, a venture capital firm where he was a founding investor or board member for various life science ventures, several of which were acquired by large pharmaceutical companies. Prior to his investing career, Dr. Kong was employed by GlaxoSmithKline, McKinsey &amp; Company, and TherOx. Dr. Kong has served on the board of directors of public biotechnology companies Histogenics Corporation (since 2012), Melinta Therapeutics (since 2008 and chairman 2008 to 2017), Alimera Sciences (since 2012) and Strongbridge Biopharmaceuticals (since 2015). He also sits on the Duke University Medical Center board of visitors. Dr. Kong holds an M.D., a Ph.D. in biomedical engineering, and an MBA from Duke University. Dr. Kong brings to the board knowledge and experience in both the healthcare and finance fields based on his medical background and his work in life science-related venture capital.</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Robert E. Mittelstaedt, Jr</w:t>
      </w:r>
      <w:r>
        <w:rPr>
          <w:rFonts w:ascii="Arial" w:cs="Arial" w:eastAsia="Arial" w:hAnsi="Arial"/>
          <w:sz w:val="16"/>
          <w:szCs w:val="16"/>
          <w:color w:val="auto"/>
        </w:rPr>
        <w:t>.</w:t>
      </w:r>
      <w:r>
        <w:rPr>
          <w:rFonts w:ascii="Arial" w:cs="Arial" w:eastAsia="Arial" w:hAnsi="Arial"/>
          <w:sz w:val="22"/>
          <w:szCs w:val="22"/>
          <w:color w:val="auto"/>
          <w:vertAlign w:val="superscript"/>
        </w:rPr>
        <w:t>2,4</w:t>
      </w:r>
      <w:r>
        <w:rPr>
          <w:rFonts w:ascii="Arial" w:cs="Arial" w:eastAsia="Arial" w:hAnsi="Arial"/>
          <w:sz w:val="16"/>
          <w:szCs w:val="16"/>
          <w:b w:val="1"/>
          <w:bCs w:val="1"/>
          <w:color w:val="auto"/>
        </w:rPr>
        <w:t xml:space="preserve"> </w:t>
      </w:r>
      <w:r>
        <w:rPr>
          <w:rFonts w:ascii="Arial" w:cs="Arial" w:eastAsia="Arial" w:hAnsi="Arial"/>
          <w:sz w:val="16"/>
          <w:szCs w:val="16"/>
          <w:color w:val="auto"/>
        </w:rPr>
        <w:t>- Mr. Mittelstaedt, Jr. (74) has served as a director of the Company since November 1996. Mr. Mittelstaedt is dean emeritus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W. P. Carey School of Business at Arizona State University, where he served as dean and professor of management from 2004 to 2013. Prior to June 30, 2004, he was vice dean of executive education of The Wharton School, University of Pennsylvania. Mr. Mittelstaedt had served with The Wharton School since 1973, with the exception of the period from 1985 to 1989 when he founded, served as chief executive officer of, and subsequently sold, Intellego Inc., a company engaged in practice management, systems development, and service bureau billing operations in the medical industry. Mr. Mittelstaedt also serves as a lead independent director and Nominating and Governance Committee chair of Innovative Solutions and Support Inc. He served on the board and was the Compensation Committee chair of W.P. Carey Inc. until his retirement on September 21, 2016. Mr. Mittelstaedt brings to the board experience as a recognized expert in business strategy, corporate governance and executive compensation issues. Mr. Mittelstaedt serves as the board’s lead independent director and brings a deep understanding of the role of the board and its oversight of corporate governance and business strategy.</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Peter M. Neupert</w:t>
      </w:r>
      <w:r>
        <w:rPr>
          <w:rFonts w:ascii="Arial" w:cs="Arial" w:eastAsia="Arial" w:hAnsi="Arial"/>
          <w:sz w:val="24"/>
          <w:szCs w:val="24"/>
          <w:color w:val="auto"/>
          <w:vertAlign w:val="superscript"/>
        </w:rPr>
        <w:t>1,4</w:t>
      </w:r>
      <w:r>
        <w:rPr>
          <w:rFonts w:ascii="Arial" w:cs="Arial" w:eastAsia="Arial" w:hAnsi="Arial"/>
          <w:sz w:val="17"/>
          <w:szCs w:val="17"/>
          <w:b w:val="1"/>
          <w:bCs w:val="1"/>
          <w:color w:val="auto"/>
        </w:rPr>
        <w:t xml:space="preserve"> </w:t>
      </w:r>
      <w:r>
        <w:rPr>
          <w:rFonts w:ascii="Arial" w:cs="Arial" w:eastAsia="Arial" w:hAnsi="Arial"/>
          <w:sz w:val="17"/>
          <w:szCs w:val="17"/>
          <w:color w:val="auto"/>
        </w:rPr>
        <w:t>- Mr. Neupert (61) has served as a director of the Company since January 2013. Mr. Neupert was an operating partner at Health</w:t>
      </w:r>
      <w:r>
        <w:rPr>
          <w:rFonts w:ascii="Arial" w:cs="Arial" w:eastAsia="Arial" w:hAnsi="Arial"/>
          <w:sz w:val="17"/>
          <w:szCs w:val="17"/>
          <w:b w:val="1"/>
          <w:bCs w:val="1"/>
          <w:color w:val="auto"/>
        </w:rPr>
        <w:t xml:space="preserve"> </w:t>
      </w:r>
      <w:r>
        <w:rPr>
          <w:rFonts w:ascii="Arial" w:cs="Arial" w:eastAsia="Arial" w:hAnsi="Arial"/>
          <w:sz w:val="17"/>
          <w:szCs w:val="17"/>
          <w:color w:val="auto"/>
        </w:rPr>
        <w:t>Evolution Partners, a health only, middle market private equity firm, from January 2012 until June 2015. Prior to that, Mr. Neupert served as corporate vice president of the Microsoft Health Solutions Group from its formation in 2005 to January 2012. Mr. Neupert served on the President’s Information Technology Advisory Committee (PITAC), co-chairing the Health Information Technology Subcommittee and helping to drive the “Revolutionizing Health Care Through Information Technology” report, published in June 2004. Mr. Neupert served as the founding president and chief executive officer of drugstore.com from 1998 to 2001 and as chairman of the board of directors through September 2004. Mr. Neupert is also a director of Clinithink Ltd., Adaptive Biotechnologies Inc. and higi LLC. He served on the board of directors of QSI from August 2013 to January 2014 and Freedom Innovations LLC from May 2013 to April 2016. He serves as a trustee for the Fred Hutchinson Cancer Research Center and was an active member of the Institute of Medicine’s Roundtable on Value &amp; Science-Driven Healthcare from 2007 to 2011. Mr. Neupert brings to the board experience as a recognized expert in health information technology and perspective on how to grow shareholder value by leveraging business strategies with technology. Mr. Neupert is an audit committee financial expert as a result of his experience, including his experience as CEO and chairman of drugstore.com. His prior experience as a public company CEO and board member of both private and public companies brings practical insight to the board with respect to business strategy, corporate governance, and emerging trends in healthcare. Mr. Neupert’s previous business experience also enables him to provide the board with an understanding of businesses and services adjacent to the diagnostic testing industry.</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Richelle Parham</w:t>
      </w:r>
      <w:r>
        <w:rPr>
          <w:rFonts w:ascii="Arial" w:cs="Arial" w:eastAsia="Arial" w:hAnsi="Arial"/>
          <w:sz w:val="22"/>
          <w:szCs w:val="22"/>
          <w:color w:val="auto"/>
          <w:vertAlign w:val="superscript"/>
        </w:rPr>
        <w:t>1,4</w:t>
      </w:r>
      <w:r>
        <w:rPr>
          <w:rFonts w:ascii="Arial" w:cs="Arial" w:eastAsia="Arial" w:hAnsi="Arial"/>
          <w:sz w:val="16"/>
          <w:szCs w:val="16"/>
          <w:b w:val="1"/>
          <w:bCs w:val="1"/>
          <w:color w:val="auto"/>
        </w:rPr>
        <w:t xml:space="preserve"> - </w:t>
      </w:r>
      <w:r>
        <w:rPr>
          <w:rFonts w:ascii="Arial" w:cs="Arial" w:eastAsia="Arial" w:hAnsi="Arial"/>
          <w:sz w:val="16"/>
          <w:szCs w:val="16"/>
          <w:color w:val="auto"/>
        </w:rPr>
        <w:t>Ms. Parham (50) has served as a director of the Company since February 8, 2016. In October 2016, Ms. Parham joined Camden</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a private equity firm, as a general partner focusing on investments in growth stage global consumer companies. Prior to Camden Partners, Ms. Parham served as vice president and chief marketing officer of eBay from November 2010 to March 2015. Ms. Parham was responsible, globally, for eBay brand strategy and brand marketing to reach 108+ million active eBay users, as well as, for internet marketing and for customer relationship management. Prior to joining eBay, Ms. Parham served as head of global marketing innovation and Initiatives and head of Global Marketing Services at Visa Inc. from 2008 to 2010. Her experience also includes 13 years at Digitas Inc., a leading marketing agency, where she held a variety of senior leadership roles, including senior vice president and general manager of the agency's Chicago office. An advocate of empowering female leaders through STEM programs, Ms. Parham is on the advisory board for Girls Who Code. She serves on the board of directors for Scripps Network Interactive Inc. (NYSE:SNI), a position she has held since 2012. Ms. Parham holds double Bachelor of Science degrees in business administration and design arts from Drexel University. She became a member of the Drexel University board of trustees in 2014. Ms. Parham brings to the board extensive senior-level executive experience and more than 20 years of global strategy and marketing experience, as well as expertise in understanding consumers and the consumer decision journey.</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Adam H. Schechter</w:t>
      </w:r>
      <w:r>
        <w:rPr>
          <w:rFonts w:ascii="Arial" w:cs="Arial" w:eastAsia="Arial" w:hAnsi="Arial"/>
          <w:sz w:val="22"/>
          <w:szCs w:val="22"/>
          <w:color w:val="auto"/>
          <w:vertAlign w:val="superscript"/>
        </w:rPr>
        <w:t>2,3</w:t>
      </w:r>
      <w:r>
        <w:rPr>
          <w:rFonts w:ascii="Arial" w:cs="Arial" w:eastAsia="Arial" w:hAnsi="Arial"/>
          <w:sz w:val="16"/>
          <w:szCs w:val="16"/>
          <w:b w:val="1"/>
          <w:bCs w:val="1"/>
          <w:color w:val="auto"/>
        </w:rPr>
        <w:t xml:space="preserve"> </w:t>
      </w:r>
      <w:r>
        <w:rPr>
          <w:rFonts w:ascii="Arial" w:cs="Arial" w:eastAsia="Arial" w:hAnsi="Arial"/>
          <w:sz w:val="16"/>
          <w:szCs w:val="16"/>
          <w:color w:val="auto"/>
        </w:rPr>
        <w:t>- Mr. Schechter (53) has served as a director of the Company since April 1, 2013. Mr. Schechter is an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Merck &amp; Co. Inc. and since 2010 has been president of Merck’s Global Human Health Division, which includes the company’s worldwide pharmaceutical and vaccine businesses. He is a member of Merck’s Executive Committee and Pharmaceutical and Vaccines Operating Committee. Prior to becoming president, Global Human Health, Mr. Schechter served as president, Global Pharmaceutical Business, from 2007 to 2010. Mr. Schechter’s extensive experience at Merck includes global and U.S.-focused leadership roles spanning sales, marketing, and managed markets, as well as business and product development. Mr. Schechter serves on the board of directors for the European Federation of Pharmaceutical Industries and Associations. He is a board member for Water.org and an executive board member for the National Alliance for Hispanic Health. Mr. Schechter brings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board global business acumen and general management experience, as well as demonstrated success in leading large, innovation-focused organizations. Mr. Schechter’s deep knowledge of the pharmaceutical and healthcare industries and extensive experience collaborating with many of its key stakeholders to achieve patient-focused outcomes bring practical insight to the board with respect to business strategies to service the changing healthcare environment.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R. Sanders Williams, M.D</w:t>
      </w:r>
      <w:r>
        <w:rPr>
          <w:rFonts w:ascii="Arial" w:cs="Arial" w:eastAsia="Arial" w:hAnsi="Arial"/>
          <w:sz w:val="17"/>
          <w:szCs w:val="17"/>
          <w:color w:val="auto"/>
        </w:rPr>
        <w:t>.</w:t>
      </w:r>
      <w:r>
        <w:rPr>
          <w:rFonts w:ascii="Arial" w:cs="Arial" w:eastAsia="Arial" w:hAnsi="Arial"/>
          <w:sz w:val="24"/>
          <w:szCs w:val="24"/>
          <w:color w:val="auto"/>
          <w:vertAlign w:val="superscript"/>
        </w:rPr>
        <w:t>1,3</w:t>
      </w:r>
      <w:r>
        <w:rPr>
          <w:rFonts w:ascii="Arial" w:cs="Arial" w:eastAsia="Arial" w:hAnsi="Arial"/>
          <w:sz w:val="17"/>
          <w:szCs w:val="17"/>
          <w:b w:val="1"/>
          <w:bCs w:val="1"/>
          <w:color w:val="auto"/>
        </w:rPr>
        <w:t xml:space="preserve"> </w:t>
      </w:r>
      <w:r>
        <w:rPr>
          <w:rFonts w:ascii="Arial" w:cs="Arial" w:eastAsia="Arial" w:hAnsi="Arial"/>
          <w:sz w:val="17"/>
          <w:szCs w:val="17"/>
          <w:color w:val="auto"/>
        </w:rPr>
        <w:t>- Dr. Williams, M.D. (69) has served as a director of the Company since May 16, 2007. Dr. Williams is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Gladstone Foundation and president emeritus of the Gladstone Institutes since January 1, 2018. Prior to this appointment, he was president of the Gladstone Institutes since 2009. Dr. Williams is also professor of medicine at the University of California San Francisco. Dr. Williams served Duke University between 2001 and 2010 as dean of the School of Medicine, senior vice chancellor, senior advisor for International Strategy, and founding dean of the Duke-NUS Graduate Medical School Singapore. He has served previously as president of the Association of University Cardiologists, chairman of the Research Committee of the American Heart Association, on the editorial boards of leading biomedical journals, on the Advisory Committee to the Director of the National Institutes of Health and on the board of External Advisors of the National Heart, Lung and Blood Institute. Dr. Williams was a director of Bristol-Meyers Squibb Company from 2006 until May 2013 and has been a director of Amgen since October 2014. Dr. Williams is a member of the National Academy of Medicine, and a Fellow of the American Association for the Advancement of Science. His experience as a physician, biomedical scientist, and executive leader brings important perspective to his service to the Company as a director.</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Committees:</w:t>
      </w:r>
    </w:p>
    <w:p>
      <w:pPr>
        <w:spacing w:after="0" w:line="72" w:lineRule="exact"/>
        <w:rPr>
          <w:sz w:val="20"/>
          <w:szCs w:val="20"/>
          <w:color w:val="auto"/>
        </w:rPr>
      </w:pPr>
    </w:p>
    <w:p>
      <w:pPr>
        <w:ind w:left="100" w:hanging="92"/>
        <w:spacing w:after="0"/>
        <w:tabs>
          <w:tab w:leader="none" w:pos="10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Audit</w:t>
      </w:r>
    </w:p>
    <w:p>
      <w:pPr>
        <w:ind w:left="100" w:hanging="92"/>
        <w:spacing w:after="0" w:line="187" w:lineRule="auto"/>
        <w:tabs>
          <w:tab w:leader="none" w:pos="10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Compensation</w:t>
      </w:r>
    </w:p>
    <w:p>
      <w:pPr>
        <w:ind w:left="100" w:hanging="92"/>
        <w:spacing w:after="0" w:line="180" w:lineRule="auto"/>
        <w:tabs>
          <w:tab w:leader="none" w:pos="10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Quality and Compliance</w:t>
      </w:r>
    </w:p>
    <w:p>
      <w:pPr>
        <w:ind w:left="100" w:hanging="92"/>
        <w:spacing w:after="0" w:line="188" w:lineRule="auto"/>
        <w:tabs>
          <w:tab w:leader="none" w:pos="10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Nominating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David P. King </w:t>
      </w:r>
      <w:r>
        <w:rPr>
          <w:rFonts w:ascii="Arial" w:cs="Arial" w:eastAsia="Arial" w:hAnsi="Arial"/>
          <w:sz w:val="18"/>
          <w:szCs w:val="18"/>
          <w:color w:val="auto"/>
        </w:rPr>
        <w:t>- Mr. King (61) serves as chairman of the board, president, and chief executive officer. Refer to the biography above in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section.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Glenn A. Eisenberg - </w:t>
      </w:r>
      <w:r>
        <w:rPr>
          <w:rFonts w:ascii="Arial" w:cs="Arial" w:eastAsia="Arial" w:hAnsi="Arial"/>
          <w:sz w:val="17"/>
          <w:szCs w:val="17"/>
          <w:color w:val="auto"/>
        </w:rPr>
        <w:t>Mr. Eisenberg (56) has served as executive vice president and chief financial officer since June 2014. Mr. Eisenberg received his</w:t>
      </w:r>
      <w:r>
        <w:rPr>
          <w:rFonts w:ascii="Arial" w:cs="Arial" w:eastAsia="Arial" w:hAnsi="Arial"/>
          <w:sz w:val="17"/>
          <w:szCs w:val="17"/>
          <w:b w:val="1"/>
          <w:bCs w:val="1"/>
          <w:color w:val="auto"/>
        </w:rPr>
        <w:t xml:space="preserve"> </w:t>
      </w:r>
      <w:r>
        <w:rPr>
          <w:rFonts w:ascii="Arial" w:cs="Arial" w:eastAsia="Arial" w:hAnsi="Arial"/>
          <w:sz w:val="17"/>
          <w:szCs w:val="17"/>
          <w:color w:val="auto"/>
        </w:rPr>
        <w:t>Bachelors of Arts degree from Tulane University in 1982 and his Master of Business Administration from Georgia State University in 1988. From 2002 until he joined the Company, he served as the executive vice president of finance and administration and chief financial officer at The Timken Company, a $4.3 billion leading global manufacturer of highly engineered bearings and alloy steels and related products and services. Previously, he served as president and chief operating officer of United Dominion Industries, now a subsidiary of SPX Corporation, after working in several roles in finance, including executive vice president and chief financial officer. Mr. Eisenberg serves on the board of directors of US Ecology Inc., and he served on the boards of directors of Family Dollar Stores Inc. until July 2015, where he chaired the Audit Committee; and Alpha Natural Resources Inc. until May 2015, where he was the lead independent director and chaired the Nominating and Corporate Governance Committee.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John D. Ratliff - </w:t>
      </w:r>
      <w:r>
        <w:rPr>
          <w:rFonts w:ascii="Arial" w:cs="Arial" w:eastAsia="Arial" w:hAnsi="Arial"/>
          <w:sz w:val="17"/>
          <w:szCs w:val="17"/>
          <w:color w:val="auto"/>
        </w:rPr>
        <w:t>Mr. Ratliff (58) is CEO of Covance Drug Development. Mr. Ratliff is a highly respected biopharmaceutical leader, with extensive</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increasingly important roles in the industry. Most recently, he served as president and CEO of HUYA Bioscience International, a leader in globalizing biopharmaceutical innovation. Mr. Ratliff’s experience in biopharmaceuticals also includes nearly 10 years at Quintiles (now known as IQVIA), joining as chief financial officer in 2004, becoming chief operating officer in 2006, and president and chief operating officer in 2010. He led Quintiles’ global services organization, with its clinical research, commercial, consulting, and lab operations, and was a member of the company’s board of directors. Mr. Ratliff is chairman of the board of directors of the Association of Clinical Research Organizations. Previous roles throughout his career also include serving as chief financial officer at Acterna, a provider of communications test solutions for telecommunications and cable network operators; and in positions of increasing responsibility during his 19-year tenure at IBM. Mr. Ratliff holds a bachelor’s degree in industrial and systems engineering from the Georgia Institute of Technology in Atlanta and an MBA from Duke University in Durham, North Carolina.</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Gary M. Huff - </w:t>
      </w:r>
      <w:r>
        <w:rPr>
          <w:rFonts w:ascii="Arial" w:cs="Arial" w:eastAsia="Arial" w:hAnsi="Arial"/>
          <w:sz w:val="17"/>
          <w:szCs w:val="17"/>
          <w:color w:val="auto"/>
        </w:rPr>
        <w:t>Mr. Huff (51) is CEO of LabCorp Diagnostics. Prior to becoming CEO, Huff served as the senior vice president of health systems and</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alliances for LabCorp Diagnostics. Before joining LabCorp, he was the president and CEO of Baylor Miraca Genetics Laboratories (BMGL), a $68 million precision medicine genetics and genomics company formed by Baylor College of Medicine and Miraca Holdings Inc. Before joining BMGL, Mr. Huff served as the executive vice president and chief operating officer of Solstas Lab Partners. Prior to Solstas, he was a senior executive for LabCorp. During his tenure, he held various leadership positions, including North Atlantic Division senior vice president, national toxicology vice president, associate vice president of sales and marketing operations, and executive director of business development for hospitals and strategic alliances. Mr. Huff started his career in the laboratory industry with Roche Biomedical Laboratories. He serves on the board of</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directors of the Alzheimer’s Association - Western Carolina Chapter, and he is a graduate of Indiana University with a Bachelor of Arts in general studies/psychology and has been certified in Lean Six Sigma.</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Lance V. Berberian - </w:t>
      </w:r>
      <w:r>
        <w:rPr>
          <w:rFonts w:ascii="Arial" w:cs="Arial" w:eastAsia="Arial" w:hAnsi="Arial"/>
          <w:sz w:val="16"/>
          <w:szCs w:val="16"/>
          <w:color w:val="auto"/>
        </w:rPr>
        <w:t>Mr. Berberian (55) has served as senior vice president and chief information officer since February 2014. Prior to that,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information officer at IDEXX Laboratories, a global leader in diagnostics and information technology solutions for animal health and food and water quality, from May 2007 to January 2014. Mr. Berberian served as chief information officer and president of Kellstrom Aerospace Defense, a fully integrated supply chain firm, from January 2000 to April 2007. He also served as chief information officer of Interim Healthcare from September 1997 to January 2000.</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Edward T. Dodson - </w:t>
      </w:r>
      <w:r>
        <w:rPr>
          <w:rFonts w:ascii="Arial" w:cs="Arial" w:eastAsia="Arial" w:hAnsi="Arial"/>
          <w:sz w:val="16"/>
          <w:szCs w:val="16"/>
          <w:color w:val="auto"/>
        </w:rPr>
        <w:t>Mr. Dodson (64) has served as senior vice president and chief accounting officer since June 2005. He also has served as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officer since December 2014. Mr. Dodson, who has been a certified public accountant for 35 years, joined the Company in August 1997 as vice president and corporate controller and became senior vice president in June 2001. Prior to joining the Company in 1997, Mr. Dodson was a senior manager in the audit and consulting practice of KPMG LLP., where he worked for 17 years in that firm's Greensboro, North Carolina and Brussels, Belgium, offices.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 Samuel Eberts III - </w:t>
      </w:r>
      <w:r>
        <w:rPr>
          <w:rFonts w:ascii="Arial" w:cs="Arial" w:eastAsia="Arial" w:hAnsi="Arial"/>
          <w:sz w:val="17"/>
          <w:szCs w:val="17"/>
          <w:color w:val="auto"/>
        </w:rPr>
        <w:t>Mr. Eberts (58) has served as senior vice president, chief legal officer, secretary, and chief compliance officer since January 1, 2009.</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that time, he served as senior vice president, and general counsel since August 2004. Prior to joining the Company, he was vice president, secretary, and general counsel of Stepan Company. Before joining Stepan Company, he was assistant general counsel for Cardinal Health Inc. from 1998 to 2001 and associate general counsel for Allegiance Healthcare Corporation (Allegiance Healthcare Corporation was purchased by Cardinal Health in 1998). Prior to that time, he was chief counsel of the Biotech North America division of Baxter International Inc.</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Lisa J. Uthgenannt - </w:t>
      </w:r>
      <w:r>
        <w:rPr>
          <w:rFonts w:ascii="Arial" w:cs="Arial" w:eastAsia="Arial" w:hAnsi="Arial"/>
          <w:sz w:val="17"/>
          <w:szCs w:val="17"/>
          <w:color w:val="auto"/>
        </w:rPr>
        <w:t>Ms. Uthgenannt (57) has served as chief human resources officer since March 2015. Prior to that she served as senior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for Covance since November 2010. Prior to joining Covance, Ms. Uthgenannt held numerous leadership positions at Johnson &amp; Johnson, in both medical devices and pharmaceutical businesses since 2000. In her last role as vice president of human resources for the comprehensive care sector, she served as a key adviser and executive coach to the worldwide chairman, helping to define the initial strategies and plans to advance the corporation’s comprehensive approach to chronic disease management. She also led the organization in designing and implementing a streamlined business model to increase product pipeline performance and accelerate growth opportunities.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Brian Caveney - </w:t>
      </w:r>
      <w:r>
        <w:rPr>
          <w:rFonts w:ascii="Arial" w:cs="Arial" w:eastAsia="Arial" w:hAnsi="Arial"/>
          <w:sz w:val="18"/>
          <w:szCs w:val="18"/>
          <w:color w:val="auto"/>
        </w:rPr>
        <w:t>Dr. Caveney (44) has served as senior vice president and chief medical officer since September 2017. In this role, he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the medical and scientific strategy of the enterprise. Most recently, Dr. Caveney was chief medical officer at Blue Cross and Blue Shield of North Carolina (Blue Cross NC) where he joined in 2011. In addition to various roles in the Healthcare Division of the core health plan, Dr. Caveney also served as chief clinical officer of Mosaic Health Solutions, a wholly owned subsidiary of Blue Cross NC for strategic investments in diversified health solutions businesses. Prior to joining Blue Cross NC, Dr. Caveney was a practicing physician and assistant professor at Duke University Medical Center and also provided consulting services for several companies in the Research Triangle Park, North Carolina, region. Dr. Caveney holds an M.D. from the West Virginia University School of Medicine, a J.D. from the West Virginia University College of Law and an M.P.H. in health policy and administration from the University of North Carolina at Chapel Hill. He completed his residency at Duke University Medical Center and is board-certified in preventive medicine, with a specialty in occupational and environmental medicine. He is the past president of the Southeastern Atlantic College of Occupational and Environmental Medicine.</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information regarding the executive officers and directors above, the information called for by this item is incorporated by reference to information in the 2018 Proxy Statement under the captions “Section 16(a) Beneficial Ownership Reporting Compliance,” “Corporate Governance Policies and Procedures - Code of Conduct and Ethics,” and “Corporate Governance”.</w:t>
      </w:r>
    </w:p>
    <w:p>
      <w:pPr>
        <w:spacing w:after="0" w:line="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2018 Proxy Statement under the captions “Executive Compensation” and “Director Compensation.”</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See “Note 14 to the Consolidated Financial Statements” for a discussion of the Company’s Stock Compensation Plans. Except for the above referenced footnote, the information called for by this item is incorporated by reference to information in the 2018 Proxy Statement under the captions “Security Ownership of Certain Beneficial Holders and Management,” “Compensation Discussion and Analysis” and “Executive Compensation.”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2018 Proxy Statement under the captions “Board Independence” and “Related Party Transactions.”</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2018 Proxy Statement under the caption “Fees to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71" w:lineRule="exact"/>
        <w:rPr>
          <w:rFonts w:ascii="Arial" w:cs="Arial" w:eastAsia="Arial" w:hAnsi="Arial"/>
          <w:sz w:val="18"/>
          <w:szCs w:val="18"/>
          <w:color w:val="auto"/>
        </w:rPr>
      </w:pPr>
    </w:p>
    <w:p>
      <w:pPr>
        <w:ind w:left="640" w:right="1299" w:hanging="605"/>
        <w:spacing w:after="0" w:line="454"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ind w:left="640" w:right="7319" w:hanging="605"/>
        <w:spacing w:after="0" w:line="510" w:lineRule="auto"/>
        <w:tabs>
          <w:tab w:leader="none" w:pos="6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Financial Statement Schedules: See Index on page F-1</w:t>
      </w:r>
    </w:p>
    <w:p>
      <w:pPr>
        <w:spacing w:after="0" w:line="1" w:lineRule="exact"/>
        <w:rPr>
          <w:rFonts w:ascii="Arial" w:cs="Arial" w:eastAsia="Arial" w:hAnsi="Arial"/>
          <w:sz w:val="16"/>
          <w:szCs w:val="16"/>
          <w:color w:val="auto"/>
        </w:rPr>
      </w:pPr>
    </w:p>
    <w:p>
      <w:pPr>
        <w:ind w:left="640" w:right="239"/>
        <w:spacing w:after="0" w:line="277" w:lineRule="auto"/>
        <w:rPr>
          <w:rFonts w:ascii="Arial" w:cs="Arial" w:eastAsia="Arial" w:hAnsi="Arial"/>
          <w:sz w:val="16"/>
          <w:szCs w:val="16"/>
          <w:color w:val="auto"/>
        </w:rPr>
      </w:pPr>
      <w:r>
        <w:rPr>
          <w:rFonts w:ascii="Arial" w:cs="Arial" w:eastAsia="Arial" w:hAnsi="Arial"/>
          <w:sz w:val="18"/>
          <w:szCs w:val="18"/>
          <w:color w:val="auto"/>
        </w:rPr>
        <w:t>All other schedules are omitted as they are inapplicable or the required information is furnished in the Consolidated Financial Statements or notes thereto.</w:t>
      </w:r>
    </w:p>
    <w:p>
      <w:pPr>
        <w:spacing w:after="0" w:line="129" w:lineRule="exact"/>
        <w:rPr>
          <w:rFonts w:ascii="Arial" w:cs="Arial" w:eastAsia="Arial" w:hAnsi="Arial"/>
          <w:sz w:val="16"/>
          <w:szCs w:val="16"/>
          <w:color w:val="auto"/>
        </w:rPr>
      </w:pPr>
    </w:p>
    <w:p>
      <w:pPr>
        <w:ind w:left="640" w:hanging="605"/>
        <w:spacing w:after="0"/>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374" w:lineRule="exact"/>
        <w:rPr>
          <w:sz w:val="20"/>
          <w:szCs w:val="20"/>
          <w:color w:val="auto"/>
        </w:rPr>
      </w:pPr>
    </w:p>
    <w:p>
      <w:pPr>
        <w:ind w:left="5620" w:right="1839" w:hanging="5615"/>
        <w:spacing w:after="0" w:line="559" w:lineRule="auto"/>
        <w:rPr>
          <w:sz w:val="20"/>
          <w:szCs w:val="20"/>
          <w:color w:val="auto"/>
        </w:rPr>
      </w:pPr>
      <w:r>
        <w:rPr>
          <w:rFonts w:ascii="Arial" w:cs="Arial" w:eastAsia="Arial" w:hAnsi="Arial"/>
          <w:sz w:val="18"/>
          <w:szCs w:val="18"/>
          <w:color w:val="auto"/>
        </w:rPr>
        <w:t>Exhibits 10.1 through 10.32 and 10.40 and 10.41 are management contracts or compensatory plans or arrangements. 76</w:t>
      </w:r>
    </w:p>
    <w:p>
      <w:pPr>
        <w:sectPr>
          <w:pgSz w:w="11900" w:h="16838" w:orient="portrait"/>
          <w:cols w:equalWidth="0" w:num="1">
            <w:col w:w="10219"/>
          </w:cols>
          <w:pgMar w:left="240" w:top="125"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3"/>
              </w:rPr>
            </w:pPr>
            <w:hyperlink r:id="rId14">
              <w:r>
                <w:rPr>
                  <w:rFonts w:ascii="Arial" w:cs="Arial" w:eastAsia="Arial" w:hAnsi="Arial"/>
                  <w:sz w:val="18"/>
                  <w:szCs w:val="18"/>
                  <w:color w:val="0000FF"/>
                  <w:w w:val="93"/>
                </w:rPr>
                <w:t>Asset Purchase Agreement, dated as of September 13, 2010, between the Company and Genzyme Corporation (incorporated herein by</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3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reference to Exhibit 2.1 to the Company's Current Report on Form 8-K filed on September 16, 2010).</w:t>
              </w:r>
            </w:hyperlink>
          </w:p>
        </w:tc>
        <w:tc>
          <w:tcPr>
            <w:tcW w:w="2900" w:type="dxa"/>
            <w:vAlign w:val="bottom"/>
            <w:gridSpan w:val="11"/>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2.2</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Agreement and Plan of Merger, dated as of November 2, 2014, among the Company, Covance, Inc. and Neon Merger Sub, Inc. (incorporated</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herein by reference to Exhibit 2.1 to the Company's Current Report on Form 8-K filed on November 3, 2014).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Amended and Restated Certificate of Incorporation of the Company dated May 24, 2001 (incorporated herein by reference to Exhibit 3.1 to</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8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the Company's Registration Statement on Form S-3, filed with the Commission on October 19, 2001, File No. 333-71896).</w:t>
              </w:r>
            </w:hyperlink>
          </w:p>
        </w:tc>
        <w:tc>
          <w:tcPr>
            <w:tcW w:w="1360" w:type="dxa"/>
            <w:vAlign w:val="bottom"/>
            <w:gridSpan w:val="8"/>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By-Laws of the Company dated January 4, 2017. * (incorporated herein by reference to Exhibit 3.1 of the Company's</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51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Quarterly Report on Form 10-Q for the period ended March 31, 2017).</w:t>
              </w:r>
            </w:hyperlink>
          </w:p>
        </w:tc>
        <w:tc>
          <w:tcPr>
            <w:tcW w:w="5120" w:type="dxa"/>
            <w:vAlign w:val="bottom"/>
            <w:gridSpan w:val="13"/>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Specimen of the Company's Common Stock Certificate (incorporated herein by reference to Exhibit 4.1 to the Company's Annual Report on</w:t>
              </w:r>
            </w:hyperlink>
          </w:p>
        </w:tc>
        <w:tc>
          <w:tcPr>
            <w:tcW w:w="40" w:type="dxa"/>
            <w:vAlign w:val="bottom"/>
            <w:gridSpan w:val="2"/>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Form 10-K for the fiscal year ended December 31, 2001).</w:t>
              </w:r>
            </w:hyperlink>
          </w:p>
        </w:tc>
        <w:tc>
          <w:tcPr>
            <w:tcW w:w="6060" w:type="dxa"/>
            <w:vAlign w:val="bottom"/>
            <w:gridSpan w:val="14"/>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Registration Rights Agreement, dated as of January 28, 2003, between the Company and the Initial Purchasers (incorporated herein by</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8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reference to Exhibit 10.1 to the Company's Current Report on Form 8-K, filed with the Commission on February 3, 2003).</w:t>
              </w:r>
            </w:hyperlink>
          </w:p>
        </w:tc>
        <w:tc>
          <w:tcPr>
            <w:tcW w:w="1400" w:type="dxa"/>
            <w:vAlign w:val="bottom"/>
            <w:gridSpan w:val="9"/>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Indenture, dated as of October 23, 2006, between the Company and The Bank of New York, as trustee, including the Form of Global Note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00" w:type="dxa"/>
            <w:vAlign w:val="bottom"/>
            <w:tcBorders>
              <w:bottom w:val="single" w:sz="8" w:color="0000FF"/>
            </w:tcBorders>
            <w:gridSpan w:val="19"/>
          </w:tcPr>
          <w:p>
            <w:pPr>
              <w:spacing w:after="0" w:line="196"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attached as Exhibit A thereto (incorporated herein by reference to Exhibit 4.1 to the Company's Current Report on Form 8-K filed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October 24, 2006).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Indenture, dated as of November 19, 2010, between the Company and U.S. Bank National Association, as trustee (incorporated herein by</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73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reference to Exhibit 4.1 to the Company's Current Report on Form 8-K filed on November 19, 2010).</w:t>
              </w:r>
            </w:hyperlink>
          </w:p>
        </w:tc>
        <w:tc>
          <w:tcPr>
            <w:tcW w:w="2920" w:type="dxa"/>
            <w:vAlign w:val="bottom"/>
            <w:gridSpan w:val="12"/>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Second Supplemental Indenture, dated as of November 19, 2010,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including the form of the 2020 Notes (incorporated herein by reference to Exhibit 4.3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November 19, 2010).</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Third Supplemental Indenture, dated as of August 23, 2012, between the Company and U.S. Bank National Association, as trustee, including</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the form of the 2017 Notes (incorporated herein by reference to Exhibit 4.2 to the Company's Current Report on Form 8-K filed on August</w:t>
              </w:r>
            </w:hyperlink>
          </w:p>
        </w:tc>
      </w:tr>
      <w:tr>
        <w:trPr>
          <w:trHeight w:val="196"/>
        </w:trPr>
        <w:tc>
          <w:tcPr>
            <w:tcW w:w="11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3">
              <w:r>
                <w:rPr>
                  <w:rFonts w:ascii="Arial" w:cs="Arial" w:eastAsia="Arial" w:hAnsi="Arial"/>
                  <w:sz w:val="18"/>
                  <w:szCs w:val="18"/>
                  <w:color w:val="0000FF"/>
                  <w:w w:val="88"/>
                </w:rPr>
                <w:t>23, 2012).</w:t>
              </w:r>
            </w:hyperlink>
          </w:p>
        </w:tc>
        <w:tc>
          <w:tcPr>
            <w:tcW w:w="5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4.7</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Fourth Supplemental Indenture, dated as of August 23, 2012,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including the form of the 2022 Notes (incorporated herein by reference to Exhibit 4.3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August 23, 2012).</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4.8</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Fifth Supplemental Indenture, dated as of November 1, 2013,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including the form of the 2018 Notes (incorporated herein by reference to Exhibit 4.2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November 1, 2013).</w:t>
              </w:r>
            </w:hyperlink>
          </w:p>
        </w:tc>
        <w:tc>
          <w:tcPr>
            <w:tcW w:w="8760" w:type="dxa"/>
            <w:vAlign w:val="bottom"/>
            <w:gridSpan w:val="16"/>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4.9</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Sixth Supplemental Indenture, dated as of November 1, 2013,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including the form of the 2023 Notes (incorporated herein by reference to Exhibit 4.3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November 1, 2013).</w:t>
              </w:r>
            </w:hyperlink>
          </w:p>
        </w:tc>
        <w:tc>
          <w:tcPr>
            <w:tcW w:w="8760" w:type="dxa"/>
            <w:vAlign w:val="bottom"/>
            <w:gridSpan w:val="16"/>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4.10</w:t>
            </w:r>
          </w:p>
        </w:tc>
        <w:tc>
          <w:tcPr>
            <w:tcW w:w="10220" w:type="dxa"/>
            <w:vAlign w:val="bottom"/>
            <w:gridSpan w:val="20"/>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Seventh Supplemental Indenture, dated as of January 30, 2015, between the Company and U.S. Bank National Association, as trustee,</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200" w:type="dxa"/>
            <w:vAlign w:val="bottom"/>
            <w:tcBorders>
              <w:left w:val="single" w:sz="8" w:color="0000FF"/>
            </w:tcBorders>
            <w:gridSpan w:val="10"/>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including the form of the 2020 Notes (incorporated herein by reference to Exhibit 4.2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4.11</w:t>
            </w:r>
          </w:p>
        </w:tc>
        <w:tc>
          <w:tcPr>
            <w:tcW w:w="10220" w:type="dxa"/>
            <w:vAlign w:val="bottom"/>
            <w:gridSpan w:val="20"/>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Eighth Supplemental Indenture, dated as of January 30, 2015, between the Company and U.S. Bank National Association, as trustee,</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200" w:type="dxa"/>
            <w:vAlign w:val="bottom"/>
            <w:tcBorders>
              <w:left w:val="single" w:sz="8" w:color="0000FF"/>
            </w:tcBorders>
            <w:gridSpan w:val="10"/>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including the form of the 2022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4.12</w:t>
            </w:r>
          </w:p>
        </w:tc>
        <w:tc>
          <w:tcPr>
            <w:tcW w:w="9560" w:type="dxa"/>
            <w:vAlign w:val="bottom"/>
            <w:tcBorders>
              <w:bottom w:val="single" w:sz="8" w:color="0000FF"/>
            </w:tcBorders>
            <w:gridSpan w:val="14"/>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Ninth Supplemental Indenture, dated as of January 30, 2015, between the Company and U.S. Bank National Association, as trustee,</w:t>
              </w:r>
            </w:hyperlink>
          </w:p>
        </w:tc>
        <w:tc>
          <w:tcPr>
            <w:tcW w:w="660" w:type="dxa"/>
            <w:vAlign w:val="bottom"/>
            <w:gridSpan w:val="6"/>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including the form of the 2025 Notes (incorporated herein by reference to Exhibit 4.4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4.13</w:t>
            </w:r>
          </w:p>
        </w:tc>
        <w:tc>
          <w:tcPr>
            <w:tcW w:w="9500" w:type="dxa"/>
            <w:vAlign w:val="bottom"/>
            <w:tcBorders>
              <w:bottom w:val="single" w:sz="8" w:color="0000FF"/>
            </w:tcBorders>
            <w:gridSpan w:val="13"/>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Tenth Supplemental Indenture, dated as of January 30, 2015, between the Company and U.S. Bank National Association, as trustee,</w:t>
              </w:r>
            </w:hyperlink>
          </w:p>
        </w:tc>
        <w:tc>
          <w:tcPr>
            <w:tcW w:w="720" w:type="dxa"/>
            <w:vAlign w:val="bottom"/>
            <w:gridSpan w:val="7"/>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including the form of the 2045 Notes (incorporated herein by reference to Exhibit 4.5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4.14</w:t>
            </w:r>
          </w:p>
        </w:tc>
        <w:tc>
          <w:tcPr>
            <w:tcW w:w="10220" w:type="dxa"/>
            <w:vAlign w:val="bottom"/>
            <w:gridSpan w:val="20"/>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Eleventh Supplemental Indenture, dated as of August 22, 2017,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968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including the form of the 2024 Notes (incorporated by reference to Exhibit 4.2 to the Company's Current Report on Form 8-K filed on</w:t>
              </w:r>
            </w:hyperlink>
          </w:p>
        </w:tc>
        <w:tc>
          <w:tcPr>
            <w:tcW w:w="5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August 22, 2017)</w:t>
              </w:r>
            </w:hyperlink>
          </w:p>
        </w:tc>
        <w:tc>
          <w:tcPr>
            <w:tcW w:w="8360" w:type="dxa"/>
            <w:vAlign w:val="bottom"/>
            <w:tcBorders>
              <w:top w:val="single" w:sz="8" w:color="0000FF"/>
            </w:tcBorders>
            <w:gridSpan w:val="12"/>
          </w:tcPr>
          <w:p>
            <w:pPr>
              <w:spacing w:after="0"/>
              <w:rPr>
                <w:sz w:val="17"/>
                <w:szCs w:val="17"/>
                <w:color w:val="auto"/>
              </w:rPr>
            </w:pPr>
          </w:p>
        </w:tc>
        <w:tc>
          <w:tcPr>
            <w:tcW w:w="560" w:type="dxa"/>
            <w:vAlign w:val="bottom"/>
            <w:gridSpan w:val="5"/>
          </w:tcPr>
          <w:p>
            <w:pPr>
              <w:spacing w:after="0"/>
              <w:rPr>
                <w:sz w:val="17"/>
                <w:szCs w:val="17"/>
                <w:color w:val="auto"/>
              </w:rPr>
            </w:pPr>
          </w:p>
        </w:tc>
      </w:tr>
      <w:tr>
        <w:trPr>
          <w:trHeight w:val="601"/>
        </w:trPr>
        <w:tc>
          <w:tcPr>
            <w:tcW w:w="1140" w:type="dxa"/>
            <w:vAlign w:val="bottom"/>
          </w:tcPr>
          <w:p>
            <w:pPr>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Twelfth Supplemental Indenture, dated as of August 22, 2017,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including the form of the 2027 Notes (incorporated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August 22,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8920" w:type="dxa"/>
            <w:vAlign w:val="bottom"/>
            <w:tcBorders>
              <w:left w:val="single" w:sz="8" w:color="0000FF"/>
            </w:tcBorders>
            <w:gridSpan w:val="17"/>
          </w:tcPr>
          <w:p>
            <w:pPr>
              <w:spacing w:after="0" w:line="20" w:lineRule="exact"/>
              <w:rPr>
                <w:sz w:val="1"/>
                <w:szCs w:val="1"/>
                <w:color w:val="auto"/>
              </w:rPr>
            </w:pPr>
          </w:p>
        </w:tc>
      </w:tr>
      <w:tr>
        <w:trPr>
          <w:trHeight w:val="27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Arial" w:cs="Arial" w:eastAsia="Arial" w:hAnsi="Arial"/>
                <w:sz w:val="18"/>
                <w:szCs w:val="18"/>
                <w:color w:val="auto"/>
                <w:w w:val="90"/>
              </w:rPr>
              <w:t>National Health Laboratories Incorporated Pension Equalization Plan (incorporated herein by reference to the Company's Annual Report on</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9"/>
          </w:tcPr>
          <w:p>
            <w:pPr>
              <w:spacing w:after="0"/>
              <w:rPr>
                <w:sz w:val="20"/>
                <w:szCs w:val="20"/>
                <w:color w:val="auto"/>
              </w:rPr>
            </w:pPr>
            <w:r>
              <w:rPr>
                <w:rFonts w:ascii="Arial" w:cs="Arial" w:eastAsia="Arial" w:hAnsi="Arial"/>
                <w:sz w:val="18"/>
                <w:szCs w:val="18"/>
                <w:color w:val="auto"/>
              </w:rPr>
              <w:t>Form 10-K for the fiscal year ended December 31, 1992).</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125" w:right="25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7"/>
        </w:trPr>
        <w:tc>
          <w:tcPr>
            <w:tcW w:w="42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Laboratory Corporation of America Holdings amended and restated new Pension Equalization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Exhibit 10.1 to the Company's Quarterly Report on Form 10-Q for the period ended September 30, 2004).</w:t>
              </w:r>
            </w:hyperlink>
          </w:p>
        </w:tc>
        <w:tc>
          <w:tcPr>
            <w:tcW w:w="24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10.3</w:t>
            </w:r>
          </w:p>
        </w:tc>
        <w:tc>
          <w:tcPr>
            <w:tcW w:w="880" w:type="dxa"/>
            <w:vAlign w:val="bottom"/>
          </w:tcPr>
          <w:p>
            <w:pPr>
              <w:spacing w:after="0"/>
              <w:rPr>
                <w:sz w:val="21"/>
                <w:szCs w:val="21"/>
                <w:color w:val="auto"/>
              </w:rPr>
            </w:pPr>
          </w:p>
        </w:tc>
        <w:tc>
          <w:tcPr>
            <w:tcW w:w="10100" w:type="dxa"/>
            <w:vAlign w:val="bottom"/>
            <w:tcBorders>
              <w:bottom w:val="single" w:sz="8" w:color="0000FF"/>
            </w:tcBorders>
            <w:gridSpan w:val="20"/>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First Amendment to the Laboratory Corporation of America Holdings amended and restated new Pension Equalization Plan (incorporated</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herein by reference to Exhibit 10.2 to the Company's Quarterly Report on Form 10-Q for the period ended September 30, 2004).</w:t>
              </w:r>
            </w:hyperlink>
          </w:p>
        </w:tc>
        <w:tc>
          <w:tcPr>
            <w:tcW w:w="860" w:type="dxa"/>
            <w:vAlign w:val="bottom"/>
            <w:gridSpan w:val="4"/>
          </w:tcPr>
          <w:p>
            <w:pPr>
              <w:spacing w:after="0"/>
              <w:rPr>
                <w:sz w:val="17"/>
                <w:szCs w:val="17"/>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21"/>
                <w:szCs w:val="21"/>
                <w:color w:val="auto"/>
              </w:rPr>
            </w:pPr>
          </w:p>
        </w:tc>
        <w:tc>
          <w:tcPr>
            <w:tcW w:w="10100" w:type="dxa"/>
            <w:vAlign w:val="bottom"/>
            <w:tcBorders>
              <w:bottom w:val="single" w:sz="8" w:color="0000FF"/>
            </w:tcBorders>
            <w:gridSpan w:val="20"/>
          </w:tcPr>
          <w:p>
            <w:pPr>
              <w:spacing w:after="0"/>
              <w:rPr>
                <w:rFonts w:ascii="Arial" w:cs="Arial" w:eastAsia="Arial" w:hAnsi="Arial"/>
                <w:sz w:val="18"/>
                <w:szCs w:val="18"/>
                <w:color w:val="0000FF"/>
                <w:w w:val="99"/>
              </w:rPr>
            </w:pPr>
            <w:hyperlink r:id="rId35">
              <w:r>
                <w:rPr>
                  <w:rFonts w:ascii="Arial" w:cs="Arial" w:eastAsia="Arial" w:hAnsi="Arial"/>
                  <w:sz w:val="18"/>
                  <w:szCs w:val="18"/>
                  <w:color w:val="0000FF"/>
                  <w:w w:val="99"/>
                </w:rPr>
                <w:t>Second Amendment to the Laboratory Corporation of America Holdings amended and restated new Pension Equalization Plan.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20"/>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(incorporated herein by reference to Exhibit 10.4 to the Company's Annual Report on Form 10-K for the fiscal year ended December 31,</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2004).</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420" w:type="dxa"/>
            <w:vAlign w:val="bottom"/>
          </w:tcPr>
          <w:p>
            <w:pPr>
              <w:ind w:left="40"/>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w w:val="96"/>
              </w:rPr>
              <w:t>National Health Laboratories 1988 Stock Option Plan, as amended (incorporated herein by reference to the Company's Registration</w:t>
            </w:r>
          </w:p>
        </w:tc>
      </w:tr>
      <w:tr>
        <w:trPr>
          <w:trHeight w:val="230"/>
        </w:trPr>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100" w:type="dxa"/>
            <w:vAlign w:val="bottom"/>
            <w:gridSpan w:val="20"/>
          </w:tcPr>
          <w:p>
            <w:pPr>
              <w:spacing w:after="0"/>
              <w:rPr>
                <w:sz w:val="20"/>
                <w:szCs w:val="20"/>
                <w:color w:val="auto"/>
              </w:rPr>
            </w:pPr>
            <w:r>
              <w:rPr>
                <w:rFonts w:ascii="Arial" w:cs="Arial" w:eastAsia="Arial" w:hAnsi="Arial"/>
                <w:sz w:val="18"/>
                <w:szCs w:val="18"/>
                <w:color w:val="auto"/>
              </w:rPr>
              <w:t>Statement on Form S-1, filed with the Commission on July 9, 1990, File No. 33-35782).</w:t>
            </w:r>
          </w:p>
        </w:tc>
      </w:tr>
      <w:tr>
        <w:trPr>
          <w:trHeight w:val="230"/>
        </w:trPr>
        <w:tc>
          <w:tcPr>
            <w:tcW w:w="420" w:type="dxa"/>
            <w:vAlign w:val="bottom"/>
          </w:tcPr>
          <w:p>
            <w:pPr>
              <w:ind w:left="40"/>
              <w:spacing w:after="0"/>
              <w:rPr>
                <w:sz w:val="20"/>
                <w:szCs w:val="20"/>
                <w:color w:val="auto"/>
              </w:rPr>
            </w:pPr>
            <w:r>
              <w:rPr>
                <w:rFonts w:ascii="Arial" w:cs="Arial" w:eastAsia="Arial" w:hAnsi="Arial"/>
                <w:sz w:val="18"/>
                <w:szCs w:val="18"/>
                <w:color w:val="auto"/>
              </w:rPr>
              <w:t>10.6</w:t>
            </w:r>
          </w:p>
        </w:tc>
        <w:tc>
          <w:tcPr>
            <w:tcW w:w="880" w:type="dxa"/>
            <w:vAlign w:val="bottom"/>
          </w:tcPr>
          <w:p>
            <w:pPr>
              <w:spacing w:after="0"/>
              <w:rPr>
                <w:sz w:val="19"/>
                <w:szCs w:val="19"/>
                <w:color w:val="auto"/>
              </w:rPr>
            </w:pPr>
          </w:p>
        </w:tc>
        <w:tc>
          <w:tcPr>
            <w:tcW w:w="10100" w:type="dxa"/>
            <w:vAlign w:val="bottom"/>
            <w:tcBorders>
              <w:bottom w:val="single" w:sz="8" w:color="0000FF"/>
            </w:tcBorders>
            <w:gridSpan w:val="20"/>
          </w:tcPr>
          <w:p>
            <w:pPr>
              <w:spacing w:after="0"/>
              <w:rPr>
                <w:rFonts w:ascii="Arial" w:cs="Arial" w:eastAsia="Arial" w:hAnsi="Arial"/>
                <w:sz w:val="18"/>
                <w:szCs w:val="18"/>
                <w:color w:val="0000FF"/>
                <w:w w:val="96"/>
              </w:rPr>
            </w:pPr>
            <w:hyperlink r:id="rId36">
              <w:r>
                <w:rPr>
                  <w:rFonts w:ascii="Arial" w:cs="Arial" w:eastAsia="Arial" w:hAnsi="Arial"/>
                  <w:sz w:val="18"/>
                  <w:szCs w:val="18"/>
                  <w:color w:val="0000FF"/>
                  <w:w w:val="96"/>
                </w:rPr>
                <w:t>National Health Laboratories 1994 Stock Option Plan (incorporated herein by reference to Exhibit 4.1 to the Company's Registration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Statement on Form S-8, filed with the Commission on August 12, 1994, File No. 33-55065).</w:t>
              </w:r>
            </w:hyperlink>
          </w:p>
        </w:tc>
        <w:tc>
          <w:tcPr>
            <w:tcW w:w="3440" w:type="dxa"/>
            <w:vAlign w:val="bottom"/>
            <w:gridSpan w:val="14"/>
          </w:tcPr>
          <w:p>
            <w:pPr>
              <w:spacing w:after="0"/>
              <w:rPr>
                <w:sz w:val="17"/>
                <w:szCs w:val="17"/>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10.7</w:t>
            </w:r>
          </w:p>
        </w:tc>
        <w:tc>
          <w:tcPr>
            <w:tcW w:w="880" w:type="dxa"/>
            <w:vAlign w:val="bottom"/>
          </w:tcPr>
          <w:p>
            <w:pPr>
              <w:spacing w:after="0"/>
              <w:rPr>
                <w:sz w:val="21"/>
                <w:szCs w:val="21"/>
                <w:color w:val="auto"/>
              </w:rPr>
            </w:pPr>
          </w:p>
        </w:tc>
        <w:tc>
          <w:tcPr>
            <w:tcW w:w="10100" w:type="dxa"/>
            <w:vAlign w:val="bottom"/>
            <w:gridSpan w:val="20"/>
          </w:tcPr>
          <w:p>
            <w:pPr>
              <w:spacing w:after="0"/>
              <w:rPr>
                <w:rFonts w:ascii="Arial" w:cs="Arial" w:eastAsia="Arial" w:hAnsi="Arial"/>
                <w:sz w:val="18"/>
                <w:szCs w:val="18"/>
                <w:color w:val="0000FF"/>
                <w:w w:val="94"/>
              </w:rPr>
            </w:pPr>
            <w:hyperlink r:id="rId37">
              <w:r>
                <w:rPr>
                  <w:rFonts w:ascii="Arial" w:cs="Arial" w:eastAsia="Arial" w:hAnsi="Arial"/>
                  <w:sz w:val="18"/>
                  <w:szCs w:val="18"/>
                  <w:color w:val="0000FF"/>
                  <w:w w:val="94"/>
                </w:rPr>
                <w:t>Laboratory Corporation of America Holdings Senior Executive Transition Policy (incorporated herein by reference to Exhibit 10.1 to the</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Company's Quarterly Report on Form 10-Q for the period ended June 30, 2004).</w:t>
              </w:r>
            </w:hyperlink>
          </w:p>
        </w:tc>
        <w:tc>
          <w:tcPr>
            <w:tcW w:w="428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10.8</w:t>
            </w:r>
          </w:p>
        </w:tc>
        <w:tc>
          <w:tcPr>
            <w:tcW w:w="880" w:type="dxa"/>
            <w:vAlign w:val="bottom"/>
          </w:tcPr>
          <w:p>
            <w:pPr>
              <w:spacing w:after="0"/>
              <w:rPr>
                <w:sz w:val="21"/>
                <w:szCs w:val="21"/>
                <w:color w:val="auto"/>
              </w:rPr>
            </w:pPr>
          </w:p>
        </w:tc>
        <w:tc>
          <w:tcPr>
            <w:tcW w:w="10100" w:type="dxa"/>
            <w:vAlign w:val="bottom"/>
            <w:tcBorders>
              <w:bottom w:val="single" w:sz="8" w:color="0000FF"/>
            </w:tcBorders>
            <w:gridSpan w:val="20"/>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Laboratory Corporation of America Holdings 1995 Stock Plan for Non-Employee Directors (incorporated herein by reference Exhibit 4.c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the Company's Registration Statement on Form S-8, filed with the Commission on September 26, 1995, File No. 33-62913).</w:t>
              </w:r>
            </w:hyperlink>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1"/>
                <w:szCs w:val="21"/>
                <w:color w:val="auto"/>
              </w:rPr>
            </w:pPr>
          </w:p>
        </w:tc>
        <w:tc>
          <w:tcPr>
            <w:tcW w:w="10100" w:type="dxa"/>
            <w:vAlign w:val="bottom"/>
            <w:gridSpan w:val="20"/>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First Amendment to Laboratory Corporation of America Holdings 1995 Stock Plan for Non-Employee Directors (incorporated herein by</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reference to Annex II to the Company's Definitive Proxy Statement on Schedule 14A, filed with the Commission on June 6, 1997).</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FF"/>
            </w:tcBorders>
            <w:gridSpan w:val="20"/>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Second Amendment to the Laboratory Corporation of America Holdings 1995 Stock Plan for Non-Employee Directors (incorporated herein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by reference to Annex I of the Company's Definitive Proxy Statement on Schedule 14A, filed with the Commission on April 25, 2001).</w:t>
              </w:r>
            </w:hyperlink>
          </w:p>
        </w:tc>
      </w:tr>
      <w:tr>
        <w:trPr>
          <w:trHeight w:val="20"/>
        </w:trPr>
        <w:tc>
          <w:tcPr>
            <w:tcW w:w="130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100" w:type="dxa"/>
            <w:vAlign w:val="bottom"/>
            <w:gridSpan w:val="20"/>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Laboratory Corporation of America Holdings Amended and Restated 1999 Stock Incentive Plan (incorporated herein by reference to Annex</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 to the Company's Definitive Proxy Statement on Schedule 14A filed with the Commission on May 3, 1999).</w:t>
              </w:r>
            </w:hyperlink>
          </w:p>
        </w:tc>
        <w:tc>
          <w:tcPr>
            <w:tcW w:w="218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100" w:type="dxa"/>
            <w:vAlign w:val="bottom"/>
            <w:gridSpan w:val="20"/>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Laboratory Corporation of America Holdings 2000 Stock Incentive Plan (incorporated herein by reference to Exhibit 4.3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Registration Statement on Form S-8, filed with the Commission on June 5, 2000, File No. 333-38608).</w:t>
              </w:r>
            </w:hyperlink>
          </w:p>
        </w:tc>
        <w:tc>
          <w:tcPr>
            <w:tcW w:w="268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100" w:type="dxa"/>
            <w:vAlign w:val="bottom"/>
            <w:gridSpan w:val="20"/>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Laboratory Corporation of America Holdings 2000 Stock Incentive Plan as Amended and Restated April 3, 2002, (incorporated herein by</w:t>
              </w:r>
            </w:hyperlink>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reference to Exhibit 4.1 to the Company's Registration Statement on Form S-8, filed with the Commission on June 19, 2002, File No. 333-</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196" w:lineRule="exact"/>
              <w:rPr>
                <w:rFonts w:ascii="Arial" w:cs="Arial" w:eastAsia="Arial" w:hAnsi="Arial"/>
                <w:sz w:val="18"/>
                <w:szCs w:val="18"/>
                <w:color w:val="0000FF"/>
                <w:w w:val="85"/>
              </w:rPr>
            </w:pPr>
            <w:hyperlink r:id="rId43">
              <w:r>
                <w:rPr>
                  <w:rFonts w:ascii="Arial" w:cs="Arial" w:eastAsia="Arial" w:hAnsi="Arial"/>
                  <w:sz w:val="18"/>
                  <w:szCs w:val="18"/>
                  <w:color w:val="0000FF"/>
                  <w:w w:val="85"/>
                </w:rPr>
                <w:t>90764).</w:t>
              </w:r>
            </w:hyperlink>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FF"/>
            </w:tcBorders>
            <w:gridSpan w:val="20"/>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Dynacare Inc., Amended and Restated Employee Stock Option Plan (incorporated herein by reference to Exhibit 10.1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Registration Statement on Form S-8, filed with the Commission on August 7, 2002, File No. 333-97745).</w:t>
              </w:r>
            </w:hyperlink>
          </w:p>
        </w:tc>
      </w:tr>
      <w:tr>
        <w:trPr>
          <w:trHeight w:val="20"/>
        </w:trPr>
        <w:tc>
          <w:tcPr>
            <w:tcW w:w="1300" w:type="dxa"/>
            <w:vAlign w:val="bottom"/>
            <w:gridSpan w:val="2"/>
          </w:tcPr>
          <w:p>
            <w:pPr>
              <w:spacing w:after="0" w:line="20" w:lineRule="exact"/>
              <w:rPr>
                <w:sz w:val="1"/>
                <w:szCs w:val="1"/>
                <w:color w:val="auto"/>
              </w:rPr>
            </w:pPr>
          </w:p>
        </w:tc>
        <w:tc>
          <w:tcPr>
            <w:tcW w:w="61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100" w:type="dxa"/>
            <w:vAlign w:val="bottom"/>
            <w:tcBorders>
              <w:bottom w:val="single" w:sz="8" w:color="0000FF"/>
            </w:tcBorders>
            <w:gridSpan w:val="2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DIANON Systems, Inc. 1996 Stock Incentive Plan (incorporated herein by reference to Exhibit 10.1 the Company's Registration Statement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1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on Form S-8, filed with the Commission on January 21, 2003, File No. 333-102602).</w:t>
              </w:r>
            </w:hyperlink>
          </w:p>
        </w:tc>
        <w:tc>
          <w:tcPr>
            <w:tcW w:w="3980" w:type="dxa"/>
            <w:vAlign w:val="bottom"/>
            <w:gridSpan w:val="16"/>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FF"/>
            </w:tcBorders>
            <w:gridSpan w:val="20"/>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DIANON Systems, Inc. 1999 Stock Incentive Plan (incorporated herein by reference to Exhibit 10.2 the Company's Registration Statement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1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on Form S-8, filed with the Commission on January 21, 2003, File No. 333-102602).</w:t>
              </w:r>
            </w:hyperlink>
          </w:p>
        </w:tc>
        <w:tc>
          <w:tcPr>
            <w:tcW w:w="3980" w:type="dxa"/>
            <w:vAlign w:val="bottom"/>
            <w:gridSpan w:val="16"/>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100" w:type="dxa"/>
            <w:vAlign w:val="bottom"/>
            <w:gridSpan w:val="20"/>
          </w:tcPr>
          <w:p>
            <w:pPr>
              <w:spacing w:after="0"/>
              <w:rPr>
                <w:rFonts w:ascii="Arial" w:cs="Arial" w:eastAsia="Arial" w:hAnsi="Arial"/>
                <w:sz w:val="18"/>
                <w:szCs w:val="18"/>
                <w:color w:val="0000FF"/>
                <w:w w:val="98"/>
              </w:rPr>
            </w:pPr>
            <w:hyperlink r:id="rId47">
              <w:r>
                <w:rPr>
                  <w:rFonts w:ascii="Arial" w:cs="Arial" w:eastAsia="Arial" w:hAnsi="Arial"/>
                  <w:sz w:val="18"/>
                  <w:szCs w:val="18"/>
                  <w:color w:val="0000FF"/>
                  <w:w w:val="98"/>
                </w:rPr>
                <w:t>DIANON Systems, Inc. 2000 Stock Incentive Plan(incorporated herein by reference to Exhibit 10.3 to the Company's Registration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Statement on Form S-8, filed with the Commission on January 21, 2003, File No. 333-102602).</w:t>
              </w:r>
            </w:hyperlink>
          </w:p>
        </w:tc>
        <w:tc>
          <w:tcPr>
            <w:tcW w:w="320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100" w:type="dxa"/>
            <w:vAlign w:val="bottom"/>
            <w:tcBorders>
              <w:bottom w:val="single" w:sz="8" w:color="0000FF"/>
            </w:tcBorders>
            <w:gridSpan w:val="20"/>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DIANON Systems, Inc. 2001 Stock Incentive Plan (incorporated herein by reference Exhibit 10.4 to the Company's Registration Statement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1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on Form S-8, filed with the Commission on January 21, 2003, File No. 333-102602).</w:t>
              </w:r>
            </w:hyperlink>
          </w:p>
        </w:tc>
        <w:tc>
          <w:tcPr>
            <w:tcW w:w="3980" w:type="dxa"/>
            <w:vAlign w:val="bottom"/>
            <w:gridSpan w:val="16"/>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100" w:type="dxa"/>
            <w:vAlign w:val="bottom"/>
            <w:gridSpan w:val="20"/>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UroCor, Inc. Second Amended and Restated 1992 Stock Option Plan (incorporated herein by reference Exhibit 10.5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Registration Statement on Form S-8, filed with the Commission on January 21, 2003, File No. 333-102602).</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6320" w:type="dxa"/>
            <w:vAlign w:val="bottom"/>
            <w:gridSpan w:val="5"/>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100" w:type="dxa"/>
            <w:vAlign w:val="bottom"/>
            <w:gridSpan w:val="20"/>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Laboratory Corporation of America Holdings Deferred Compensation Plan (incorporated herein by reference to Exhibit 10.22 the</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Company's Annual Report on Form 10-K for the fiscal year ended December 31, 2004).</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6320" w:type="dxa"/>
            <w:vAlign w:val="bottom"/>
            <w:gridSpan w:val="5"/>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100" w:type="dxa"/>
            <w:vAlign w:val="bottom"/>
            <w:gridSpan w:val="20"/>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First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Exhibit 10.23 to the Company's Annual Report on Form 10-K for the fiscal year ended December 31, 2004).</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7180" w:type="dxa"/>
            <w:vAlign w:val="bottom"/>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100" w:type="dxa"/>
            <w:vAlign w:val="bottom"/>
            <w:tcBorders>
              <w:bottom w:val="single" w:sz="8" w:color="0000FF"/>
            </w:tcBorders>
            <w:gridSpan w:val="20"/>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Second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1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Exhibit 10.8 to the Company's Quarterly Report on Form 10-Q for the period ended June 30, 2005).</w:t>
              </w:r>
            </w:hyperlink>
          </w:p>
        </w:tc>
        <w:tc>
          <w:tcPr>
            <w:tcW w:w="2920" w:type="dxa"/>
            <w:vAlign w:val="bottom"/>
            <w:gridSpan w:val="12"/>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100" w:type="dxa"/>
            <w:vAlign w:val="bottom"/>
            <w:gridSpan w:val="20"/>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Third Amendment to the Laboratory Corporation of America Amended and Restated New Pension Equalization Plan (incorporated herein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by reference Exhibit 10.6 to the Company's Quarterly Report on Form 10-Q for the period ended June 30, 2005).</w:t>
              </w:r>
            </w:hyperlink>
          </w:p>
        </w:tc>
        <w:tc>
          <w:tcPr>
            <w:tcW w:w="20" w:type="dxa"/>
            <w:vAlign w:val="bottom"/>
          </w:tcPr>
          <w:p>
            <w:pPr>
              <w:spacing w:after="0"/>
              <w:rPr>
                <w:sz w:val="17"/>
                <w:szCs w:val="17"/>
                <w:color w:val="auto"/>
              </w:rPr>
            </w:pPr>
          </w:p>
        </w:tc>
      </w:tr>
      <w:tr>
        <w:trPr>
          <w:trHeight w:val="507"/>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0" w:type="dxa"/>
            <w:vAlign w:val="bottom"/>
            <w:tcBorders>
              <w:top w:val="single" w:sz="8" w:color="0000FF"/>
            </w:tcBorders>
            <w:gridSpan w:val="3"/>
          </w:tcPr>
          <w:p>
            <w:pPr>
              <w:ind w:left="4320"/>
              <w:spacing w:after="0"/>
              <w:rPr>
                <w:sz w:val="20"/>
                <w:szCs w:val="20"/>
                <w:color w:val="auto"/>
              </w:rPr>
            </w:pPr>
            <w:r>
              <w:rPr>
                <w:rFonts w:ascii="Arial" w:cs="Arial" w:eastAsia="Arial" w:hAnsi="Arial"/>
                <w:sz w:val="18"/>
                <w:szCs w:val="18"/>
                <w:color w:val="auto"/>
              </w:rPr>
              <w:t>78</w:t>
            </w: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7"/>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10.24</w:t>
            </w:r>
          </w:p>
        </w:tc>
        <w:tc>
          <w:tcPr>
            <w:tcW w:w="10100" w:type="dxa"/>
            <w:vAlign w:val="bottom"/>
            <w:tcBorders>
              <w:bottom w:val="single" w:sz="8" w:color="0000FF"/>
            </w:tcBorders>
            <w:gridSpan w:val="9"/>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Third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Exhibit 10.28 to the Company's Annual Report on Form 10-K for the fiscal year ended December 31, 2006).</w:t>
              </w:r>
            </w:hyperlink>
          </w:p>
        </w:tc>
        <w:tc>
          <w:tcPr>
            <w:tcW w:w="2280" w:type="dxa"/>
            <w:vAlign w:val="bottom"/>
            <w:gridSpan w:val="4"/>
          </w:tcPr>
          <w:p>
            <w:pPr>
              <w:spacing w:after="0"/>
              <w:rPr>
                <w:sz w:val="17"/>
                <w:szCs w:val="17"/>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10.25</w:t>
            </w:r>
          </w:p>
        </w:tc>
        <w:tc>
          <w:tcPr>
            <w:tcW w:w="10100" w:type="dxa"/>
            <w:vAlign w:val="bottom"/>
            <w:tcBorders>
              <w:bottom w:val="single" w:sz="8" w:color="0000FF"/>
            </w:tcBorders>
            <w:gridSpan w:val="9"/>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Fourth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Exhibit 10.34 to the Company's Annual Report on Form 10-K for the fiscal year ended December 31, 2007).</w:t>
              </w:r>
            </w:hyperlink>
          </w:p>
        </w:tc>
      </w:tr>
      <w:tr>
        <w:trPr>
          <w:trHeight w:val="20"/>
        </w:trPr>
        <w:tc>
          <w:tcPr>
            <w:tcW w:w="1300" w:type="dxa"/>
            <w:vAlign w:val="bottom"/>
            <w:gridSpan w:val="2"/>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10.26</w:t>
            </w:r>
          </w:p>
        </w:tc>
        <w:tc>
          <w:tcPr>
            <w:tcW w:w="10100" w:type="dxa"/>
            <w:vAlign w:val="bottom"/>
            <w:tcBorders>
              <w:bottom w:val="single" w:sz="8" w:color="0000FF"/>
            </w:tcBorders>
            <w:gridSpan w:val="9"/>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Laboratory Corporation of America Holdings 2008 Stock Incentive Plan (incorporated herein by reference to Annex III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1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Definitive Proxy Statement on Schedule 14A filed on March 25, 2008).</w:t>
              </w:r>
            </w:hyperlink>
          </w:p>
        </w:tc>
        <w:tc>
          <w:tcPr>
            <w:tcW w:w="4960" w:type="dxa"/>
            <w:vAlign w:val="bottom"/>
            <w:gridSpan w:val="7"/>
          </w:tcPr>
          <w:p>
            <w:pPr>
              <w:spacing w:after="0"/>
              <w:rPr>
                <w:sz w:val="17"/>
                <w:szCs w:val="17"/>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10.27</w:t>
            </w:r>
          </w:p>
        </w:tc>
        <w:tc>
          <w:tcPr>
            <w:tcW w:w="10100" w:type="dxa"/>
            <w:vAlign w:val="bottom"/>
            <w:tcBorders>
              <w:bottom w:val="single" w:sz="8" w:color="0000FF"/>
            </w:tcBorders>
            <w:gridSpan w:val="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Amendment to Laboratory Corporation of America Holdings 2008 Stock Incentive Plan (incorporated herein by reference to Exhibit 10.2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the Company's Current Report on Form 8-K filed on May 7, 2008).</w:t>
              </w:r>
            </w:hyperlink>
          </w:p>
        </w:tc>
        <w:tc>
          <w:tcPr>
            <w:tcW w:w="5260" w:type="dxa"/>
            <w:vAlign w:val="bottom"/>
            <w:gridSpan w:val="8"/>
          </w:tcPr>
          <w:p>
            <w:pPr>
              <w:spacing w:after="0"/>
              <w:rPr>
                <w:sz w:val="17"/>
                <w:szCs w:val="17"/>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10.28</w:t>
            </w:r>
          </w:p>
        </w:tc>
        <w:tc>
          <w:tcPr>
            <w:tcW w:w="10100" w:type="dxa"/>
            <w:vAlign w:val="bottom"/>
            <w:tcBorders>
              <w:bottom w:val="single" w:sz="8" w:color="0000FF"/>
            </w:tcBorders>
            <w:gridSpan w:val="9"/>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Laboratory Corporation of America Holdings Amended and Restated Master Senior Executive Severance Plan (incorporated herein by</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reference to Exhibit 10.1 to the Company's Quarterly Report on Form 10-Q for the period ended March 31, 2009).</w:t>
              </w:r>
            </w:hyperlink>
          </w:p>
        </w:tc>
        <w:tc>
          <w:tcPr>
            <w:tcW w:w="1880" w:type="dxa"/>
            <w:vAlign w:val="bottom"/>
            <w:gridSpan w:val="3"/>
          </w:tcPr>
          <w:p>
            <w:pPr>
              <w:spacing w:after="0"/>
              <w:rPr>
                <w:sz w:val="17"/>
                <w:szCs w:val="17"/>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10.29</w:t>
            </w:r>
          </w:p>
        </w:tc>
        <w:tc>
          <w:tcPr>
            <w:tcW w:w="10100" w:type="dxa"/>
            <w:vAlign w:val="bottom"/>
            <w:gridSpan w:val="9"/>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Laboratory Corporation of America Holdings Master Senior Executive Change in Control Severance Plan (incorporated herein by reference</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to Exhibit 10.2 to the Company's Quarterly Report on Form 10-Q for the period ended March 31, 2009).</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7500" w:type="dxa"/>
            <w:vAlign w:val="bottom"/>
            <w:gridSpan w:val="3"/>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10.30</w:t>
            </w:r>
          </w:p>
        </w:tc>
        <w:tc>
          <w:tcPr>
            <w:tcW w:w="10100" w:type="dxa"/>
            <w:vAlign w:val="bottom"/>
            <w:gridSpan w:val="9"/>
          </w:tcPr>
          <w:p>
            <w:pPr>
              <w:spacing w:after="0"/>
              <w:rPr>
                <w:rFonts w:ascii="Arial" w:cs="Arial" w:eastAsia="Arial" w:hAnsi="Arial"/>
                <w:sz w:val="18"/>
                <w:szCs w:val="18"/>
                <w:color w:val="0000FF"/>
                <w:w w:val="98"/>
              </w:rPr>
            </w:pPr>
            <w:hyperlink r:id="rId60">
              <w:r>
                <w:rPr>
                  <w:rFonts w:ascii="Arial" w:cs="Arial" w:eastAsia="Arial" w:hAnsi="Arial"/>
                  <w:sz w:val="18"/>
                  <w:szCs w:val="18"/>
                  <w:color w:val="0000FF"/>
                  <w:w w:val="98"/>
                </w:rPr>
                <w:t>First Amendment to the Laboratory Corporation of America Holdings Master Senior Executive Change in Control Severance Plan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(incorporated herein by reference to Exhibit 10.1 to the Company's Quarterly Report on Form 10-Q for the period ended March 31, 2010).</w:t>
              </w:r>
            </w:hyperlink>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w w:val="93"/>
              </w:rPr>
              <w:t>10.31</w:t>
            </w:r>
          </w:p>
        </w:tc>
        <w:tc>
          <w:tcPr>
            <w:tcW w:w="10100" w:type="dxa"/>
            <w:vAlign w:val="bottom"/>
            <w:tcBorders>
              <w:bottom w:val="single" w:sz="8" w:color="0000FF"/>
            </w:tcBorders>
            <w:gridSpan w:val="9"/>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Second Amendment to the Laboratory Corporation of America Holdings Master Senior Executive Change in Control Severance Plan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(incorporated herein by reference to Exhibit 10.2 to the Company's Quarterly Report on Form 10-Q for the period ended March 31, 2010).</w:t>
              </w:r>
            </w:hyperlink>
          </w:p>
        </w:tc>
        <w:tc>
          <w:tcPr>
            <w:tcW w:w="140" w:type="dxa"/>
            <w:vAlign w:val="bottom"/>
            <w:gridSpan w:val="2"/>
          </w:tcPr>
          <w:p>
            <w:pPr>
              <w:spacing w:after="0"/>
              <w:rPr>
                <w:sz w:val="17"/>
                <w:szCs w:val="17"/>
                <w:color w:val="auto"/>
              </w:rPr>
            </w:pPr>
          </w:p>
        </w:tc>
      </w:tr>
    </w:tbl>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10.32</w:t>
            </w:r>
          </w:p>
        </w:tc>
        <w:tc>
          <w:tcPr>
            <w:tcW w:w="10080" w:type="dxa"/>
            <w:vAlign w:val="bottom"/>
            <w:gridSpan w:val="2"/>
            <w:vMerge w:val="restart"/>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Laboratory Corporation of America Holdings 2012 Omnibus Incentive Plan (incorporated herein by reference to Exhibit 10.1 to the</w:t>
              </w:r>
            </w:hyperlink>
          </w:p>
        </w:tc>
        <w:tc>
          <w:tcPr>
            <w:tcW w:w="0" w:type="dxa"/>
            <w:vAlign w:val="bottom"/>
          </w:tcPr>
          <w:p>
            <w:pPr>
              <w:spacing w:after="0"/>
              <w:rPr>
                <w:sz w:val="1"/>
                <w:szCs w:val="1"/>
                <w:color w:val="auto"/>
              </w:rPr>
            </w:pPr>
          </w:p>
        </w:tc>
      </w:tr>
      <w:tr>
        <w:trPr>
          <w:trHeight w:val="46"/>
        </w:trPr>
        <w:tc>
          <w:tcPr>
            <w:tcW w:w="1260" w:type="dxa"/>
            <w:vAlign w:val="bottom"/>
          </w:tcPr>
          <w:p>
            <w:pPr>
              <w:spacing w:after="0"/>
              <w:rPr>
                <w:sz w:val="3"/>
                <w:szCs w:val="3"/>
                <w:color w:val="auto"/>
              </w:rPr>
            </w:pPr>
          </w:p>
        </w:tc>
        <w:tc>
          <w:tcPr>
            <w:tcW w:w="10080" w:type="dxa"/>
            <w:vAlign w:val="bottom"/>
            <w:tcBorders>
              <w:bottom w:val="single" w:sz="8" w:color="0000FF"/>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Company's Current Report on Form 8-K filed on May, 2, 2012).</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108" w:right="259" w:bottom="1440" w:gutter="0" w:footer="0" w:header="0"/>
        </w:sectPr>
      </w:pPr>
    </w:p>
    <w:p>
      <w:pPr>
        <w:ind w:left="40"/>
        <w:spacing w:after="0"/>
        <w:rPr>
          <w:sz w:val="20"/>
          <w:szCs w:val="20"/>
          <w:color w:val="auto"/>
        </w:rPr>
      </w:pPr>
      <w:r>
        <w:rPr>
          <w:rFonts w:ascii="Arial" w:cs="Arial" w:eastAsia="Arial" w:hAnsi="Arial"/>
          <w:sz w:val="15"/>
          <w:szCs w:val="15"/>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10.34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0"/>
        <w:spacing w:after="0" w:line="254"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Amended and Restated Credit Agreement, dated as of December 19, 2014, (originally dated as of December 21, 2011) among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Company, Bank of America, N.A. as Administrative Agent, Swing Line Lender and L/C Issuer, Wells Fargo Bank, National Association as</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Syndication Agent and L/C Issuer, Credit Suisse AG, Cayman Islands Branch as Documentation Agent and L/C Issuer, the Bank of Tokyo-</w:t>
        </w:r>
      </w:hyperlink>
      <w:hyperlink r:id="rId63">
        <w:r>
          <w:rPr>
            <w:rFonts w:ascii="Arial" w:cs="Arial" w:eastAsia="Arial" w:hAnsi="Arial"/>
            <w:sz w:val="18"/>
            <w:szCs w:val="18"/>
            <w:u w:val="single" w:color="auto"/>
            <w:color w:val="0000FF"/>
          </w:rPr>
          <w:t>Mitsubishi UFJ, LTD., Barclays Bank PLC, Credit Suisse AG, Cayman Island Branch, KeyBank National Association, PNC Bank, National</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Association, TD Bank, N.A., and U.S. Bank National Association, as Documentation Agents, Merrill Lynch, Pierce, Fenner &amp; Smith</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Incorporated, Wells Fargo Securities, LLC and Credit Suisse Securities (USA) LLC as Joint Lead Arrangers and Joint Book Managers, and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the lenders named therein (incorporated herein by reference to Exhibit 10.39 to the Company's Annual Report on Form 10-K filed on</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February 26, 2015).</w:t>
        </w:r>
      </w:hyperlink>
    </w:p>
    <w:p>
      <w:pPr>
        <w:spacing w:after="0" w:line="192" w:lineRule="exact"/>
        <w:rPr>
          <w:rFonts w:ascii="Arial" w:cs="Arial" w:eastAsia="Arial" w:hAnsi="Arial"/>
          <w:sz w:val="18"/>
          <w:szCs w:val="18"/>
          <w:u w:val="single" w:color="auto"/>
          <w:color w:val="0000FF"/>
        </w:rPr>
      </w:pPr>
    </w:p>
    <w:p>
      <w:pPr>
        <w:jc w:val="both"/>
        <w:ind w:right="20"/>
        <w:spacing w:after="0" w:line="254"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Second Amended and Restated Credit Agreement, dated as of September 15, 2017, (originally dated as of December 21, 2011), among the</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Company, Bank of America, N.A. as Administrative Agent, Swing Line Lender and L/C Issuer, Wells Fargo Bank, National Association as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Syndication Agent and L/C Issuer, Credit Suisse AG, Caymen Islands Branch as Documentation Agent and L/C Issuer, the Bank of Tokyo-</w:t>
        </w:r>
      </w:hyperlink>
      <w:hyperlink r:id="rId64">
        <w:r>
          <w:rPr>
            <w:rFonts w:ascii="Arial" w:cs="Arial" w:eastAsia="Arial" w:hAnsi="Arial"/>
            <w:sz w:val="18"/>
            <w:szCs w:val="18"/>
            <w:u w:val="single" w:color="auto"/>
            <w:color w:val="0000FF"/>
          </w:rPr>
          <w:t>Mitsubishi UFJ, LTD., Barclays Bank PLC, Credit Suisse AG, Cayman Islands Branch, KeyBank National Association, PNC Bank,</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National Association, TD Bank, N.A., and U.S. Bank National Association, as Documentation Agents, Merrill Lynch, Pierce, Fenner &amp;</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Smith Incorporated, Wells Fargo Securities, LLC and Credit Suisse Securities (USA) LL as Joint Lead Arrangers and Joint Book Managers,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and the lenders named therein (incorporated herein by reference to Exhibit 10.3 to the Company's Annual Report on Form 10-Q filed on</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November 2, 2017).</w:t>
        </w:r>
      </w:hyperlink>
    </w:p>
    <w:p>
      <w:pPr>
        <w:spacing w:after="0" w:line="94" w:lineRule="exact"/>
        <w:rPr>
          <w:rFonts w:ascii="Arial" w:cs="Arial" w:eastAsia="Arial" w:hAnsi="Arial"/>
          <w:sz w:val="18"/>
          <w:szCs w:val="18"/>
          <w:u w:val="single" w:color="auto"/>
          <w:color w:val="0000FF"/>
        </w:rPr>
      </w:pPr>
    </w:p>
    <w:p>
      <w:pPr>
        <w:sectPr>
          <w:pgSz w:w="11900" w:h="16838" w:orient="portrait"/>
          <w:cols w:equalWidth="0" w:num="2">
            <w:col w:w="580" w:space="720"/>
            <w:col w:w="10100"/>
          </w:cols>
          <w:pgMar w:left="240" w:top="108" w:right="25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10.35</w:t>
            </w:r>
          </w:p>
        </w:tc>
        <w:tc>
          <w:tcPr>
            <w:tcW w:w="10080" w:type="dxa"/>
            <w:vAlign w:val="bottom"/>
            <w:tcBorders>
              <w:bottom w:val="single" w:sz="8" w:color="0000FF"/>
            </w:tcBorders>
            <w:gridSpan w:val="11"/>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Amendment No. 1, dated as of July 13, 2016, to Amended and Restated Credit Agreement dated as of December 19, 2014, with Bank of</w:t>
              </w:r>
            </w:hyperlink>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America, N.A. (incorporated herein by reference to Exhibit 10.2 to the Company's Quarterly Report on Form 10-Q filed on October 28,</w:t>
              </w:r>
            </w:hyperlink>
          </w:p>
        </w:tc>
      </w:tr>
      <w:tr>
        <w:trPr>
          <w:trHeight w:val="196"/>
        </w:trPr>
        <w:tc>
          <w:tcPr>
            <w:tcW w:w="126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65">
              <w:r>
                <w:rPr>
                  <w:rFonts w:ascii="Arial" w:cs="Arial" w:eastAsia="Arial" w:hAnsi="Arial"/>
                  <w:sz w:val="18"/>
                  <w:szCs w:val="18"/>
                  <w:color w:val="0000FF"/>
                  <w:w w:val="86"/>
                </w:rPr>
                <w:t>2016).</w:t>
              </w:r>
            </w:hyperlink>
          </w:p>
        </w:tc>
        <w:tc>
          <w:tcPr>
            <w:tcW w:w="4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10.36</w:t>
            </w:r>
          </w:p>
        </w:tc>
        <w:tc>
          <w:tcPr>
            <w:tcW w:w="10080" w:type="dxa"/>
            <w:vAlign w:val="bottom"/>
            <w:tcBorders>
              <w:bottom w:val="single" w:sz="8" w:color="0000FF"/>
            </w:tcBorders>
            <w:gridSpan w:val="11"/>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Term Loan Credit Agreement, dated as of December 19, 2014, among the Company, Bank of America, N.A., as Administrative Agent,</w:t>
              </w:r>
            </w:hyperlink>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FF"/>
            </w:tcBorders>
            <w:gridSpan w:val="11"/>
          </w:tcPr>
          <w:p>
            <w:pPr>
              <w:spacing w:after="0" w:line="19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Wells Fargo Bank, National Association, as Syndication Agent, the Bank of Tokyo-Mitsubishi UFJ, LTD., Barclays Bank PLC, Credit</w:t>
              </w:r>
            </w:hyperlink>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FF"/>
            </w:tcBorders>
            <w:gridSpan w:val="11"/>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Suisse AG, Cayman Islands Branch, KeyBank National Association, PNC Bank, National Association, TD Bank, N.A. and U.S. Bank</w:t>
              </w:r>
            </w:hyperlink>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National Association, as Documentation Agents, Merrill Lynch, Pierce, Fenner &amp; Smith Incorporated, Wells Fargo Securities, LLC and</w:t>
              </w:r>
            </w:hyperlink>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Credit Suisse Securities (USA) LLC as Joint Lead Arrangers and Joint Book Managers, and the lenders named therein (incorporated herein</w:t>
              </w:r>
            </w:hyperlink>
          </w:p>
        </w:tc>
      </w:tr>
      <w:tr>
        <w:trPr>
          <w:trHeight w:val="196"/>
        </w:trPr>
        <w:tc>
          <w:tcPr>
            <w:tcW w:w="1260" w:type="dxa"/>
            <w:vAlign w:val="bottom"/>
          </w:tcPr>
          <w:p>
            <w:pPr>
              <w:spacing w:after="0"/>
              <w:rPr>
                <w:sz w:val="17"/>
                <w:szCs w:val="17"/>
                <w:color w:val="auto"/>
              </w:rPr>
            </w:pPr>
          </w:p>
        </w:tc>
        <w:tc>
          <w:tcPr>
            <w:tcW w:w="76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by reference to Exhibit 10.40 to the Company's Annual Report on Form 10-K filed on February 26, 2015).</w:t>
              </w:r>
            </w:hyperlink>
          </w:p>
        </w:tc>
        <w:tc>
          <w:tcPr>
            <w:tcW w:w="2420" w:type="dxa"/>
            <w:vAlign w:val="bottom"/>
            <w:gridSpan w:val="8"/>
          </w:tcPr>
          <w:p>
            <w:pPr>
              <w:spacing w:after="0"/>
              <w:rPr>
                <w:sz w:val="17"/>
                <w:szCs w:val="17"/>
                <w:color w:val="auto"/>
              </w:rPr>
            </w:pPr>
          </w:p>
        </w:tc>
      </w:tr>
      <w:tr>
        <w:trPr>
          <w:trHeight w:val="25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10.37</w:t>
            </w:r>
          </w:p>
        </w:tc>
        <w:tc>
          <w:tcPr>
            <w:tcW w:w="10000" w:type="dxa"/>
            <w:vAlign w:val="bottom"/>
            <w:tcBorders>
              <w:bottom w:val="single" w:sz="8" w:color="0000FF"/>
            </w:tcBorders>
            <w:gridSpan w:val="10"/>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Amendment No. 1, dated as of March 5, 2015, to the Term Loan Credit Agreement dated as of December 19, 2014, with Bank of America,</w:t>
              </w:r>
            </w:hyperlink>
          </w:p>
        </w:tc>
        <w:tc>
          <w:tcPr>
            <w:tcW w:w="8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2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N.A. (incorporated herein by reference to Exhibit 10.6 to the Company's Quarterly Report on Form 10-Q filed on May 4, 2015).</w:t>
              </w:r>
            </w:hyperlink>
          </w:p>
        </w:tc>
        <w:tc>
          <w:tcPr>
            <w:tcW w:w="860" w:type="dxa"/>
            <w:vAlign w:val="bottom"/>
            <w:gridSpan w:val="7"/>
          </w:tcPr>
          <w:p>
            <w:pPr>
              <w:spacing w:after="0"/>
              <w:rPr>
                <w:sz w:val="17"/>
                <w:szCs w:val="17"/>
                <w:color w:val="auto"/>
              </w:rPr>
            </w:pPr>
          </w:p>
        </w:tc>
      </w:tr>
      <w:tr>
        <w:trPr>
          <w:trHeight w:val="25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10.38</w:t>
            </w:r>
          </w:p>
        </w:tc>
        <w:tc>
          <w:tcPr>
            <w:tcW w:w="9920" w:type="dxa"/>
            <w:vAlign w:val="bottom"/>
            <w:tcBorders>
              <w:bottom w:val="single" w:sz="8" w:color="0000FF"/>
            </w:tcBorders>
            <w:gridSpan w:val="9"/>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Amendment No. 2, dated as of July 13, 2016, to the Term Loan Credit Agreement dated as of December 19, 2014, with Bank of America,</w:t>
              </w:r>
            </w:hyperlink>
          </w:p>
        </w:tc>
        <w:tc>
          <w:tcPr>
            <w:tcW w:w="160" w:type="dxa"/>
            <w:vAlign w:val="bottom"/>
            <w:gridSpan w:val="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5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N.A. (incorporated herein by reference to Exhibit 10.1 to the Company's Quarterly Report on Form 10-Q filed on October 28, 2016).</w:t>
              </w:r>
            </w:hyperlink>
          </w:p>
        </w:tc>
        <w:tc>
          <w:tcPr>
            <w:tcW w:w="520" w:type="dxa"/>
            <w:vAlign w:val="bottom"/>
            <w:gridSpan w:val="5"/>
          </w:tcPr>
          <w:p>
            <w:pPr>
              <w:spacing w:after="0"/>
              <w:rPr>
                <w:sz w:val="17"/>
                <w:szCs w:val="17"/>
                <w:color w:val="auto"/>
              </w:rPr>
            </w:pPr>
          </w:p>
        </w:tc>
      </w:tr>
      <w:tr>
        <w:trPr>
          <w:trHeight w:val="25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10.39</w:t>
            </w:r>
          </w:p>
        </w:tc>
        <w:tc>
          <w:tcPr>
            <w:tcW w:w="9680" w:type="dxa"/>
            <w:vAlign w:val="bottom"/>
            <w:tcBorders>
              <w:bottom w:val="single" w:sz="8" w:color="0000FF"/>
            </w:tcBorders>
            <w:gridSpan w:val="7"/>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Amendment No. 3, dated as of September 15, 2017, to the Term Loan Credit Agreement dated as of December 19, 2014, with Bank of</w:t>
              </w:r>
            </w:hyperlink>
          </w:p>
        </w:tc>
        <w:tc>
          <w:tcPr>
            <w:tcW w:w="400" w:type="dxa"/>
            <w:vAlign w:val="bottom"/>
            <w:gridSpan w:val="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1"/>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America, N.A (incorporated herein by reference to Exhibit 10.1 to the Company's Quarterly Report on Form 10-Q filed on November 2,</w:t>
              </w:r>
            </w:hyperlink>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9">
              <w:r>
                <w:rPr>
                  <w:rFonts w:ascii="Arial" w:cs="Arial" w:eastAsia="Arial" w:hAnsi="Arial"/>
                  <w:sz w:val="18"/>
                  <w:szCs w:val="18"/>
                  <w:color w:val="0000FF"/>
                  <w:w w:val="86"/>
                </w:rPr>
                <w:t>2017).</w:t>
              </w:r>
            </w:hyperlink>
          </w:p>
        </w:tc>
        <w:tc>
          <w:tcPr>
            <w:tcW w:w="4200" w:type="dxa"/>
            <w:vAlign w:val="bottom"/>
            <w:tcBorders>
              <w:top w:val="single" w:sz="8" w:color="0000FF"/>
            </w:tcBorders>
          </w:tcPr>
          <w:p>
            <w:pPr>
              <w:spacing w:after="0"/>
              <w:rPr>
                <w:sz w:val="17"/>
                <w:szCs w:val="17"/>
                <w:color w:val="auto"/>
              </w:rPr>
            </w:pPr>
          </w:p>
        </w:tc>
        <w:tc>
          <w:tcPr>
            <w:tcW w:w="300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10.40</w:t>
            </w:r>
          </w:p>
        </w:tc>
        <w:tc>
          <w:tcPr>
            <w:tcW w:w="9480" w:type="dxa"/>
            <w:vAlign w:val="bottom"/>
            <w:tcBorders>
              <w:bottom w:val="single" w:sz="8" w:color="0000FF"/>
            </w:tcBorders>
            <w:gridSpan w:val="5"/>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Laboratory Corporation of America Holdings 2016 Omnibus Incentive Plan (incorporated by reference herein to Exhibit 10.1 to the</w:t>
              </w:r>
            </w:hyperlink>
          </w:p>
        </w:tc>
        <w:tc>
          <w:tcPr>
            <w:tcW w:w="600" w:type="dxa"/>
            <w:vAlign w:val="bottom"/>
            <w:gridSpan w:val="6"/>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Company's Current Report on Form 8-K filed on May 16, 2016).</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type w:val="continuous"/>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108" w:right="2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1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10.41</w:t>
            </w:r>
          </w:p>
        </w:tc>
        <w:tc>
          <w:tcPr>
            <w:tcW w:w="10080" w:type="dxa"/>
            <w:vAlign w:val="bottom"/>
            <w:gridSpan w:val="19"/>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Laboratory Corporation of America Holdings 2016 Employee Stock Purchase Plan (incorporated by reference herein to Exhibit 10.2 to the</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Company's Current Report on Form 8-K filed on May 16, 2016).</w:t>
              </w:r>
            </w:hyperlink>
          </w:p>
        </w:tc>
        <w:tc>
          <w:tcPr>
            <w:tcW w:w="10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10.42</w:t>
            </w:r>
          </w:p>
        </w:tc>
        <w:tc>
          <w:tcPr>
            <w:tcW w:w="10080" w:type="dxa"/>
            <w:vAlign w:val="bottom"/>
            <w:gridSpan w:val="19"/>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Term Loan Credit Agreement, dated as of September 15, 2017, with Bank of America, N.A. (incorporated herein by reference to Exhibit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Quarterly Report on Form 10-Q filed on November 2, 2017).</w:t>
              </w:r>
            </w:hyperlink>
          </w:p>
        </w:tc>
        <w:tc>
          <w:tcPr>
            <w:tcW w:w="260" w:type="dxa"/>
            <w:vAlign w:val="bottom"/>
            <w:gridSpan w:val="2"/>
          </w:tcPr>
          <w:p>
            <w:pPr>
              <w:spacing w:after="0"/>
              <w:rPr>
                <w:sz w:val="17"/>
                <w:szCs w:val="17"/>
                <w:color w:val="auto"/>
              </w:rPr>
            </w:pPr>
          </w:p>
        </w:tc>
      </w:tr>
      <w:tr>
        <w:trPr>
          <w:trHeight w:val="385"/>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12.1*</w:t>
            </w:r>
          </w:p>
        </w:tc>
        <w:tc>
          <w:tcPr>
            <w:tcW w:w="6040" w:type="dxa"/>
            <w:vAlign w:val="bottom"/>
            <w:tcBorders>
              <w:top w:val="single" w:sz="8" w:color="0000FF"/>
            </w:tcBorders>
            <w:gridSpan w:val="13"/>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Ratio of earnings to fixed charges</w:t>
              </w:r>
            </w:hyperlink>
          </w:p>
        </w:tc>
        <w:tc>
          <w:tcPr>
            <w:tcW w:w="4040" w:type="dxa"/>
            <w:vAlign w:val="bottom"/>
            <w:gridSpan w:val="6"/>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21"/>
                <w:szCs w:val="21"/>
                <w:color w:val="auto"/>
              </w:rPr>
            </w:pPr>
          </w:p>
        </w:tc>
        <w:tc>
          <w:tcPr>
            <w:tcW w:w="26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37">
              <w:r>
                <w:rPr>
                  <w:rFonts w:ascii="Arial" w:cs="Arial" w:eastAsia="Arial" w:hAnsi="Arial"/>
                  <w:sz w:val="18"/>
                  <w:szCs w:val="18"/>
                  <w:color w:val="0000FF"/>
                  <w:w w:val="91"/>
                </w:rPr>
                <w:t>List of Subsidiaries of the Company</w:t>
              </w:r>
            </w:hyperlink>
          </w:p>
        </w:tc>
        <w:tc>
          <w:tcPr>
            <w:tcW w:w="7480" w:type="dxa"/>
            <w:vAlign w:val="bottom"/>
            <w:gridSpan w:val="16"/>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65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42">
              <w:r>
                <w:rPr>
                  <w:rFonts w:ascii="Arial" w:cs="Arial" w:eastAsia="Arial" w:hAnsi="Arial"/>
                  <w:sz w:val="18"/>
                  <w:szCs w:val="18"/>
                  <w:color w:val="0000FF"/>
                  <w:w w:val="89"/>
                </w:rPr>
                <w:t>Consent of PricewaterhouseCoopers LLP, an independent registered public accounting firm</w:t>
              </w:r>
            </w:hyperlink>
          </w:p>
        </w:tc>
        <w:tc>
          <w:tcPr>
            <w:tcW w:w="3500" w:type="dxa"/>
            <w:vAlign w:val="bottom"/>
            <w:gridSpan w:val="3"/>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29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143">
              <w:r>
                <w:rPr>
                  <w:rFonts w:ascii="Arial" w:cs="Arial" w:eastAsia="Arial" w:hAnsi="Arial"/>
                  <w:sz w:val="18"/>
                  <w:szCs w:val="18"/>
                  <w:color w:val="0000FF"/>
                  <w:w w:val="93"/>
                </w:rPr>
                <w:t>Power of Attorney of Kerrii B. Anderson</w:t>
              </w:r>
            </w:hyperlink>
          </w:p>
        </w:tc>
        <w:tc>
          <w:tcPr>
            <w:tcW w:w="7120" w:type="dxa"/>
            <w:vAlign w:val="bottom"/>
            <w:gridSpan w:val="13"/>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24.2*</w:t>
            </w:r>
          </w:p>
        </w:tc>
        <w:tc>
          <w:tcPr>
            <w:tcW w:w="10080" w:type="dxa"/>
            <w:vAlign w:val="bottom"/>
            <w:gridSpan w:val="19"/>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Power of Attorney of Jean-Luc Bélingard</w:t>
              </w:r>
            </w:hyperlink>
          </w:p>
        </w:tc>
      </w:tr>
      <w:tr>
        <w:trPr>
          <w:trHeight w:val="20"/>
        </w:trPr>
        <w:tc>
          <w:tcPr>
            <w:tcW w:w="13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24.3*</w:t>
            </w:r>
          </w:p>
        </w:tc>
        <w:tc>
          <w:tcPr>
            <w:tcW w:w="10080" w:type="dxa"/>
            <w:vAlign w:val="bottom"/>
            <w:gridSpan w:val="19"/>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Power of Attorney of D. Gary Gilliland, M.D., Ph.D.</w:t>
              </w:r>
            </w:hyperlink>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24.4*</w:t>
            </w:r>
          </w:p>
        </w:tc>
        <w:tc>
          <w:tcPr>
            <w:tcW w:w="3800" w:type="dxa"/>
            <w:vAlign w:val="bottom"/>
            <w:tcBorders>
              <w:top w:val="single" w:sz="8" w:color="0000FF"/>
            </w:tcBorders>
            <w:gridSpan w:val="11"/>
          </w:tcPr>
          <w:p>
            <w:pPr>
              <w:spacing w:after="0"/>
              <w:rPr>
                <w:rFonts w:ascii="Arial" w:cs="Arial" w:eastAsia="Arial" w:hAnsi="Arial"/>
                <w:sz w:val="18"/>
                <w:szCs w:val="18"/>
                <w:color w:val="0000FF"/>
                <w:w w:val="97"/>
              </w:rPr>
            </w:pPr>
            <w:hyperlink w:anchor="page146">
              <w:r>
                <w:rPr>
                  <w:rFonts w:ascii="Arial" w:cs="Arial" w:eastAsia="Arial" w:hAnsi="Arial"/>
                  <w:sz w:val="18"/>
                  <w:szCs w:val="18"/>
                  <w:color w:val="0000FF"/>
                  <w:w w:val="97"/>
                </w:rPr>
                <w:t>Power of Attorney of Garheng Kong, M.D., Ph.D.</w:t>
              </w:r>
            </w:hyperlink>
          </w:p>
        </w:tc>
        <w:tc>
          <w:tcPr>
            <w:tcW w:w="6280" w:type="dxa"/>
            <w:vAlign w:val="bottom"/>
            <w:gridSpan w:val="8"/>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24.5*</w:t>
            </w:r>
          </w:p>
        </w:tc>
        <w:tc>
          <w:tcPr>
            <w:tcW w:w="3600" w:type="dxa"/>
            <w:vAlign w:val="bottom"/>
            <w:tcBorders>
              <w:top w:val="single" w:sz="8" w:color="0000FF"/>
            </w:tcBorders>
            <w:gridSpan w:val="10"/>
          </w:tcPr>
          <w:p>
            <w:pPr>
              <w:spacing w:after="0"/>
              <w:rPr>
                <w:rFonts w:ascii="Arial" w:cs="Arial" w:eastAsia="Arial" w:hAnsi="Arial"/>
                <w:sz w:val="18"/>
                <w:szCs w:val="18"/>
                <w:color w:val="0000FF"/>
                <w:w w:val="96"/>
              </w:rPr>
            </w:pPr>
            <w:hyperlink w:anchor="page147">
              <w:r>
                <w:rPr>
                  <w:rFonts w:ascii="Arial" w:cs="Arial" w:eastAsia="Arial" w:hAnsi="Arial"/>
                  <w:sz w:val="18"/>
                  <w:szCs w:val="18"/>
                  <w:color w:val="0000FF"/>
                  <w:w w:val="96"/>
                </w:rPr>
                <w:t>Power of Attorney of Robert E. Mittelstaedt, Jr.</w:t>
              </w:r>
            </w:hyperlink>
          </w:p>
        </w:tc>
        <w:tc>
          <w:tcPr>
            <w:tcW w:w="6480" w:type="dxa"/>
            <w:vAlign w:val="bottom"/>
            <w:gridSpan w:val="9"/>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24.6*</w:t>
            </w:r>
          </w:p>
        </w:tc>
        <w:tc>
          <w:tcPr>
            <w:tcW w:w="28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148">
              <w:r>
                <w:rPr>
                  <w:rFonts w:ascii="Arial" w:cs="Arial" w:eastAsia="Arial" w:hAnsi="Arial"/>
                  <w:sz w:val="18"/>
                  <w:szCs w:val="18"/>
                  <w:color w:val="0000FF"/>
                  <w:w w:val="91"/>
                </w:rPr>
                <w:t>Power of Attorney of Peter M. Neupert</w:t>
              </w:r>
            </w:hyperlink>
          </w:p>
        </w:tc>
        <w:tc>
          <w:tcPr>
            <w:tcW w:w="600" w:type="dxa"/>
            <w:vAlign w:val="bottom"/>
            <w:tcBorders>
              <w:top w:val="single" w:sz="8" w:color="0000FF"/>
            </w:tcBorders>
            <w:gridSpan w:val="3"/>
          </w:tcPr>
          <w:p>
            <w:pPr>
              <w:spacing w:after="0"/>
              <w:rPr>
                <w:sz w:val="21"/>
                <w:szCs w:val="21"/>
                <w:color w:val="auto"/>
              </w:rPr>
            </w:pPr>
          </w:p>
        </w:tc>
        <w:tc>
          <w:tcPr>
            <w:tcW w:w="6660" w:type="dxa"/>
            <w:vAlign w:val="bottom"/>
            <w:gridSpan w:val="11"/>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24.7*</w:t>
            </w:r>
          </w:p>
        </w:tc>
        <w:tc>
          <w:tcPr>
            <w:tcW w:w="10080" w:type="dxa"/>
            <w:vAlign w:val="bottom"/>
            <w:gridSpan w:val="19"/>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Power of Attorney of Richelle Parham</w:t>
              </w:r>
            </w:hyperlink>
          </w:p>
        </w:tc>
      </w:tr>
      <w:tr>
        <w:trPr>
          <w:trHeight w:val="20"/>
        </w:trPr>
        <w:tc>
          <w:tcPr>
            <w:tcW w:w="13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24.8*</w:t>
            </w:r>
          </w:p>
        </w:tc>
        <w:tc>
          <w:tcPr>
            <w:tcW w:w="10080" w:type="dxa"/>
            <w:vAlign w:val="bottom"/>
            <w:gridSpan w:val="19"/>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Power of Attorney of Adam H. Schechter</w:t>
              </w:r>
            </w:hyperlink>
          </w:p>
        </w:tc>
      </w:tr>
      <w:tr>
        <w:trPr>
          <w:trHeight w:val="20"/>
        </w:trPr>
        <w:tc>
          <w:tcPr>
            <w:tcW w:w="13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24.9*</w:t>
            </w:r>
          </w:p>
        </w:tc>
        <w:tc>
          <w:tcPr>
            <w:tcW w:w="35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51">
              <w:r>
                <w:rPr>
                  <w:rFonts w:ascii="Arial" w:cs="Arial" w:eastAsia="Arial" w:hAnsi="Arial"/>
                  <w:sz w:val="18"/>
                  <w:szCs w:val="18"/>
                  <w:color w:val="0000FF"/>
                  <w:w w:val="92"/>
                </w:rPr>
                <w:t>Power of Attorney of R. Sanders Williams, M.D.</w:t>
              </w:r>
            </w:hyperlink>
          </w:p>
        </w:tc>
        <w:tc>
          <w:tcPr>
            <w:tcW w:w="6560" w:type="dxa"/>
            <w:vAlign w:val="bottom"/>
            <w:gridSpan w:val="10"/>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64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52">
              <w:r>
                <w:rPr>
                  <w:rFonts w:ascii="Arial" w:cs="Arial" w:eastAsia="Arial" w:hAnsi="Arial"/>
                  <w:sz w:val="18"/>
                  <w:szCs w:val="18"/>
                  <w:color w:val="0000FF"/>
                  <w:w w:val="91"/>
                </w:rPr>
                <w:t>Certification by the Chief Executive Officer pursuant to Rule 13a-14(a) or Rule 15d-14(a)</w:t>
              </w:r>
            </w:hyperlink>
          </w:p>
        </w:tc>
        <w:tc>
          <w:tcPr>
            <w:tcW w:w="3600" w:type="dxa"/>
            <w:vAlign w:val="bottom"/>
            <w:gridSpan w:val="4"/>
          </w:tcPr>
          <w:p>
            <w:pPr>
              <w:spacing w:after="0"/>
              <w:rPr>
                <w:sz w:val="21"/>
                <w:szCs w:val="2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080" w:type="dxa"/>
            <w:vAlign w:val="bottom"/>
            <w:gridSpan w:val="19"/>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Certification by the Chief Financial Officer pursuant to Rule 13a-14(a) or Rule 15d-14(a)</w:t>
              </w:r>
            </w:hyperlink>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900" w:type="dxa"/>
            <w:vAlign w:val="bottom"/>
            <w:gridSpan w:val="13"/>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1"/>
                <w:szCs w:val="21"/>
                <w:color w:val="auto"/>
              </w:rPr>
            </w:pPr>
          </w:p>
        </w:tc>
        <w:tc>
          <w:tcPr>
            <w:tcW w:w="10080" w:type="dxa"/>
            <w:vAlign w:val="bottom"/>
            <w:tcBorders>
              <w:bottom w:val="single" w:sz="8" w:color="0000FF"/>
            </w:tcBorders>
            <w:gridSpan w:val="19"/>
          </w:tcPr>
          <w:p>
            <w:pPr>
              <w:spacing w:after="0"/>
              <w:rPr>
                <w:rFonts w:ascii="Arial" w:cs="Arial" w:eastAsia="Arial" w:hAnsi="Arial"/>
                <w:sz w:val="18"/>
                <w:szCs w:val="18"/>
                <w:color w:val="0000FF"/>
                <w:w w:val="93"/>
              </w:rPr>
            </w:pPr>
            <w:hyperlink w:anchor="page154">
              <w:r>
                <w:rPr>
                  <w:rFonts w:ascii="Arial" w:cs="Arial" w:eastAsia="Arial" w:hAnsi="Arial"/>
                  <w:sz w:val="18"/>
                  <w:szCs w:val="18"/>
                  <w:color w:val="0000FF"/>
                  <w:w w:val="93"/>
                </w:rPr>
                <w:t>Written Statement of Chief Executive Officer and Chief Financial Officer pursuant to Section 906 of the Sarbanes-Oxley Act of 2002 (18</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gridSpan w:val="19"/>
          </w:tcPr>
          <w:p>
            <w:pPr>
              <w:spacing w:after="0" w:line="196" w:lineRule="exact"/>
              <w:rPr>
                <w:rFonts w:ascii="Arial" w:cs="Arial" w:eastAsia="Arial" w:hAnsi="Arial"/>
                <w:sz w:val="18"/>
                <w:szCs w:val="18"/>
                <w:color w:val="0000FF"/>
              </w:rPr>
            </w:pPr>
            <w:hyperlink w:anchor="page154">
              <w:r>
                <w:rPr>
                  <w:rFonts w:ascii="Arial" w:cs="Arial" w:eastAsia="Arial" w:hAnsi="Arial"/>
                  <w:sz w:val="18"/>
                  <w:szCs w:val="18"/>
                  <w:color w:val="0000FF"/>
                </w:rPr>
                <w:t>U.S.C. Section 1350)</w:t>
              </w:r>
            </w:hyperlink>
          </w:p>
        </w:tc>
      </w:tr>
      <w:tr>
        <w:trPr>
          <w:trHeight w:val="20"/>
        </w:trPr>
        <w:tc>
          <w:tcPr>
            <w:tcW w:w="130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r>
      <w:tr>
        <w:trPr>
          <w:trHeight w:val="29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0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080" w:type="dxa"/>
            <w:vAlign w:val="bottom"/>
            <w:gridSpan w:val="19"/>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0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08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08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08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10" w:lineRule="exact"/>
        <w:rPr>
          <w:sz w:val="20"/>
          <w:szCs w:val="20"/>
          <w:color w:val="auto"/>
        </w:rPr>
      </w:pPr>
    </w:p>
    <w:p>
      <w:pPr>
        <w:ind w:left="1300" w:hanging="126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08"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9"/>
          </w:cols>
          <w:pgMar w:left="240" w:top="125" w:right="1440"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of the Board, President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February 27,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February 27, 2018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460" w:type="dxa"/>
            <w:vAlign w:val="bottom"/>
          </w:tcPr>
          <w:p>
            <w:pPr>
              <w:spacing w:after="0"/>
              <w:rPr>
                <w:sz w:val="17"/>
                <w:szCs w:val="17"/>
                <w:color w:val="auto"/>
              </w:rPr>
            </w:pPr>
          </w:p>
        </w:tc>
        <w:tc>
          <w:tcPr>
            <w:tcW w:w="4340" w:type="dxa"/>
            <w:vAlign w:val="bottom"/>
            <w:gridSpan w:val="3"/>
          </w:tcPr>
          <w:p>
            <w:pPr>
              <w:ind w:left="2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60" w:type="dxa"/>
            <w:vAlign w:val="bottom"/>
          </w:tcPr>
          <w:p>
            <w:pPr>
              <w:ind w:left="40"/>
              <w:spacing w:after="0"/>
              <w:rPr>
                <w:sz w:val="20"/>
                <w:szCs w:val="20"/>
                <w:color w:val="auto"/>
              </w:rPr>
            </w:pPr>
            <w:r>
              <w:rPr>
                <w:rFonts w:ascii="Arial" w:cs="Arial" w:eastAsia="Arial" w:hAnsi="Arial"/>
                <w:sz w:val="18"/>
                <w:szCs w:val="18"/>
                <w:color w:val="auto"/>
              </w:rPr>
              <w:t>/s/ DAVID P. KING</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Chairman of the Board, President and Chief</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Arial" w:cs="Arial" w:eastAsia="Arial" w:hAnsi="Arial"/>
                <w:sz w:val="18"/>
                <w:szCs w:val="18"/>
                <w:color w:val="auto"/>
              </w:rPr>
              <w:t>Executive Officer (Principal Executive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David P. King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GLENN A. EISENBERG</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Arial" w:cs="Arial" w:eastAsia="Arial" w:hAnsi="Arial"/>
                <w:sz w:val="18"/>
                <w:szCs w:val="18"/>
                <w:color w:val="auto"/>
              </w:rPr>
              <w:t>Officer and Treasurer (Principal Financial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Glenn A. Eisenberg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EDWARD T. DODSON</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w w:val="94"/>
              </w:rPr>
              <w:t>Chief Accounting Officer (Principal Accounting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Edward T. Dodson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Kerrii B. Anderson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Jean-Luc Bélingard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Gary Gilliland,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Garheng Kong,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Robert E. Mittelstaedt, Jr.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Peter M. Neupert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Richelle Parham</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Adam H. Schechter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 Sanders Williams, M.D.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8"/>
        <w:spacing w:after="0" w:line="308" w:lineRule="auto"/>
        <w:tabs>
          <w:tab w:leader="none" w:pos="1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F. Samuel Eberts III, by his signing his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 SAMUEL EBERTS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 Samuel Eberts III</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02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920" w:type="dxa"/>
            <w:vAlign w:val="bottom"/>
            <w:gridSpan w:val="8"/>
          </w:tcPr>
          <w:p>
            <w:pPr>
              <w:jc w:val="center"/>
              <w:ind w:right="11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00" w:type="dxa"/>
            <w:vAlign w:val="bottom"/>
            <w:gridSpan w:val="5"/>
          </w:tcPr>
          <w:p>
            <w:pPr>
              <w:jc w:val="center"/>
              <w:ind w:right="193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b w:val="1"/>
                <w:bCs w:val="1"/>
                <w:color w:val="auto"/>
                <w:w w:val="99"/>
              </w:rPr>
              <w:t>AND SCHEDULE</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0"/>
              </w:rPr>
              <w:t>Page</w:t>
            </w:r>
          </w:p>
        </w:tc>
      </w:tr>
      <w:tr>
        <w:trPr>
          <w:trHeight w:val="34"/>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Report of Independent Registered Public Accounting Firm</w:t>
              </w:r>
            </w:hyperlink>
          </w:p>
        </w:tc>
        <w:tc>
          <w:tcPr>
            <w:tcW w:w="60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6">
              <w:r>
                <w:rPr>
                  <w:rFonts w:ascii="Arial" w:cs="Arial" w:eastAsia="Arial" w:hAnsi="Arial"/>
                  <w:sz w:val="18"/>
                  <w:szCs w:val="18"/>
                  <w:color w:val="0000EE"/>
                  <w:w w:val="96"/>
                </w:rPr>
                <w:t>F-2</w:t>
              </w:r>
            </w:hyperlink>
          </w:p>
        </w:tc>
        <w:tc>
          <w:tcPr>
            <w:tcW w:w="440" w:type="dxa"/>
            <w:vAlign w:val="bottom"/>
            <w:gridSpan w:val="2"/>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Balance Sheets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F-4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Operations</w:t>
              </w:r>
            </w:hyperlink>
          </w:p>
        </w:tc>
        <w:tc>
          <w:tcPr>
            <w:tcW w:w="71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F-5</w:t>
              </w:r>
            </w:hyperlink>
          </w:p>
        </w:tc>
        <w:tc>
          <w:tcPr>
            <w:tcW w:w="440" w:type="dxa"/>
            <w:vAlign w:val="bottom"/>
            <w:gridSpan w:val="2"/>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Comprehensive Earnings</w:t>
              </w:r>
            </w:hyperlink>
          </w:p>
        </w:tc>
        <w:tc>
          <w:tcPr>
            <w:tcW w:w="61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F-6</w:t>
              </w:r>
            </w:hyperlink>
          </w:p>
        </w:tc>
        <w:tc>
          <w:tcPr>
            <w:tcW w:w="440" w:type="dxa"/>
            <w:vAlign w:val="bottom"/>
            <w:gridSpan w:val="2"/>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Changes in Shareholders' Equity</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F-7</w:t>
              </w:r>
            </w:hyperlink>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top w:val="single" w:sz="8" w:color="0000EE"/>
            </w:tcBorders>
            <w:gridSpan w:val="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Cash Flows</w:t>
              </w:r>
            </w:hyperlink>
          </w:p>
        </w:tc>
        <w:tc>
          <w:tcPr>
            <w:tcW w:w="5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F-8</w:t>
              </w:r>
            </w:hyperlink>
          </w:p>
        </w:tc>
        <w:tc>
          <w:tcPr>
            <w:tcW w:w="440" w:type="dxa"/>
            <w:vAlign w:val="bottom"/>
            <w:gridSpan w:val="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F-9</w:t>
              </w:r>
            </w:hyperlink>
          </w:p>
        </w:tc>
      </w:tr>
      <w:tr>
        <w:trPr>
          <w:trHeight w:val="561"/>
        </w:trPr>
        <w:tc>
          <w:tcPr>
            <w:tcW w:w="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 Schedule:</w:t>
            </w:r>
          </w:p>
        </w:tc>
        <w:tc>
          <w:tcPr>
            <w:tcW w:w="71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II - Valuation and Qualifying Accounts and Reserves</w:t>
              </w:r>
            </w:hyperlink>
          </w:p>
        </w:tc>
        <w:tc>
          <w:tcPr>
            <w:tcW w:w="1140" w:type="dxa"/>
            <w:vAlign w:val="bottom"/>
            <w:gridSpan w:val="5"/>
          </w:tcPr>
          <w:p>
            <w:pPr>
              <w:jc w:val="cente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F-48</w:t>
              </w:r>
            </w:hyperlink>
          </w:p>
        </w:tc>
      </w:tr>
      <w:tr>
        <w:trPr>
          <w:trHeight w:val="50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Laboratory Corporation of America Holdings: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Laboratory Corporation of America Holdings and its subsidiaries as of December 31, 2017, and December 31, 2016, and the related consolidated statements of operations, comprehensive earnings, changes in shareholders’ equity and cash flows for each of the three years in the period ended December 31, 2017, including the related notes and schedule of valuation and qualifying accounts and reserves for each of the three years in the period ended December 31, 2017 listed in the accompanying index (collectively referred to as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December 31, 2016</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the Report of Management on Internal Control over Financial Reporting appearing under Item 9A, management has excluded Chiltern International Group Limited and Pathology Associates Medical Laboratories from its assessment of internal control over financial reporting as of December 31, 2017, because they were acquired by the Company in a purchase business combination during 2017. We have also excluded Chiltern International Group Limited and Pathology Associates Medical Laboratories from our audit of internal control over financial reporting. Chiltern International Group Limited and Pathology Associates Medical Laboratories are wholly-owned subsidiaries whose total assets and total revenues excluded from management’s assessment and our audit of internal control over financial reporting represent 1.9% and 4.0%, respectively, of the related consolidated financial statement amounts as of and for the year ended December 31, 2017.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4"/>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1"/>
              </w:rPr>
              <w:t>Accounts receivable, net of allowance for doubtful accounts of $260.9 and $235.6 at December 31, 2017</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2016, respectively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7,530.0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6,424.4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16,568.0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14,247.0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9,717.2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8,726.0</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w w:val="98"/>
              </w:rPr>
              <w:t>Common stock, 101.9 and 102.7 shares outstanding at December 31, 2017 and 2016, respectively</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4,955.8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71"/>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5,505.8</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16,568.0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10,205.9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Reimbursable out-of-pocket expenses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174.4</w:t>
            </w: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10,441.4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9,641.8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8,680.1</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cost of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6,741.9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5,602.4</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out-of-pocket expenses</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6,977.4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6,461.3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5,776.8</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1,628.1</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income (expenses):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Equity method income, net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287.3</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8380" w:type="dxa"/>
            <w:vAlign w:val="bottom"/>
            <w:gridSpan w:val="4"/>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COMPREHENSIVE EARNINGS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(370.7)</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Investment adjustments</w:t>
            </w: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4"/>
        </w:trPr>
        <w:tc>
          <w:tcPr>
            <w:tcW w:w="74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 related to items of comprehensive earnings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Comprehensive earnings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162.2</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comprehensive earnings attributable to Laboratory Corporation of America Holdings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1,513.6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161.1</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9"/>
              </w:rPr>
              <w:t>Total</w:t>
            </w: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Paid-in</w:t>
            </w:r>
          </w:p>
        </w:tc>
        <w:tc>
          <w:tcPr>
            <w:tcW w:w="18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Shareholders’</w:t>
            </w:r>
          </w:p>
        </w:tc>
      </w:tr>
      <w:tr>
        <w:trPr>
          <w:trHeight w:val="201"/>
        </w:trPr>
        <w:tc>
          <w:tcPr>
            <w:tcW w:w="4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7"/>
              </w:rPr>
              <w:t>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Equity</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2,820.5</w:t>
            </w: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437.6</w:t>
            </w: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for acquisition consideration</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1,761.0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1,762.5</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102.1</w:t>
            </w:r>
          </w:p>
        </w:tc>
      </w:tr>
      <w:tr>
        <w:trPr>
          <w:trHeight w:val="283"/>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38"/>
        </w:trPr>
        <w:tc>
          <w:tcPr>
            <w:tcW w:w="446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1,974.5</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4,223.7</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(978.1)</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4,945.1</w:t>
            </w:r>
          </w:p>
        </w:tc>
      </w:tr>
      <w:tr>
        <w:trPr>
          <w:trHeight w:val="163"/>
        </w:trPr>
        <w:tc>
          <w:tcPr>
            <w:tcW w:w="4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732.1</w:t>
            </w:r>
          </w:p>
        </w:tc>
      </w:tr>
      <w:tr>
        <w:trPr>
          <w:trHeight w:val="264"/>
        </w:trPr>
        <w:tc>
          <w:tcPr>
            <w:tcW w:w="4460" w:type="dxa"/>
            <w:vAlign w:val="bottom"/>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(294.1)</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109.6</w:t>
            </w:r>
          </w:p>
        </w:tc>
      </w:tr>
      <w:tr>
        <w:trPr>
          <w:trHeight w:val="283"/>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238"/>
        </w:trPr>
        <w:tc>
          <w:tcPr>
            <w:tcW w:w="446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2,131.7</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4,955.8</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(1,012.7)</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(581.1)</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5,505.8</w:t>
            </w:r>
          </w:p>
        </w:tc>
      </w:tr>
      <w:tr>
        <w:trPr>
          <w:trHeight w:val="163"/>
        </w:trPr>
        <w:tc>
          <w:tcPr>
            <w:tcW w:w="4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w:t>
            </w:r>
          </w:p>
        </w:tc>
      </w:tr>
      <w:tr>
        <w:trPr>
          <w:trHeight w:val="264"/>
        </w:trPr>
        <w:tc>
          <w:tcPr>
            <w:tcW w:w="4460" w:type="dxa"/>
            <w:vAlign w:val="bottom"/>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245.4</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Surrender of restricted stock and performance share awards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109.7</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w:t>
            </w:r>
          </w:p>
        </w:tc>
      </w:tr>
      <w:tr>
        <w:trPr>
          <w:trHeight w:val="243"/>
        </w:trPr>
        <w:tc>
          <w:tcPr>
            <w:tcW w:w="446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1,989.8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6,224.0</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(1,060.1)</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(335.7)</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6,830.0</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5"/>
              </w:rPr>
              <w:t>(In Millions)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4"/>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Stock compensation</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loss on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Cumulative earnings less than distributions from equity method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in unbilled services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in 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decrease in prepaid expenses and other</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increase in 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Increase in unearned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 accrued expenses and other</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1,459.4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1,175.9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982.4</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Proceeds from sale of investments</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licensing technology</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(3,994.9)</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Notes offerings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bridge loan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bridge loan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 distributions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Deferred payments on acquisitions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benefits from stock based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3,184.6</w:t>
            </w:r>
          </w:p>
        </w:tc>
        <w:tc>
          <w:tcPr>
            <w:tcW w:w="0" w:type="dxa"/>
            <w:vAlign w:val="bottom"/>
          </w:tcPr>
          <w:p>
            <w:pPr>
              <w:spacing w:after="0"/>
              <w:rPr>
                <w:sz w:val="1"/>
                <w:szCs w:val="1"/>
                <w:color w:val="auto"/>
              </w:rPr>
            </w:pP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08" w:right="239" w:bottom="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440" w:firstLine="8"/>
        <w:spacing w:after="0" w:line="385"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Financial Statement Presentation</w:t>
      </w:r>
    </w:p>
    <w:p>
      <w:pPr>
        <w:spacing w:after="0" w:line="2"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6"/>
          <w:szCs w:val="16"/>
          <w:color w:val="auto"/>
        </w:rPr>
        <w:t>Laboratory Corporation of America Holdings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together with its subsidiaries (the Company) is a leading global life sciences company that is deeply integrated in guiding patient care, providing comprehensive clinical laboratory and end-to-end drug development services. The Company’s mission is to improve health and improve lives by delivering world-class diagnostic solutions, bringing innovative medicines to patients faster and using technology to provide better care. The Company serves a broad range of customers, including managed care organizations (MCOs), biopharmaceutical companies, governmental agencies, physicians and other healthcare providers (e.g. physician assistants and nurse practitioners, generally referred to herein as physicians), hospitals and health systems, employers, patients and consumers, contract research organizations, food and nutritional companies and independent clinical laboratories. The Company believes that it generated more revenue from laboratory testing than any other company in the world in 2017.</w:t>
      </w:r>
    </w:p>
    <w:p>
      <w:pPr>
        <w:spacing w:after="0" w:line="207"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20 to the Consolidated Financial Statements. In 2017, LCD and CDD contributed 70.3% and 29.7%, respectively, of net revenues to the Company, and in 2016 contributed 69.9% and 30.1%, respectively.</w:t>
      </w:r>
    </w:p>
    <w:p>
      <w:pPr>
        <w:spacing w:after="0" w:line="214"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22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LCD recognizes revenue on the accrual basis at the time test results are reported, which approximates when services are provided. Services are provided to certain patients covered by various third-party payer programs including various MCOs, as well as the Medicare and Medicaid programs. Billings for services under third-party payer programs are included in sales net of allowances for contractual discounts and allowances for differences between the amounts billed and estimated program payment amounts. Adjustments to the estimated payment amounts based on final settlement with the programs are recorded upon settlement as an adjustment to revenue. In 2017, 2016 and 2015, approximately 15.1%, 15.5% and 16.0%, respectively, of LCD's revenues were derived directly from the Medicare and Medicaid programs. LCD has capitated agreements with certain MCO customers and recognizes related revenue based on a predetermined monthly contractual rate for each member of the managed care plan regardless of the number of tests performed. In 2017, 2016 and 2015, approximately 3.6%, 3.4% and 3.5%, respectively, of LCD's revenues were derived from such capitated agreements.</w:t>
      </w:r>
    </w:p>
    <w:p>
      <w:pPr>
        <w:spacing w:after="0" w:line="19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Occasionally, CDD also has committed minimum volume arrangements with certain customers. Underlying these arrangements are individual project contracts for the specific services to be provided. These arrangements enable CDD's customers to secure its services in exchange for which they commit to purchase an annual minimum dollar value of services. Under these types of arrangements, if the annual minimum dollar value of service commitment is not reached, the customer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customer.</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preclinical services, include among others, the number of slides read, or specimens prepared.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Examples of output measures in the clinical trials services, include among others, number of investigators enrolled, number of sites initiated, number of trial subjects enrolled and number of monitoring visits completed, or number of dosings for clinical pharmacology.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customer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20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CDD bills the customer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21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19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customer is invoiced. In these cases, revenue recognized will exceed amounts billed, and the difference, representing an unbilled receivable, is recorded for the amount that is currently unbillable to the customer pursuant to contractual terms. Once the customer is invoiced, the unbilled services are reduced for the amount billed, and a corresponding account receivable is recorded. All unbilled services are billable to customers within one year from the respective balance sheet date.</w:t>
      </w:r>
    </w:p>
    <w:p>
      <w:pPr>
        <w:spacing w:after="0" w:line="19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Most contracts are terminable with or without cause by the customer,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clinical trial subjects and certain out-of-pocket costs, for which it is reimbursed at cost, without markup or profit. Investigator fees are not reflected in net revenues or expenses where CDD acts in the capacity of an agent on behalf of the biopharmaceutical company sponsor, passing through these costs without markup or profit. All other out-of-pocket costs are included in total revenues and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The Company's total revenues are comprised of the following:</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4"/>
                <w:szCs w:val="24"/>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LCD - 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CDD - net revenue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CDD - reimbursable out-of-pocket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Intercompany eliminations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10,441.4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8,680.1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6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biopharmaceutical company sponsors with regard to investigator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the allowances for doubtful accounts, deferred tax assets, fair values and amortization lives for intangible assets, and accruals for self-insurance reserves and pensions. The allowance for doubtful accounts is determined based on historical collections trends, the aging of accounts, current economic conditions and regulatory changes. Actual results could differ from those estimates.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9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maintains cash and cash equivalents with various major financial institutions. The total cash and cash equivalent balances that exceeded the balances insured by the Federal Deposit Insurance Commission, were approximately $315.5 at December 31, 2017.</w:t>
      </w:r>
    </w:p>
    <w:p>
      <w:pPr>
        <w:spacing w:after="0" w:line="19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Substantially all of the Company’s accounts receivable are with companies in the healthcare or biopharmaceutical industry and individuals. However, concentrations of credit risk are limited due to the number of the Company’s customers as well as their dispersion across many different geographic regions.</w:t>
      </w:r>
    </w:p>
    <w:p>
      <w:pPr>
        <w:spacing w:after="0" w:line="15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Although LCD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$109.8 and $113.0 at December 31, 2017, and 2016, respectively.</w:t>
      </w:r>
    </w:p>
    <w:p>
      <w:pPr>
        <w:spacing w:after="0" w:line="174"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balances from the Ontario government sponsored healthcare plan were CAD $12.9 and CAD $15.8 at December 31, 2017, and 2016, respectively.</w:t>
      </w:r>
    </w:p>
    <w:p>
      <w:pPr>
        <w:spacing w:after="0" w:line="1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2017, and 2016, receivables due from patients represented approximately 20.9% and 20.0% of the Company's consolidated gross accounts receivable. The Company applies assumptions and judgments including historical collection experience for assessing collectability and determining allowances for doubtful accounts for accounts receivable from patients.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dilutive common shares result primarily from the Company’s outstanding stock options, restricted stock awards, performance share awards, and shares issuable upon conversion of zero-coupon subordinated notes.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Per Share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6"/>
                <w:szCs w:val="16"/>
                <w:color w:val="auto"/>
                <w:w w:val="86"/>
              </w:rPr>
              <w:t>Per Share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w w:val="97"/>
              </w:rPr>
              <w:t>Per Share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Income</w:t>
            </w: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Amount</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Amount</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Income</w:t>
            </w: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40"/>
        </w:trPr>
        <w:tc>
          <w:tcPr>
            <w:tcW w:w="3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1,268.2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Stock options</w:t>
            </w:r>
          </w:p>
        </w:tc>
        <w:tc>
          <w:tcPr>
            <w:tcW w:w="200" w:type="dxa"/>
            <w:vAlign w:val="bottom"/>
          </w:tcPr>
          <w:p>
            <w:pPr>
              <w:spacing w:after="0" w:line="20" w:lineRule="exact"/>
              <w:rPr>
                <w:sz w:val="1"/>
                <w:szCs w:val="1"/>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Effect of convertible debt, net of tax</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CCEEFF"/>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CCEEFF"/>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color w:val="auto"/>
                <w:w w:val="92"/>
              </w:rPr>
              <w:t>Years Ended December 31,</w:t>
            </w:r>
          </w:p>
        </w:tc>
        <w:tc>
          <w:tcPr>
            <w:tcW w:w="90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720" w:type="dxa"/>
            <w:vAlign w:val="bottom"/>
            <w:gridSpan w:val="3"/>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7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measures stock compensation cost for all equity awards at fair value on the date of grant and recognizes compensation expense over the service period for awards expected to vest. The fair value of restricted stock units and performance share awards is determined based on the number of shares granted and the quoted price of the Company’s common stock on the grant date. Such value is recognized as expense over the service period, net of estimated forfeitures. The estimation of equity awards that will ultimately vest requires judgment and the Company considers many factors when estimating expected forfeitures, including types of awards, employee class, and historical experience. The cumulative effect on current and prior periods of a change in the estimated forfeiture rate is recognized as compensation expense in earnings in the period of the revision. Actual results and future estimates may differ substantially from the Company’s current estimates.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14 for assumptions used in calculating compensation expense for the Company’s stock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substantially all of which have maturities when purchased of three months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Inventories, consisting primarily of purchased laboratory and customer supplies and finished goods, are stated at the lower of cost (first-in, first-out) or market. Supplies accounted for $195.2 and $171.7 and finished goods accounted for $32.4 and $33.5 of total inventory at December 31, 2017, and 2016,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in the accompanying consolidated balance sheets and totaled $138.2 at December 31, 2017, and $97.1 at December 31, 2016.</w:t>
      </w:r>
    </w:p>
    <w:p>
      <w:pPr>
        <w:spacing w:after="0" w:line="17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Also included in prepaid expenses and other current assets are assets held for sale. The Company records long-lived assets as held for sale when a plan to sell the asset has been initiated and all other held for sale criteria have been satisfied. Assets classified as held for sale of $55.2 and $51.2 as of December 31, 2017, and 2016, respectively, are recorded in other current assets on the consolidated balance sheet at the lower of their carrying value or fair value less cost to sell.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Property, plant and equipment are recorded at cost. The cost of properties held under capital leases is equal to the lower of the net present value of the minimum lease payments or the fair value of the leased property at the inception of the lease. Depreciation and amortization expense is computed on all classes of assets based on their estimated useful lives, as indicated below, using the straight-line method.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bl>
    <w:p>
      <w:pPr>
        <w:spacing w:after="0" w:line="6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Leasehold improvements and assets held under capital leases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12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capitalizes purchased software which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generally five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In accordance with the FASB updates to their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quantitative assessment. Similarly, a company can proceed directly to a quantitative assessment in the case of impairment testing for indefinite-lived intangible assets as well.</w:t>
      </w:r>
    </w:p>
    <w:p>
      <w:pPr>
        <w:spacing w:after="0" w:line="20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quantitative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An entity should recognize an impairment charge for the amount by which the carrying amount exceeds the reporting unit’s fair value; however, the loss recognized should not exceed the total amount of goodwill allocated to that reporting unit.</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2017. The Company elected to perform the qualitative assessment for goodwill and intangible assets for all reporting units except the Canadian reporting unit and its indefinite-lived assets consisting of acquired Canadian licenses for which a quantitative assessment was performed.</w:t>
      </w:r>
    </w:p>
    <w:p>
      <w:pPr>
        <w:spacing w:after="0" w:line="20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20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2017,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ectPr>
          <w:pgSz w:w="11900" w:h="16838" w:orient="portrait"/>
          <w:cols w:equalWidth="0" w:num="1">
            <w:col w:w="11420"/>
          </w:cols>
          <w:pgMar w:left="240" w:top="125"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2017 will prove to be accurate predictions of the future, if, for example, (i) the businesses do not perform as projected, (ii) overall economic conditions in 2018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earnings before interest, tax, depreciation and amortization (EBITDA). A future impairment charge for goodwill or intangible assets could have a material effect on the Company's consolidated financial position and results of operations.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11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costs related to the issuance of debt are capitalized, netted against the related debt for presentation purposes and amortized to interest expense over the terms of the related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 The Company’s zero-coupon subordinated notes contain two features that are considered to be embedded derivative instruments under authoritative guidance in connection with accounting for derivative instruments and hedging activities. The Company believes these embedded derivatives had no fair value at December 31, 2017, and 2016.</w:t>
      </w:r>
    </w:p>
    <w:p>
      <w:pPr>
        <w:spacing w:after="0" w:line="21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See Note 18 for the Company’s objectives in using derivative instruments and the effect of derivative instruments and related hedged items on the Company’s financial position, financial performance and cash flows.</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expenses R&amp;D costs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GAAP.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The standard will be effective for the Company beginning January 1, 2018.</w:t>
      </w:r>
    </w:p>
    <w:p>
      <w:pPr>
        <w:spacing w:after="0" w:line="19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Company will adopt the full retrospective method allowed by this standard effective January 1, 2018, and is continuing to evaluate the expected impact of the standard. Currently, the Company expects this standard to reduce LCD revenue but increase LCD operating margins due to the recording of substantially all LCD bad debt expense against net revenues (versus selling, general and administrative expense) as an implicit price reduction. The Company expects this standard to increase CDD reported revenue and decrease gross profit margin due to inclusion of reimbursable out-of-pocket expenses and investigator fees in revenues and cost of sales. In addition, the Company expects the timing of revenue recognition for customer contracts in the clinical business to accelerate, as revenue from study related change orders will be included in the total transaction price and recognized as the single performance obligation is satisfied, when reasonably estimated, which is often prior to the signed change order threshold used previously. CDD will also discontinue its current practice of expensing sales commissions when paid upon the execution of a customer contract and instead will recognize this selling expense over the weighted average of the underlying contract terms for each major revenue stream. Based on its preliminary analysis, the Company currently anticipates that 2017 total revenue will be approximately 2% to 5% higher under the new standard upon retrospective restatement consisting of an increase in CDD revenue (due in large part to the inclusion of out-of-pocket and investigator fees in revenue) partially offset by a decrease in LCD revenue (due to the recording of bad debt expense as an offset within revenue). The Company also anticipates enhanced financial statement disclosures surrounding the nature, amount, timing and uncertainty of revenue and cash flows arising from contracts with customers. The Company is currently performing a detailed contract review which will be completed before the final quantification of the impact of the standard is completed. The impact of the new standard will be finalized upon adoption in the first quarter of 2018 and is therefore subject to change.</w:t>
      </w:r>
    </w:p>
    <w:p>
      <w:pPr>
        <w:spacing w:after="0" w:line="2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The Company is evaluating the impact that this new standard will have on the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for the Company on January 1, 2019. The Company has selected its leasing software solution and is evaluating the impact that this new standard will have on the consolidated financial statements.</w:t>
      </w:r>
    </w:p>
    <w:p>
      <w:pPr>
        <w:spacing w:after="0" w:line="20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GAAP with one that reflects expected credit losses and requires consideration of a broader range of reasonable and supportable information to inform credit loss estimates. The update is effective on January 1, 2020, with early adoption permitted. The Company is currently evaluating the impact this new standard will have on the consolidated financial statements.</w:t>
      </w:r>
    </w:p>
    <w:p>
      <w:pPr>
        <w:spacing w:after="0" w:line="21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August 2016, the FASB issued a new accounting standard that will make eight targeted changes to how cash receipts and cash payments are presented and classified in the statement of cash flows. This update is effective on January 1, 2018, and will require adoption on a retrospective basis. The Company expects the adoption of this standard to reclassify interest paid upon conversion of its zero-coupon subordinated notes from a financing activity to an operating activity and potentially to impact the classification of deferred acquisition payments depending upon timing and amount of final payout.</w:t>
      </w:r>
    </w:p>
    <w:p>
      <w:pPr>
        <w:spacing w:after="0" w:line="11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January 2017, the FASB issued a new accounting standard that changes the definition of a business to assist entities with evaluating when a set of transferred assets and activities is a business. This update is effective on January 1, 2018, with early adoption permitted. The Company is currently evaluating the impact the application of this new standard will have on the consolidated financial statements. This adoption of this standard is not expected to have a material impact on the consolidated financial statements.</w:t>
      </w:r>
    </w:p>
    <w:p>
      <w:pPr>
        <w:spacing w:after="0" w:line="1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2017, the FASB issued a new accounting standard that eliminates Step 2 of the goodwill impairment test. Instead,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The update is effective for public business entities for the first interim and annual reporting periods beginning after January 1, 2020 with early adoption permitted for interim or annual goodwill impairment tests performed on testing dates after January 1, 2017. The Company adopted this standard effective January 1, 2017.</w:t>
      </w:r>
    </w:p>
    <w:p>
      <w:pPr>
        <w:spacing w:after="0" w:line="14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March 2017, the FASB issued a new accounting standard that requires employers that present a measure of operating income in their statement of income to include only the service cost component of net periodic pension cost and net periodic post-retirement benefit cost in operating expenses with other employee compensation costs. The other components of net benefit cost, including amortization of prior service cost/credit, and settlement and curtailment effects are to be included in non-operating expenses. This update is effective on January 1, 2018, with early adoption permitted. The Company expects that the adoption of this standard will reduce operating margin due to the service cost remaining in operating expenses with no offset from the other components of net pension cost. This will have no impact on net earnings.</w:t>
      </w:r>
    </w:p>
    <w:p>
      <w:pPr>
        <w:spacing w:after="0" w:line="15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2017, the FASB issued a new accounting standard that amends the scope of modification accounting for share-based payment arrangements and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is effective on January 1, 2018, with early adoption permitted and should be applied prospectively to an award modified on or after the adoption date.</w:t>
      </w:r>
    </w:p>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July 2017, the FASB issued a new accounting standard intended to reduce the complexity associated with the issuer's accounting for certain financial instruments with characteristics of liabilities and equity. Specifically, a down round feature would no longer cause a free-standing equity-linked financial instrument (or embedded conversion option) to be accounted for as a derivative liability at fair value with changes in fair value recognized in current earnings. This update is effective on January 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2019, with early adoption permitted and the option to use the retrospective or modified retrospective adoption method. The Company is currently evaluating the impact this new standard will have on the consolidated financial statements.</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2017, the FASB issued a new accounting standard intended to more closely align hedge accounting with companies' risk management strategies, simplify the application of hedge accounting and increase transparency as to the scope and results of hedging programs. As a result, more hedging strategies will be eligible for hedge accounting. This update is effective on January 1, 2019, with early adoption permitted. The Company is currently evaluating the impact this new standard will have on the consolidated financial statements.</w:t>
      </w:r>
    </w:p>
    <w:p>
      <w:pPr>
        <w:spacing w:after="0" w:line="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BUSINESS ACQUISITIONS</w:t>
      </w:r>
    </w:p>
    <w:p>
      <w:pPr>
        <w:spacing w:after="0" w:line="13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September 1, 2017, the Company completed the acquisition of Chiltern International Group Limited (Chiltern), a specialty contract research organization, pursuant to a definitive agreement to acquire all of the share capital of Chiltern, in an all-cash transaction valued at approximately $1,224.5. The Company funded the acquisition through a combination of bank financing and the issuance of bonds. Chiltern is part of the Company's CDD segment.</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valuation of acquired assets and assumed liabilities as of September 1, 2017,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100330</wp:posOffset>
            </wp:positionV>
            <wp:extent cx="70408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1,224.5</w:t>
            </w:r>
          </w:p>
        </w:tc>
      </w:tr>
      <w:tr>
        <w:trPr>
          <w:trHeight w:val="162"/>
        </w:trPr>
        <w:tc>
          <w:tcPr>
            <w:tcW w:w="4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5"/>
        </w:trPr>
        <w:tc>
          <w:tcPr>
            <w:tcW w:w="4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Measurement Period</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Preliminary as of</w:t>
            </w:r>
          </w:p>
        </w:tc>
      </w:tr>
      <w:tr>
        <w:trPr>
          <w:trHeight w:val="261"/>
        </w:trPr>
        <w:tc>
          <w:tcPr>
            <w:tcW w:w="4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Initial</w:t>
            </w: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4"/>
              </w:rPr>
              <w:t>December 31, 2017</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3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services</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3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3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760.5</w:t>
            </w: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3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Favorable leases</w:t>
            </w:r>
          </w:p>
        </w:tc>
        <w:tc>
          <w:tcPr>
            <w:tcW w:w="13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1,626.9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1,638.9</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3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124.2</w:t>
            </w:r>
          </w:p>
        </w:tc>
      </w:tr>
      <w:tr>
        <w:trPr>
          <w:trHeight w:val="27"/>
        </w:trPr>
        <w:tc>
          <w:tcPr>
            <w:tcW w:w="4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3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1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1,224.5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1,224.5</w:t>
            </w:r>
          </w:p>
        </w:tc>
      </w:tr>
      <w:tr>
        <w:trPr>
          <w:trHeight w:val="20"/>
        </w:trPr>
        <w:tc>
          <w:tcPr>
            <w:tcW w:w="4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8"/>
          <w:szCs w:val="18"/>
          <w:color w:val="auto"/>
        </w:rPr>
        <w:t>The amortization periods for intangible assets acquired are 21 years for customer relationships, 4 years for trade names and trademarks, and 6 years for technology. During the fourth quarter, the Company recorded certain measurement period adjustments to appropriately state the fair value of the net assets acquired from Chiltern. Given the September 1, 2017 closing date of the Chiltern acquisition, these adjustments would have had no material income statement impact had they been recorded as part of the initial purchase price allocation.</w:t>
      </w:r>
    </w:p>
    <w:p>
      <w:pPr>
        <w:spacing w:after="0" w:line="187" w:lineRule="exact"/>
        <w:rPr>
          <w:sz w:val="20"/>
          <w:szCs w:val="20"/>
          <w:color w:val="auto"/>
        </w:rPr>
      </w:pPr>
    </w:p>
    <w:p>
      <w:pPr>
        <w:ind w:right="1120" w:firstLine="243"/>
        <w:spacing w:after="0" w:line="352" w:lineRule="auto"/>
        <w:rPr>
          <w:sz w:val="20"/>
          <w:szCs w:val="20"/>
          <w:color w:val="auto"/>
        </w:rPr>
      </w:pPr>
      <w:r>
        <w:rPr>
          <w:rFonts w:ascii="Arial" w:cs="Arial" w:eastAsia="Arial" w:hAnsi="Arial"/>
          <w:sz w:val="18"/>
          <w:szCs w:val="18"/>
          <w:color w:val="auto"/>
        </w:rPr>
        <w:t xml:space="preserve">The acquisition contributed $188.4 and $11.6 of net revenue and operating income, respectively, during the year ended December 31, 2017. </w:t>
      </w:r>
      <w:r>
        <w:rPr>
          <w:rFonts w:ascii="Arial" w:cs="Arial" w:eastAsia="Arial" w:hAnsi="Arial"/>
          <w:sz w:val="18"/>
          <w:szCs w:val="18"/>
          <w:i w:val="1"/>
          <w:iCs w:val="1"/>
          <w:color w:val="auto"/>
        </w:rPr>
        <w:t>Unaudited Pro Forma Information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Chiltern acquisition on September 1, 2017. Had the Chiltern acquisition been completed as of January 1, 2016, the Company's pro forma results for 2017 would have been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2"/>
          </w:tcPr>
          <w:p>
            <w:pPr>
              <w:ind w:left="1340"/>
              <w:spacing w:after="0"/>
              <w:rPr>
                <w:sz w:val="20"/>
                <w:szCs w:val="20"/>
                <w:color w:val="auto"/>
              </w:rPr>
            </w:pPr>
            <w:r>
              <w:rPr>
                <w:rFonts w:ascii="Arial" w:cs="Arial" w:eastAsia="Arial" w:hAnsi="Arial"/>
                <w:sz w:val="18"/>
                <w:szCs w:val="18"/>
                <w:color w:val="auto"/>
              </w:rPr>
              <w:t>Year Ended</w:t>
            </w:r>
          </w:p>
        </w:tc>
        <w:tc>
          <w:tcPr>
            <w:tcW w:w="1080" w:type="dxa"/>
            <w:vAlign w:val="bottom"/>
          </w:tcPr>
          <w:p>
            <w:pPr>
              <w:spacing w:after="0"/>
              <w:rPr>
                <w:sz w:val="20"/>
                <w:szCs w:val="20"/>
                <w:color w:val="auto"/>
              </w:rPr>
            </w:pPr>
          </w:p>
        </w:tc>
      </w:tr>
      <w:tr>
        <w:trPr>
          <w:trHeight w:val="270"/>
        </w:trPr>
        <w:tc>
          <w:tcPr>
            <w:tcW w:w="7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2017</w:t>
            </w: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December 31, 2016</w:t>
            </w:r>
          </w:p>
        </w:tc>
      </w:tr>
      <w:tr>
        <w:trPr>
          <w:trHeight w:val="34"/>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10,576.3</w:t>
            </w:r>
          </w:p>
        </w:tc>
        <w:tc>
          <w:tcPr>
            <w:tcW w:w="90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9,937.4</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1,377.0</w:t>
            </w:r>
          </w:p>
        </w:tc>
        <w:tc>
          <w:tcPr>
            <w:tcW w:w="9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1,258.3</w:t>
            </w:r>
          </w:p>
        </w:tc>
        <w:tc>
          <w:tcPr>
            <w:tcW w:w="9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714.3</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12.29</w:t>
            </w:r>
          </w:p>
        </w:tc>
        <w:tc>
          <w:tcPr>
            <w:tcW w:w="90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6.97</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During the year ended December 31, 2017, the Company also acquired various laboratories and related assets, including Pathology Associates Medical Laboratories (PAML), for approximately $688.8 in cash (net of cash acquired). These acquisitions were made primarily to extend the Company's geographic reach in important market areas and/or enhance the Company's scientific differentiation and esoteric testing capabilities. The purchase consideration for these acquisitions, including Chiltern, has been allocated to the estimated fair market value of the net assets acquired, including approximately $1,053.0 in identifiable intangible assets (primarily customer relationships and non-compete agreements) and a residual amount of goodwill of approximately $1,009.8.</w:t>
      </w:r>
    </w:p>
    <w:p>
      <w:pPr>
        <w:spacing w:after="0" w:line="6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a result of the acquisition of PAML, the Company acquired PAML’s ownership interests in six joint ventures. During 2017, the Company further acquired the ownership interests of the other members of two of the six joint ventures, and the Company’s ownership interest in one of the six joint ventures was acquired by the other member. During 2018, the Company intends to acquire the membership interests of the other members of an additional two of these six joint ventures and will continue to evaluate future options for the membership interests in the sixth joint venture. The Company will continue to record minority interests in the consolidated joint ventures for which final transactions have not yet been completed. The purchase consideration for the transaction has been preliminarily allocated to the estimated fair market value of the net assets acquired. The amounts paid in advance for the ownership interest in the three joint ventures are included in other assets on the condensed consolidated balance sheet. The total purchase consideration for the transaction is classified as cash paid for acquisition of a business on the condensed consolidated statement of cash flows.</w:t>
      </w:r>
    </w:p>
    <w:p>
      <w:pPr>
        <w:spacing w:after="0" w:line="7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purchase price allocation for the Chiltern and PAML acquisitions are still preliminary and subject to change. The areas of the purchase price allocation that are not yet finalized relate primarily to intangible assets, goodwill, investment in joint ventures and the impact of finalizing deferred taxes. Accordingly, adjustments may be made as additional information is obtained about the facts and circumstances that existed as of the valuation date. The Company expects these purchase price allocations to be finalized within a year from each acquisition date. Any adjustments will be recorded in the period in which they are identified.</w:t>
      </w:r>
    </w:p>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year ended December 31, 2016, the Company acquired various laboratories and related assets for approximately$548.6 in cash (net of cash acquired).</w:t>
      </w:r>
    </w:p>
    <w:p>
      <w:pPr>
        <w:spacing w:after="0" w:line="19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Company completed the acquisition of Sequenom, Inc., a market leader in non-invasive prenatal testing, women's health and reproductive genetics on September 7, 2016, through a cash tender offer for $2.40 per share, or a transaction price of $249.1, net of cash received, and acquired $130.0 of debt. The Sequenom purchase consideration has been allocated to the estimated fair market value of the net assets acquired, including approximately $146.6 in identifiable intangible assets (primarily customer relationships, technology, and trade names) with weighted-average useful lives of approximately 14.6 years; $45.1 in deferred tax liabilities (relating to identifiable intangible assets); and a residual amount of non-tax deductible goodwill of approximately $206.0.</w:t>
      </w:r>
    </w:p>
    <w:p>
      <w:pPr>
        <w:spacing w:after="0" w:line="18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acquired various other laboratories and related assets for approximately $299.5 in cash (net of cash acquired). The purchase consideration for these acquisitions has been allocated to the estimated fair market value of the net assets acquired, including approximately $126.2 in identifiable intangible assets (primarily customer relationships) and a residual amount of goodwill of approximately $192.3. These acquisitions were made primarily to extend the Company's geographic reach in important market areas and/or enhance the Company's scientific differentiation and esoteric testing capabilities.</w:t>
      </w:r>
    </w:p>
    <w:p>
      <w:pPr>
        <w:spacing w:after="0" w:line="21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On February 19, 2015, the Company completed its acquisition of Covance Inc. (Covance), a leading drug development services company and a leader in nutritional analysis, for $6,150.7. The Company issued debt and common stock to fund the acquisition of Covance. Covance stockholders received $75.76 in cash and 0.2686 shares of the Company's common stock for each share of Covance common stock they owned. The Company financed the Covance acquisition with $3,900.0 of debt, 15.3 shares of its common stock and $488.2 of available cash, $400.0 of which was derived from a bridge term loan credit facility. 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The Company also entered into a $1,000.0 term loan facility which was advanced in full on the February 19, 2015. The term loan credit facility will mature five years after the closing date of the Covance acquisition and may be prepaid without penalty.</w:t>
      </w:r>
    </w:p>
    <w:p>
      <w:pPr>
        <w:sectPr>
          <w:pgSz w:w="11900" w:h="16838" w:orient="portrait"/>
          <w:cols w:equalWidth="0" w:num="1">
            <w:col w:w="11420"/>
          </w:cols>
          <w:pgMar w:left="240" w:top="125"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the acquisition of Covance on February 19, 2015. Had the acquisition been completed as of the beginning of 2014, the Company's pro forma results for 2015 would have been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Year Ended</w:t>
            </w:r>
          </w:p>
        </w:tc>
      </w:tr>
      <w:tr>
        <w:trPr>
          <w:trHeight w:val="230"/>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2015</w:t>
            </w:r>
          </w:p>
        </w:tc>
      </w:tr>
      <w:tr>
        <w:trPr>
          <w:trHeight w:val="34"/>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1,117.2</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5.03</w:t>
            </w:r>
          </w:p>
        </w:tc>
      </w:tr>
    </w:tbl>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year ended December 31, 2015, the Company also acquired various other laboratories and related assets for approximately $128.4 in cash (net of cash acquired). These acquisitions were made primarily to extend the Company's geographic reach in important market areas and/or enhance the Company's scientific differentiation and esoteric testing capabilities. The purchase consideration for these acquisitions has been allocated to the estimated fair market value of the net assets acquired, including approximately $17.4 in identifiable intangible assets (primarily customer relationships and non-compete agreements) and a residual amount of goodwill of approximately $68.4.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OTHER SPECIAL CHARGES</w:t>
      </w:r>
    </w:p>
    <w:p>
      <w:pPr>
        <w:spacing w:after="0" w:line="1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2017, the Company recorded net restructuring charges of $70.9; $16.8 within LCD and $54.1 within CDD. The charges were comprised of $36.1 in severance and other personnel costs and $39.9 in facility-related costs primarily associated with general integration activities. The charges were offset by the reversal of previously established reserves of $0.5 in unused severance and $4.6 in unused facility-related costs. The Company also incurred legal and other costs of $43.9 relating to acquisition initiatives, including Chiltern. The Company recorded $25.4 in consulting and other expenses relating to the Covance and Chiltern integration and compensation analysis, along with $0.9 in short-term equity retention arrangements relating to the Covance acquisition. In addition, the Company incurred $1.3 in consulting expenses relating to fees incurred as part of its integration and management transition costs as well as $8.2 of non-capitalized costs associated with the implementation of a major system as part of its LaunchPad business process improvement initiative (all recorded in selling, general and administrative expenses). The Company also recognized asset impairment losses of $23.5 related to the termination of software development projects within the CDD segment and the forgiveness of certain indebtedness for LCD customers in areas heavily impacted by hurricanes during the third quarter.</w:t>
      </w:r>
    </w:p>
    <w:p>
      <w:pPr>
        <w:spacing w:after="0" w:line="20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April 25, 2017, the Company announced that it was expanding LaunchPad to include its CDD segment. The Company generated $20.0 in savings in 2017, and expects to achieve additional net savings of $130.0 through the three-year period ending 2020. This initiative is expected to align people and capabilities with client and business demand, utilize automation and new information technology platforms to create efficiencies, and enhance customers' experience with CDD through investments in commercial and operational processes.</w:t>
      </w:r>
    </w:p>
    <w:p>
      <w:pPr>
        <w:spacing w:after="0" w:line="21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2016, the Company recorded net restructuring charges of $58.4; $15.8 within LCD and $42.6 within CDD. The charges were comprised of $30.9 in severance and other personnel costs and $33.8 in facility-related costs primarily associated with general integration activities. The Company incurred additional legal and other costs of $4.6 relating to the wind down of its minimum volume service contract operations and incurred $8.0 in acquisition fees and expenses. The Company also recorded $6.9 in consulting expenses relating to fees incurred as part of its Covance acquisition integration costs and compensation analysis, along with $2.5 in short-term equity retention arrangements relating to the Covance acquisition and $8.9 of accelerated equity compensation and other final compensation relating to executive transition, along with $9.0 of non-capitalized costs associated with the implementation of a major system as part of LaunchPad, LCD's comprehensive, enterprise-wide business process improvement initiative (all recorded in selling, general and administrative expenses). The Company also recorded a $3.6 gain on sale for certain assets held for sale. The Company incurred $5.6 of interest expense relating to the early retirement of subsidiary indebtedness assumed as part of its recent acquisition of Sequenom.</w:t>
      </w:r>
    </w:p>
    <w:p>
      <w:pPr>
        <w:spacing w:after="0" w:line="194"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During 2015, the Company recorded net restructuring charges of $113.9; $39.2 within LCD and $74.7 within CDD. The charges were comprised of $59.2 in severance and other personnel costs and $55.8 in facility-related costs primarily associated with the ongoing integration of Orchid Cellmark, Inc. and the Integrated Genetics business (formerly Genzyme Genetics) and costs associated with the previously announced termination of an executive vice president. These charges were offset by the reversal of previously established reserves of $1.1 in unused facility-related costs. A substantial portion of these costs relate to the planned closure of two CDD operations that serviced a minimum volume contract that expired on October 31, 2015. These charges were offset by the reversal of previously established reserves of $3.5 in unused facility related costs. Included within the facility-related</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charges noted above is a $26.7 asset impairment charge relating to CDD lab and customer service applications that will no longer be used.</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during 2015, the Company recorded $25.6 in consulting expenses (recorded in selling, general and administrative expenses) relating to fees incurred as part of LaunchPad as well as Covance integration costs and employee compensation studies, along with $5.4 in short-term equity retention arrangements relating to the acquisition of Covance and $0.3 of accelerated equity compensation relating to the retirement of a Company executive (all recorded in selling, general and administrative expenses). The Company also incurred $5.7 relating to the wind down of the minimum volume contract operations referred to in the previous paragraph.</w:t>
      </w:r>
    </w:p>
    <w:p>
      <w:pPr>
        <w:spacing w:after="0" w:line="21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Additionally, the Company recorded $166.0 of deal costs related to the Covance acquisition, of which $113.4 is included in selling, general and administrative expenses and $52.6 is included in interest expense. During 2015, the Company also recorded a non-cash loss of $2.3, upon the dissolution of one of its equity investments, which is included in other, net expenses. During the fourth quarter, the Company paid $12.2 in settlement costs and litigation expenses related to the resolution of a U.S. court putative class action lawsuit. In addition, the Company incurred $3.0 of non-capitalized costs associated with the implementation of a major system as part of LaunchPad.</w:t>
      </w:r>
    </w:p>
    <w:p>
      <w:pPr>
        <w:spacing w:after="0" w:line="90"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RESERVES</w:t>
      </w:r>
    </w:p>
    <w:p>
      <w:pPr>
        <w:spacing w:after="0" w:line="13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following represents the Company’s restructuring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w w:val="97"/>
              </w:rPr>
              <w:t>CDD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78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Severance and Other</w:t>
            </w:r>
          </w:p>
        </w:tc>
        <w:tc>
          <w:tcPr>
            <w:tcW w:w="2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Lease and Other</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Severance and Other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Lease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w w:val="93"/>
              </w:rPr>
              <w:t>Employee Costs</w:t>
            </w:r>
          </w:p>
        </w:tc>
        <w:tc>
          <w:tcPr>
            <w:tcW w:w="2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Facility Costs</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Employee Costs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Facility Costs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800" w:firstLine="162"/>
        <w:spacing w:after="0" w:line="277" w:lineRule="auto"/>
        <w:rPr>
          <w:sz w:val="20"/>
          <w:szCs w:val="20"/>
          <w:color w:val="auto"/>
        </w:rPr>
      </w:pPr>
      <w:r>
        <w:rPr>
          <w:rFonts w:ascii="Arial" w:cs="Arial" w:eastAsia="Arial" w:hAnsi="Arial"/>
          <w:sz w:val="18"/>
          <w:szCs w:val="18"/>
          <w:color w:val="auto"/>
        </w:rPr>
        <w:t>The non-current portion of the restructuring liabilities is expected to be paid out over 6.4 years. Cash payments and other adjustments include the reclassification of profit sharing, pension, and holiday accrual.</w:t>
      </w:r>
    </w:p>
    <w:p>
      <w:pPr>
        <w:spacing w:after="0" w:line="7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5.</w:t>
        <w:tab/>
        <w:t>JOINT VENTURE PARTNERSHIPS AND EQUITY METHOD INVESTMENTS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December 31, 2017, the Company had investments in the following unconsolidated joint venture partnerships and equity method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Locations</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Investment</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Interest Owned</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42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bottom w:val="single" w:sz="8" w:color="auto"/>
            </w:tcBorders>
            <w:shd w:val="clear" w:color="auto" w:fill="000000"/>
          </w:tcPr>
          <w:p>
            <w:pPr>
              <w:spacing w:after="0" w:line="20" w:lineRule="exact"/>
              <w:rPr>
                <w:sz w:val="1"/>
                <w:szCs w:val="1"/>
                <w:color w:val="auto"/>
              </w:rPr>
            </w:pPr>
          </w:p>
        </w:tc>
      </w:tr>
      <w:tr>
        <w:trPr>
          <w:trHeight w:val="190"/>
        </w:trPr>
        <w:tc>
          <w:tcPr>
            <w:tcW w:w="8060" w:type="dxa"/>
            <w:vAlign w:val="bottom"/>
            <w:gridSpan w:val="5"/>
          </w:tcPr>
          <w:p>
            <w:pPr>
              <w:ind w:left="40"/>
              <w:spacing w:after="0" w:line="189" w:lineRule="exact"/>
              <w:rPr>
                <w:sz w:val="20"/>
                <w:szCs w:val="20"/>
                <w:color w:val="auto"/>
              </w:rPr>
            </w:pPr>
            <w:r>
              <w:rPr>
                <w:rFonts w:ascii="Arial" w:cs="Arial" w:eastAsia="Arial" w:hAnsi="Arial"/>
                <w:sz w:val="18"/>
                <w:szCs w:val="18"/>
                <w:color w:val="auto"/>
              </w:rPr>
              <w:t>Joint Venture Partnerships: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Alberta, Canada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43"/>
        </w:trPr>
        <w:tc>
          <w:tcPr>
            <w:tcW w:w="40" w:type="dxa"/>
            <w:vAlign w:val="bottom"/>
          </w:tcPr>
          <w:p>
            <w:pPr>
              <w:spacing w:after="0"/>
              <w:rPr>
                <w:sz w:val="21"/>
                <w:szCs w:val="21"/>
                <w:color w:val="auto"/>
              </w:rPr>
            </w:pPr>
          </w:p>
        </w:tc>
        <w:tc>
          <w:tcPr>
            <w:tcW w:w="8020" w:type="dxa"/>
            <w:vAlign w:val="bottom"/>
            <w:gridSpan w:val="4"/>
          </w:tcPr>
          <w:p>
            <w:pPr>
              <w:ind w:left="140"/>
              <w:spacing w:after="0"/>
              <w:rPr>
                <w:sz w:val="20"/>
                <w:szCs w:val="20"/>
                <w:color w:val="auto"/>
              </w:rPr>
            </w:pPr>
            <w:r>
              <w:rPr>
                <w:rFonts w:ascii="Arial" w:cs="Arial" w:eastAsia="Arial" w:hAnsi="Arial"/>
                <w:sz w:val="18"/>
                <w:szCs w:val="18"/>
                <w:color w:val="auto"/>
              </w:rPr>
              <w:t>Florence, South Carolina</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PAML joint ventures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various</w:t>
            </w:r>
          </w:p>
        </w:tc>
      </w:tr>
      <w:tr>
        <w:trPr>
          <w:trHeight w:val="203"/>
        </w:trPr>
        <w:tc>
          <w:tcPr>
            <w:tcW w:w="806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Equity Method Investments: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43"/>
        </w:trPr>
        <w:tc>
          <w:tcPr>
            <w:tcW w:w="4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Various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various</w:t>
            </w:r>
          </w:p>
        </w:tc>
      </w:tr>
      <w:tr>
        <w:trPr>
          <w:trHeight w:val="27"/>
        </w:trPr>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joint venture agreements that govern the conduct of business of these partnerships mandate unanimous agreement between partners on all major business decisions as well as providing other participating rights to each partner. The equity method investments represent the Company’s purchase of ownership interests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a result of the acquisition of PAML, the Company acquired PAML’s ownership interests in six joint ventures. During 2017, the Company further acquired the ownership interests of the other members of two of the six joint ventures, and the Company’s ownership interest in one of the six joint ventures was acquired by the other member. During 2018, the Company intends to acquire the membership interests of the other members of an additional two of these six joint ventures and will continue to evaluate future options for the membership interests in the sixth joint venture. The Company will continue to record minority interests in the consolidated joint ventures for which final transactions have not yet been completed.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Condensed unconsolidated financial information for joint venture partnerships and equity method investments is shown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w:t>
            </w:r>
          </w:p>
        </w:tc>
        <w:tc>
          <w:tcPr>
            <w:tcW w:w="2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 and partners’ equity</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0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the period January 1 -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Company’s recorded investment in one of its Alberta joint venture partnerships at December 31, 2017, includes $34.6 of value assigned to that partnership’s Canadian license to conduct diagnostic testing services in the province. Substantially all of the joint venture's revenue is received as reimbursement from the Alberta government's healthcare programs.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 government to limit or reduce its reimbursement of laboratory diagnostic services would have a negative impact on the profits and cash flows the Company derives from the joint venture.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to the partnership when the transfer is effective, subject to a working capital adjustment. The Company will amortize the value of the partnership's Canadian license to its residual over the remaining term of the agreement.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6. ACCOUNTS RECEIVABLE, NET</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accounts receivable</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allowance for doubtful accounts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Bad debt expense was $314.7, $287.3 and $265.4 in 2017, 2016 and 2015 respectively.</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Equipment and real estate under capital leases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 and amortization of capital lease assets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Depreciation expense and amortization of property, plant and equipment was $306.8, $311.1 and $269.9 for 2017, 2016 and 2015, respectively, including software depreciation of $85.6, $79.2, and $66.1 for 2017, 2016 and 2015, respectively.</w:t>
      </w:r>
    </w:p>
    <w:p>
      <w:pPr>
        <w:sectPr>
          <w:pgSz w:w="11900" w:h="16838" w:orient="portrait"/>
          <w:cols w:equalWidth="0" w:num="1">
            <w:col w:w="11420"/>
          </w:cols>
          <w:pgMar w:left="240" w:top="125" w:right="239" w:bottom="28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5" w:right="239" w:bottom="285"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changes in the carrying amount of goodwill (net of accumulated amortization) for the years ended December 31, 2017 and 2016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6,202.1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6"/>
              </w:rPr>
              <w:t>Goodwill acquired during the year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Foreign currency impact and other</w:t>
            </w: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3,844.4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3,685.6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2,779.6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7,530.0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6,424.4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December 31, 2017</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 2016</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Net</w:t>
            </w:r>
          </w:p>
        </w:tc>
      </w:tr>
      <w:tr>
        <w:trPr>
          <w:trHeight w:val="216"/>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Amount</w:t>
            </w:r>
          </w:p>
        </w:tc>
      </w:tr>
      <w:tr>
        <w:trPr>
          <w:trHeight w:val="34"/>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4,297.9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Patents, licenses and technology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232.0</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264.7</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464.2</w:t>
            </w: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amortizable intangible assets acquired during 2017, and their respective weighted average amortization periods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Amortization Period</w:t>
            </w:r>
          </w:p>
        </w:tc>
      </w:tr>
      <w:tr>
        <w:trPr>
          <w:trHeight w:val="34"/>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leases</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9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Amortization of intangible assets, including amortization of the Canadian license recorded in other assets, was $216.5, $179.5 and $164.5 in 2017, 2016 and 2015, respectively. The Company recorded earn-out and purchase accounting adjustments through amortization expense of $3.0, $4.9, and $1.7 in 2017, 2016 and 2015, respectively. Amortization expense of intangible assets is estimated to be $195.0 in fiscal 2018, $187.2 in fiscal 2019, $179.8 in fiscal 2020, $176.8 in fiscal 2021, $175.0 in fiscal 2022, and $2,899.7 thereafter.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9. ACCRUED EXPENSES AND OTHER</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taxes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Royalty and license fees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Rebates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10. OTHER LIABILITIES</w:t>
            </w: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Defined-benefit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compensation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Worker's compensation and auto</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Straight-line rent</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Escheat liability</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portion of long-term debt at December 31, 2017, and 2016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2.20% Senior Notes due 2017</w:t>
            </w:r>
          </w:p>
        </w:tc>
        <w:tc>
          <w:tcPr>
            <w:tcW w:w="5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Senior Notes due 2018</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note payable</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549.5</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at December 31, 2017, and 2016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r>
      <w:tr>
        <w:trPr>
          <w:trHeight w:val="34"/>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Senior Notes due 2018</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4.625% Senior Notes due 2020</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614.6</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Senior Notes due 2020</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3.75% Senior Notes due 2022</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Senior Notes due 2022</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4.00% Senior Notes due 2023</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3.25% Senior Notes due 2024</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3.60% Senior Notes due 2025</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2027</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4.70% Senior Notes due 2045</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Term loan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2017 Term loan</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payable</w:t>
            </w: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6,344.6</w:t>
            </w:r>
          </w:p>
        </w:tc>
        <w:tc>
          <w:tcPr>
            <w:tcW w:w="100" w:type="dxa"/>
            <w:vAlign w:val="bottom"/>
          </w:tcPr>
          <w:p>
            <w:pPr>
              <w:spacing w:after="0"/>
              <w:rPr>
                <w:sz w:val="22"/>
                <w:szCs w:val="22"/>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5,300.0</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3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On September 15, 2017, the Company entered into a new $750.0 term loan. The 2017 term loan facility will mature on September 15, 2022. The 2014 term loan balance was $72.0 and $565.0 at December 31, 2017, and 2016, respectively. The 2017 term loan balance at December 31, 2017, was $750.0.</w:t>
      </w:r>
    </w:p>
    <w:p>
      <w:pPr>
        <w:spacing w:after="0" w:line="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November 2, 2014 Merger Agreement to acquire Covance. The term loan credit facility was advanced in full on the Covance acquisition date and was amended on July 13, 2016 and further amended on September 15, 2017. The term loan credit facility will mature five years after the Covance acquisition date and may be prepaid without penalty. The term loan balance at December 31, 2017, was $72.0.</w:t>
      </w:r>
    </w:p>
    <w:p>
      <w:pPr>
        <w:spacing w:after="0" w:line="21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September 15, 2017, the Company also entered into an amendment and restatement of its existing senior revolving credit facility, which was originally entered into on December 21, 2011, was amended and restated on December 15, 2015 and was further amended on July 13, 2016. The senior revolving credit facility consists of a five-year revolving facility in the principal amount of up to $1,000.0, with the option of increasing the facility by up to an additional $350.0,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revolving credit facility is permitted to be used for general corporate purposes, including working capital, capital expenditures, funding of share repurchases and certain other payments, and acquisitions and other investments. There were no balances outstanding on the Company's current revolving credit facility at December 31, 2017, or December 31, 2016.</w:t>
      </w:r>
    </w:p>
    <w:p>
      <w:pPr>
        <w:spacing w:after="0" w:line="20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January 30, 2015, the Company issued the Covance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Net proceeds from the offering of the Covance acquisition notes were $2,870.2 after deducting underwriting discounts and other estimated expenses of the offering. Net proceeds were used to pay a portion of the cash consideration and the fees and expenses in connection with the Covance acquisition.</w:t>
      </w:r>
    </w:p>
    <w:p>
      <w:pPr>
        <w:spacing w:after="0" w:line="2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entered into on the terms set forth in the bridge facility commitment letter for the $400.0 60-day cash bridge tranche. The 60-day cash bridge term loan credit facility was advanced in full on the Covance acquisition date. On March 16, 2015, the Company elected to prepay the bridge facility without penalty.</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Company's term loan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term loan facility and the revolving credit facility at December 31, 2017, and 2016. As of December 31, 2017, the ratio of total debt to consolidated</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EBITDA was 3.2 to 1.0.</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2014 term loan credit facility accrues interest at a per annum rate equal to, at the Company’s election, either an Intercontinental Exchange London Inter-bank Offered Rate (LIBOR) rate plus a margin ranging from 1.125% to 2.00%, or a base rate determined according to a prime rate or federal funds rate plus a margin ranging from 0.125% to 1.00%. The 2017 term loan credit facility accrues interest at a per annum rate equal to, at the Company’s election, either a LIBOR rate plus a margin ranging from 0.875% to 1.50%, or a base rate determined according to a prime rate or federal funds rate plus a margin ranging from 0.0% to 0.50%. Advances under the revolving credit facility accrue interest at a per annum rate equal to, at the Company’s election, either a LIBOR rate plus a margin ranging from 0.775% to 1.25%, or a base rate determined according to a prime rate or federal funds rate plus a margin ranging from 0.00% to 0.25%.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0.10% to 0.25%. The interest margin applicable to the credit facilities, and the facility fee and letter of credit fees payable under the revolving credit facility, are based on the Company’s senior credit ratings as determined by S&amp;P and Moody’s.</w:t>
      </w:r>
    </w:p>
    <w:p>
      <w:pPr>
        <w:spacing w:after="0" w:line="205"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color w:val="auto"/>
        </w:rPr>
        <w:t>As of December 31, 2017, the effective interest rate on the revolving credit facility was 2.7%, and the effective interest rate on the 2014 term loan was 2.8% and on the 2017 term loan was 2.6%.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Convertible Subordinated Notes</w:t>
      </w:r>
    </w:p>
    <w:p>
      <w:pPr>
        <w:spacing w:after="0" w:line="256"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 Company had $9.0 and $46.0 aggregate principal amount at maturity of zero-coupon convertible subordinated notes (the Notes) due 2021 outstanding at December 31, 2017, and 2016, respectively. The Notes, which are subordinate to the Company’s bank debt, were sold at an issue price of $671.65 per $1,000.0 principal amount at maturity (representing a yield to maturity of 2.0% per year). Each one thousand dollar principal amount at maturity of the Notes is convertible into 13.4108 shares of the Company’s common stock, subject to adjustment in certain circumstances, if one of the following conditions occurs:</w:t>
      </w:r>
    </w:p>
    <w:p>
      <w:pPr>
        <w:spacing w:after="0" w:line="181" w:lineRule="exact"/>
        <w:rPr>
          <w:sz w:val="20"/>
          <w:szCs w:val="20"/>
          <w:color w:val="auto"/>
        </w:rPr>
      </w:pPr>
    </w:p>
    <w:p>
      <w:pPr>
        <w:jc w:val="both"/>
        <w:ind w:left="660" w:hanging="652"/>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sales price of the Company’s common stock for at least 20 trading days in a period of 30 consecutive trading days ending on the last trading day of the preceding quarter reaches specified thresholds (beginning at 120% and declining 0.1282% per quarter until it reaches approximately 110% for the quarter beginning July 1, 2021 of the accreted conversion price per share of common stock on the last day of the preceding quarter). The accreted conversion price per share will equal the issue price of a note plus the accrued original issue discount and any accrued contingent additional principal, divided by the number of shares of common stock issuable upon conversion of a note on that day. The conversion trigger price for the fourth quarter of 2017 was $77.45.</w:t>
      </w:r>
    </w:p>
    <w:p>
      <w:pPr>
        <w:spacing w:after="0" w:line="220"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credit rating assigned to the notes by S&amp;P Ratings Services is at or below BB-.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Notes are called for redemption.</w:t>
      </w:r>
    </w:p>
    <w:p>
      <w:pPr>
        <w:spacing w:after="0" w:line="252"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Specified corporate transactions have occurred (such as if the Company is party to a consolidation, merger or binding share exchange or a transfer of all or substantially all of its assets).</w:t>
      </w:r>
    </w:p>
    <w:p>
      <w:pPr>
        <w:spacing w:after="0" w:line="19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may redeem for cash all or a portion of the Notes at any time at specified redemption prices per one thousand dollar principal amount at maturity of the Notes.</w:t>
      </w:r>
    </w:p>
    <w:p>
      <w:pPr>
        <w:spacing w:after="0" w:line="19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has registered the notes and the shares of common stock issuable upon conversion of the Notes with the Securities and Exchange Commission.</w:t>
      </w:r>
    </w:p>
    <w:p>
      <w:pPr>
        <w:spacing w:after="0" w:line="19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2017 and 2016, the Company settled notices to convert $37.1 and $59.4 aggregate principal amount at maturity of its zero-coupon subordinated notes with a conversion value of $33.9 and $53.7, respectively. The total cash used for these settlements was $33.9 and $53.7 and the Company also issued 0.3 and 0.4 additional shares of common stock, respectively. As a result of these conversions, in 2017 and 2016 the Company also reversed approximately $0.0 and $4.9, respectively, of deferred tax liability to reflect the tax benefit realized upon issuance of the shares.</w:t>
      </w:r>
    </w:p>
    <w:p>
      <w:pPr>
        <w:spacing w:after="0" w:line="19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12, 2017, the Company announced that for the period of September 12, 2017, to March 10, 2018, the zero-coupon subordinated notes will accrue contingent cash interest at a rate of no less than 0.125% of the average market price of a zero-coupon subordinated note for the five trading days ended September 8, 2017, in addition to the continued accrual of the original issue discount.</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January 3, 2018,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holders are required to validly surrender their zero-coupon subordinated notes at any time during the calendar quarter beginning January 1, 2018, through the close of business on the last business day of the calendar quarter, which is 5:00 p.m., New York City time, on Friday, March 31, 2018. If notices of conversion are received, the Company plans to settle the cash portion of the conversion obligation with cash on hand and/or borrowings under its revolving credit facility.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August 22, 2017, the Company issued new Senior Notes representing $1,200.0 in debt securities and consisting of a $600.0 aggregate principal amount of 3.25% Senior Notes due 2024 and a $600.0 aggregate principal amount of 3.60% Senior Notes due 2027. Interest on these notes is payable semi-annually on March 1 and September 1 of each year, commencing on March 1, 2018. Net proceeds from the offering of these notes were $1,190.1 after deducting underwriting discounts and other expenses of the offering. Net proceeds were used to pay off the 2.20% Senior Notes due August 23, 2017, as well as a portion of the cash consideration and the fees and expenses in connection with the Chiltern acquisition.</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September 30, 2016, the Company announced the successful completion of consent solicitations for the 5.00% convertible Senior Notes due 2017 and 2018, totaling $130.0, assumed as part of the acquisition of Sequenom. On October 20, 2016, the Company retired $129.9 of these outstanding notes, and paid an additional $5.6 relating to the early retirement of the subsidiary indebtedness (recorded as interest expense in the Consolidated Statement of Operations).</w:t>
      </w:r>
    </w:p>
    <w:p>
      <w:pPr>
        <w:spacing w:after="0" w:line="17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January 30, 2015, the Company issued the Covance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Interest on these notes is payable semi-annually on February 1 and August 1 of each year, commencing on August 1, 2015. Net proceeds from the offering of the Covance acquisition notes were $2,870.2 after deducting underwriting discounts and other estimated expenses of the offering. Net proceeds were used to pay a portion of the cash consideration and the fees and expenses in connection with the Covance acquisition.</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 2013, the Company issued $700.0 in new Senior Notes pursuant to the Company’s effective shelf registration on Form S-3. The Senior Notes consisted of $400.0 aggregate principal amount of 2.50% Senior Notes due 2018 and $300.0 aggregate principal amount of 4.00% Senior Notes due 2023. Interest on these notes is payable semi-annually on November 1 and May 1 of each year, commencing on May 1, 2014. The net proceeds were used to repay all of the outstanding borrowings under the Company’s former revolving credit facility and for general corporate purposes.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outstanding at that time. These interest rate swaps are included in other long-term assets or liabilities, as applicable, and added to the value of the Senior Notes, with an aggregate fair value of $4.1 at December 31, 2017.</w:t>
      </w:r>
    </w:p>
    <w:p>
      <w:pPr>
        <w:spacing w:after="0" w:line="9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Senior Notes due 2022 bear interest at the rate of 3.75% per annum, payable semi-annually on February 23 and August 23 of each year, commencing February 23, 2013. The Senior Notes due 2017 bore interest at the rate 2.20% of per annum from November 19, 2010, which was payable semi-annually on February 23 and August 23.</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scheduled payments of long-term debt and future minimum lease payments for capital leases at the end of 2017 are summarized as follows:</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Notes and Other</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0"/>
              </w:rPr>
              <w:t>Capital Leases</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34"/>
        </w:trPr>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50.3</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1,240.0</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82.7</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1,611.9</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45.1</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3,396.8</w:t>
            </w: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6,806.5</w:t>
            </w:r>
          </w:p>
        </w:tc>
      </w:tr>
      <w:tr>
        <w:trPr>
          <w:trHeight w:val="284"/>
        </w:trPr>
        <w:tc>
          <w:tcPr>
            <w:tcW w:w="64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44"/>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66.1</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6,762.1</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due beyond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6,286.8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6,344.6</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STOCK AND COMMON SHAREHOLDERS’ EQUITY</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Common shares issued and outstanding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treasury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30.0 shares of preferred stock, par value $0.10 per share. There were no preferred shares outstanding as of December 31, 2017 and 2016.</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The changes in common shares issued and held in treasury are summarized below:</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Common Shares Issued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in conjunction with the Covance acquisition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of common stock</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at December 31</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Common Shares Held in Treasury</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December 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During 2017, the Company purchased 2.5 shares of its common stock at a total cost of $338.1. At the end of 2017, the Company had outstanding authorization from its board of directors to purchase $401.4 of Company common stock. The repurchase authorization has no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Earnings</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earnings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Unrealized Gains</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Currency</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Benefit</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and Losses on</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Available for Sale</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Adjustments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0"/>
              </w:rPr>
              <w:t>Earnings</w:t>
            </w: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(351.8)</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 (b)</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86.6</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458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264.7</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18"/>
                <w:szCs w:val="18"/>
                <w:i w:val="1"/>
                <w:iCs w:val="1"/>
                <w:color w:val="auto"/>
              </w:rPr>
              <w:t>(a)</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8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effect of adjustments</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firstLine="8"/>
        <w:spacing w:after="0" w:line="266" w:lineRule="auto"/>
        <w:tabs>
          <w:tab w:leader="none" w:pos="204" w:val="left"/>
        </w:tabs>
        <w:numPr>
          <w:ilvl w:val="0"/>
          <w:numId w:val="40"/>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16 Pension and Postretirement Plans for additional information regarding the Company's net periodic benefit cost.</w:t>
      </w:r>
    </w:p>
    <w:p>
      <w:pPr>
        <w:spacing w:after="0" w:line="1" w:lineRule="exact"/>
        <w:rPr>
          <w:rFonts w:ascii="Arial" w:cs="Arial" w:eastAsia="Arial" w:hAnsi="Arial"/>
          <w:sz w:val="14"/>
          <w:szCs w:val="14"/>
          <w:i w:val="1"/>
          <w:iCs w:val="1"/>
          <w:color w:val="auto"/>
        </w:rPr>
      </w:pPr>
    </w:p>
    <w:p>
      <w:pPr>
        <w:ind w:right="600" w:firstLine="8"/>
        <w:spacing w:after="0" w:line="276" w:lineRule="auto"/>
        <w:tabs>
          <w:tab w:leader="none" w:pos="213" w:val="left"/>
        </w:tabs>
        <w:numPr>
          <w:ilvl w:val="0"/>
          <w:numId w:val="40"/>
        </w:numPr>
        <w:rPr>
          <w:rFonts w:ascii="Arial" w:cs="Arial" w:eastAsia="Arial" w:hAnsi="Arial"/>
          <w:sz w:val="14"/>
          <w:szCs w:val="14"/>
          <w:i w:val="1"/>
          <w:iCs w:val="1"/>
          <w:color w:val="auto"/>
        </w:rPr>
      </w:pPr>
      <w:r>
        <w:rPr>
          <w:rFonts w:ascii="Arial" w:cs="Arial" w:eastAsia="Arial" w:hAnsi="Arial"/>
          <w:sz w:val="18"/>
          <w:szCs w:val="18"/>
          <w:color w:val="auto"/>
        </w:rPr>
        <w:t>The realized gain from the sale of an available for sale investment and the other-than-temporary impairment on an available for sale investment are included in Other, net on the Consolidated Statement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3"/>
              </w:rPr>
              <w:t>The sources of income before taxes, classified between domestic and foreign entities are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9"/>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593.5</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132.5</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726.0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provisions (benefits) for income taxes in the accompanying consolidated statements of operations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In 2017, a benefit of $18.9 in excess stock-based compensation was recorded directly to income tax expense. In 2016, as a result of the early adoption of the accounting standard associated with simplifying several aspects of share-based compensation, a benefit of $14.0 in excess stock-based compensation was recorded directly to income tax expense. For 2015, a portion of the tax benefit associated with option exercises from stock plans, which reduces taxes payable, was recorded through additional paid-in capital. The 2015 benefits recorded through additional paid-in capital were approximately $13.1.</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3260" w:type="dxa"/>
            <w:vAlign w:val="bottom"/>
            <w:gridSpan w:val="5"/>
          </w:tcPr>
          <w:p>
            <w:pPr>
              <w:ind w:left="1160"/>
              <w:spacing w:after="0"/>
              <w:rPr>
                <w:sz w:val="20"/>
                <w:szCs w:val="20"/>
                <w:color w:val="auto"/>
              </w:rPr>
            </w:pPr>
            <w:r>
              <w:rPr>
                <w:rFonts w:ascii="Arial" w:cs="Arial" w:eastAsia="Arial" w:hAnsi="Arial"/>
                <w:sz w:val="18"/>
                <w:szCs w:val="18"/>
                <w:color w:val="auto"/>
                <w:w w:val="93"/>
              </w:rPr>
              <w:t>Years Ended December 31,</w:t>
            </w:r>
          </w:p>
        </w:tc>
        <w:tc>
          <w:tcPr>
            <w:tcW w:w="980" w:type="dxa"/>
            <w:vAlign w:val="bottom"/>
          </w:tcPr>
          <w:p>
            <w:pPr>
              <w:spacing w:after="0"/>
              <w:rPr>
                <w:sz w:val="20"/>
                <w:szCs w:val="20"/>
                <w:color w:val="auto"/>
              </w:rPr>
            </w:pPr>
          </w:p>
        </w:tc>
      </w:tr>
      <w:tr>
        <w:trPr>
          <w:trHeight w:val="34"/>
        </w:trPr>
        <w:tc>
          <w:tcPr>
            <w:tcW w:w="7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12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2015</w:t>
            </w:r>
          </w:p>
        </w:tc>
      </w:tr>
      <w:tr>
        <w:trPr>
          <w:trHeight w:val="34"/>
        </w:trPr>
        <w:tc>
          <w:tcPr>
            <w:tcW w:w="7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State and local income taxes, net of U.S. Federal income tax effect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taxed at lower rates than the statutory U.S. rate</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Restructuring and acquisition items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Re-measurement of deferred taxes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on unremitted foreign earnings</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Repatriation tax</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64"/>
        </w:trPr>
        <w:tc>
          <w:tcPr>
            <w:tcW w:w="7120" w:type="dxa"/>
            <w:vAlign w:val="bottom"/>
          </w:tcPr>
          <w:p>
            <w:pPr>
              <w:ind w:left="40"/>
              <w:spacing w:after="0"/>
              <w:rPr>
                <w:sz w:val="20"/>
                <w:szCs w:val="20"/>
                <w:color w:val="auto"/>
              </w:rPr>
            </w:pPr>
            <w:r>
              <w:rPr>
                <w:rFonts w:ascii="Arial" w:cs="Arial" w:eastAsia="Arial" w:hAnsi="Arial"/>
                <w:sz w:val="18"/>
                <w:szCs w:val="18"/>
                <w:color w:val="auto"/>
              </w:rPr>
              <w:t>Effective rate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40.2 %</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2017, the U.S. enacted the Tax Cuts and Jobs Act (TCJA) which makes widespread changes to the Internal Revenue Code. The TCJA, among other things, reduces the U.S. federal corporate tax rate from 35% to 21% beginning January 1, 2018, requires companies to pay a repatriation tax on earnings of certain foreign subsidiaries that were previously not subject to U.S. tax, and creates new income taxes on certain foreign sourced earnings. Also on December 22, 2017, the SEC issued Staff Accounting Bulletin No. 118 (SAB 118), which provides companies with additional guidance on how to account for the TCJA in its financial statements, allowing companies to use a measurement period. At December 31, 2017, the Company had not completed the accounting for the tax effects of enactment of the TCJA; however, as described below, a reasonable estimate on the re-measurement of the Company's existing deferred tax balances, the deferred tax revaluation for unremitted foreign earnings, and the one-time repatriation tax has been made. For these items, in accordance with SAB 118, a provisional net benefit has been recognized, totaling $519.0, which is included as a component of income tax expense from continuing operations. The Company expects to finalize this provisional estimate before the end of 2018 after completing its reviews and analysis, and after incorporating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further anticipated guidance from the U.S. Treasury issued during this measurement period. As a result, the reported net benefit could change during 2018.</w:t>
      </w:r>
    </w:p>
    <w:p>
      <w:pPr>
        <w:spacing w:after="0" w:line="15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effective rate for 2017 was favorably impacted by the re-measurement of the Company's net deferred tax liabilities using the rates enacted in the TCJA and the deferred tax revaluation for unremitted foreign earnings, partially offset by the deemed repatriation tax enacted in this legislation. The 2017 rate was also favorably impacted by foreign earnings taxed at rates lower than the U.S. and by share-based compensation.</w:t>
      </w:r>
    </w:p>
    <w:p>
      <w:pPr>
        <w:spacing w:after="0" w:line="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effective rate for 2016 was favorably impacted by foreign earnings taxed at rates lower than the U.S. statutory rate and the early adoption of the share-based compensation standard.</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effective rate for 2015 was favorably impacted by foreign earnings taxed at rates lower than the U.S. statutory rate and unfavorably impacted by restructuring and acquisition items, the recording of additional uncertain tax reserves, and a decrease in the benefit recorded from releasing uncertain tax reserves.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2016</w:t>
            </w: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and restructuring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w:t>
            </w: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w:t>
            </w: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valuation allowance</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 net of valuation allowance</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earnings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Zero-coupon subordinated notes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84"/>
        </w:trPr>
        <w:tc>
          <w:tcPr>
            <w:tcW w:w="83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gross deferred tax liabilities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(1,572.8)</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 xml:space="preserve">The TCJA includes provisions relating to global low-taxed intangible income (GILTI). </w:t>
      </w:r>
      <w:r>
        <w:rPr>
          <w:rFonts w:ascii="Arial" w:cs="Arial" w:eastAsia="Arial" w:hAnsi="Arial"/>
          <w:sz w:val="18"/>
          <w:szCs w:val="18"/>
          <w:color w:val="222222"/>
        </w:rPr>
        <w:t>Relevant to the current consolidated financial statements is the</w:t>
      </w:r>
      <w:r>
        <w:rPr>
          <w:rFonts w:ascii="Arial" w:cs="Arial" w:eastAsia="Arial" w:hAnsi="Arial"/>
          <w:sz w:val="18"/>
          <w:szCs w:val="18"/>
          <w:color w:val="auto"/>
        </w:rPr>
        <w:t xml:space="preserve"> </w:t>
      </w:r>
      <w:r>
        <w:rPr>
          <w:rFonts w:ascii="Arial" w:cs="Arial" w:eastAsia="Arial" w:hAnsi="Arial"/>
          <w:sz w:val="18"/>
          <w:szCs w:val="18"/>
          <w:color w:val="222222"/>
        </w:rPr>
        <w:t>Company's selection of an accounting policy with respect to the new GILTI tax rules, and whether to account for GILTI as a periodic charge in the period it arises, or to record deferred taxes associated with the basis in the Company’s foreign subsidiaries. Due to the intricacy of this topic, the Company is still in the process of investigating the implications of accounting for the GILTI tax and intends to make an accounting policy decision once additional guidance is available for assessment.</w:t>
      </w:r>
    </w:p>
    <w:p>
      <w:pPr>
        <w:spacing w:after="0" w:line="21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U.S. federal tax loss carryforwards of approximately $294.3, which expire periodically through 2035. The utilization of tax loss carryforwards is limited due to change of ownership rules; however, at this time, the Company expects to fully utilize substantially all U.S. federal tax loss carryforwards with the exception of approximately $3.9 for which a full valuation allowance has been provided. The Company has U.S. state tax loss carryforwards of $602.2, which also expire periodically through 2036, and on which a valuation allowance of $485.5 has been provided. The Company has foreign tax loss carryforwards of $37.4 of which $27.1 has a full valuation allowance. Most of the foreign losses have an indefinite carryover. In addition to the foreign net operating losses, the Company has a foreign capital loss carryforward of $6.9. The capital loss has an indefinite life and has a full valuation allowance.</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valuation allowance increased from $31.3 in 2016 to $42.8 in 2017 primarily due to additional state losses for which no benefit is anticipated.</w:t>
      </w:r>
    </w:p>
    <w:p>
      <w:pPr>
        <w:spacing w:after="0" w:line="26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Unrecognized income tax benefits were $19.5 and $18.4 at December 31, 2017, and 2016,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ectPr>
          <w:pgSz w:w="11900" w:h="16838" w:orient="portrait"/>
          <w:cols w:equalWidth="0" w:num="1">
            <w:col w:w="11420"/>
          </w:cols>
          <w:pgMar w:left="240" w:top="125"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recognizes interest and penalties related to unrecognized income tax benefits in income tax expense. Accrued interest and penalties related to uncertain tax positions totaled $7.9 and $9.9 as of December 31, 2017, and 2016, respectively. During the years ended December 31, 2017, 2016 and 2015, the Company recognized $2.3, $1.2 and $1.8, respectively, in interest and penalties expense, which was offset by a benefit from reversing previous accruals for interest and penalties of $4.3, $4.0 and $2.2, respectively.</w:t>
      </w:r>
    </w:p>
    <w:p>
      <w:pPr>
        <w:spacing w:after="0" w:line="21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excluding interest and penalties, from uncertain tax positions for the years ended December 31, 2017, 2016 and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reserve for tax positions taken in the current year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 as a result of acquisition</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w:t>
            </w: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2017, and 2016, $19.5 and $18.4, respectively, are the approximate amounts of unrecognized income tax benefits that, if recognized, would favorably affect the effective income tax rate in any future periods.</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2012. Substantially all material state and local and foreign income tax matters have been concluded through 2012 and 2008, respectively.</w:t>
      </w:r>
    </w:p>
    <w:p>
      <w:pPr>
        <w:spacing w:after="0" w:line="19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Internal Revenue Service concluded the examination of the Company's 2014 federal consolidated income tax return, which did not include Covance Inc., in the third quarter of 2016. Covance Inc.'s 2013 federal consolidated income tax return is under examination. The Canada Revenue Agency is currently examining the Company's 2013 and 2014 Canadian subsidiaries' tax returns. The Company has various state and foreign income tax examinations ongoing throughout the year. The Company believes adequate provisions have been recorded related to all open tax years.</w:t>
      </w:r>
    </w:p>
    <w:p>
      <w:pPr>
        <w:spacing w:after="0" w:line="19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As a result of the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we would be required to accrue U.S. taxes, if any, and applicable withholding taxes as appropriate. Along with the provisions of the TCJA, the Company will continue to review its repatriation policy.</w:t>
      </w:r>
    </w:p>
    <w:p>
      <w:pPr>
        <w:spacing w:after="0" w:line="88" w:lineRule="exact"/>
        <w:rPr>
          <w:sz w:val="20"/>
          <w:szCs w:val="20"/>
          <w:color w:val="auto"/>
        </w:rPr>
      </w:pPr>
    </w:p>
    <w:p>
      <w:pPr>
        <w:ind w:right="8320" w:firstLine="8"/>
        <w:spacing w:after="0" w:line="423" w:lineRule="auto"/>
        <w:tabs>
          <w:tab w:leader="none" w:pos="31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There are currently 10.7 shares authorized for issuance under the Laboratory Corporation of America Holdings 2016 Omnibus Incentive Plan (the Plan) and at December 31, 2017 there were 8.3 additional shares available for grant under the Plan. The Plan was approved by shareholders at the 2016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Aggregate</w:t>
            </w:r>
          </w:p>
        </w:tc>
      </w:tr>
      <w:tr>
        <w:trPr>
          <w:trHeight w:val="216"/>
        </w:trPr>
        <w:tc>
          <w:tcPr>
            <w:tcW w:w="47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r>
      <w:tr>
        <w:trPr>
          <w:trHeight w:val="230"/>
        </w:trPr>
        <w:tc>
          <w:tcPr>
            <w:tcW w:w="47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per Option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Value</w:t>
            </w:r>
          </w:p>
        </w:tc>
      </w:tr>
      <w:tr>
        <w:trPr>
          <w:trHeight w:val="34"/>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80.37</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82.1</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r>
      <w:tr>
        <w:trPr>
          <w:trHeight w:val="513"/>
        </w:trPr>
        <w:tc>
          <w:tcPr>
            <w:tcW w:w="47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008"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2017 and the exercise price, multiplied by the number of in-the-money options) that would have been received by the option holders had all option holders exercised their options on December 31, 2017. The amount of intrinsic value will change based on the fair market value of the Company’s stock.</w:t>
      </w:r>
    </w:p>
    <w:p>
      <w:pPr>
        <w:spacing w:after="0" w:line="214"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2017, 2016, and 2015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by the Company</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benefits realized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13.4</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34.8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35.5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concerning currently outstanding and exercisable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Options Outstanding</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3"/>
          </w:tcPr>
          <w:p>
            <w:pPr>
              <w:ind w:left="11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4"/>
          </w:tcPr>
          <w:p>
            <w:pPr>
              <w:ind w:left="1220"/>
              <w:spacing w:after="0"/>
              <w:rPr>
                <w:sz w:val="20"/>
                <w:szCs w:val="20"/>
                <w:color w:val="auto"/>
              </w:rPr>
            </w:pPr>
            <w:r>
              <w:rPr>
                <w:rFonts w:ascii="Arial" w:cs="Arial" w:eastAsia="Arial" w:hAnsi="Arial"/>
                <w:sz w:val="18"/>
                <w:szCs w:val="18"/>
                <w:color w:val="auto"/>
              </w:rPr>
              <w:t>Weighted Average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Range of</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Exercise</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Exercise Prices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820" w:type="dxa"/>
            <w:vAlign w:val="bottom"/>
          </w:tcPr>
          <w:p>
            <w:pPr>
              <w:jc w:val="center"/>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$59.38 - 67.60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$60.64</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1"/>
              </w:rPr>
              <w:t>$67.61 - 75.63</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$72.06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$72.06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$75.64 - 84.86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$84.73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$84.73</w:t>
            </w:r>
          </w:p>
        </w:tc>
        <w:tc>
          <w:tcPr>
            <w:tcW w:w="0" w:type="dxa"/>
            <w:vAlign w:val="bottom"/>
          </w:tcPr>
          <w:p>
            <w:pPr>
              <w:spacing w:after="0"/>
              <w:rPr>
                <w:sz w:val="1"/>
                <w:szCs w:val="1"/>
                <w:color w:val="auto"/>
              </w:rPr>
            </w:pPr>
          </w:p>
        </w:tc>
      </w:tr>
      <w:tr>
        <w:trPr>
          <w:trHeight w:val="284"/>
        </w:trPr>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$84.87 - 130.60</w:t>
            </w:r>
          </w:p>
        </w:tc>
        <w:tc>
          <w:tcPr>
            <w:tcW w:w="12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5.2</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9"/>
              </w:rPr>
              <w:t>$105.29</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$91.13</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$86.55</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$81.73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2015</w:t>
            </w:r>
          </w:p>
        </w:tc>
      </w:tr>
      <w:tr>
        <w:trPr>
          <w:trHeight w:val="34"/>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expected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21"/>
                <w:szCs w:val="21"/>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ind w:left="900"/>
              <w:spacing w:after="0"/>
              <w:rPr>
                <w:sz w:val="20"/>
                <w:szCs w:val="20"/>
                <w:color w:val="auto"/>
              </w:rPr>
            </w:pPr>
            <w:r>
              <w:rPr>
                <w:rFonts w:ascii="Arial" w:cs="Arial" w:eastAsia="Arial" w:hAnsi="Arial"/>
                <w:sz w:val="18"/>
                <w:szCs w:val="18"/>
                <w:color w:val="auto"/>
              </w:rPr>
              <w:t>N/A</w:t>
            </w:r>
          </w:p>
        </w:tc>
      </w:tr>
    </w:tbl>
    <w:p>
      <w:pPr>
        <w:spacing w:after="0" w:line="13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uses historical data to calculate the expected life of the option. Groups of employees and non-employee directors that have similar exercise behavior with regard to option exercise timing and forfeiture rates are considered separately for valuation purposes. For 2017, 2016 and 2015, expense related to the Company’s stock option plan totaled $0.9, $0.0 and $2.2, respectively. The Company did not grant any options to employees during 2016 or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252"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 third increments beginning on the first anniversary of the grant. A performance share grant in 2015 represents a three-year award opportunity for the period 2015-2017, and if earned, vests fully (to the extent earned) in the first quarter of 2018. A performance share grant in 2016 represents a three-year award opportunity for the period of 2016-2018 and, if earned, vests fully (to the extent earned) in the first quarter of 2019. A performance share grant in 2017 represents a three-year award opportunity for the period of 2017-2019 and, if earned, vests fully (to the extent earned) in the first quarter of 2020. Performance share awards are subject to certain earnings per share, revenue, operating income, earnings before income taxes and total shareholder return targets, the achievement of which may increase or decrease the number of shares which the grantee earns and therefore receives upon vesting. Unearned restricted stock and performance share compensation is amortized to expense over the applicable vesting periods. For 2017, 2016 and 2015, total restricted stock, restricted stock unit and performance share compensation expense was $100.8, $104.1 and $83.8, respectively.</w:t>
      </w: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280"/>
              <w:spacing w:after="0"/>
              <w:rPr>
                <w:sz w:val="20"/>
                <w:szCs w:val="20"/>
                <w:color w:val="auto"/>
              </w:rPr>
            </w:pPr>
            <w:r>
              <w:rPr>
                <w:rFonts w:ascii="Arial" w:cs="Arial" w:eastAsia="Arial" w:hAnsi="Arial"/>
                <w:sz w:val="18"/>
                <w:szCs w:val="18"/>
                <w:color w:val="auto"/>
              </w:rPr>
              <w:t>The following table shows a summary of non-vested shares for the year ended December 31, 2017:</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4"/>
        </w:trPr>
        <w:tc>
          <w:tcPr>
            <w:tcW w:w="8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9"/>
              </w:rPr>
              <w:t>Weighted-Average</w:t>
            </w:r>
          </w:p>
        </w:tc>
      </w:tr>
      <w:tr>
        <w:trPr>
          <w:trHeight w:val="216"/>
        </w:trPr>
        <w:tc>
          <w:tcPr>
            <w:tcW w:w="8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8"/>
              </w:rPr>
              <w:t>Grant Date</w:t>
            </w:r>
          </w:p>
        </w:tc>
      </w:tr>
      <w:tr>
        <w:trPr>
          <w:trHeight w:val="230"/>
        </w:trPr>
        <w:tc>
          <w:tcPr>
            <w:tcW w:w="8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34"/>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2017</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108.23</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132.48</w:t>
            </w:r>
          </w:p>
        </w:tc>
      </w:tr>
      <w:tr>
        <w:trPr>
          <w:trHeight w:val="27"/>
        </w:trPr>
        <w:tc>
          <w:tcPr>
            <w:tcW w:w="8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100.86</w:t>
            </w:r>
          </w:p>
        </w:tc>
      </w:tr>
      <w:tr>
        <w:trPr>
          <w:trHeight w:val="284"/>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118.74</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121.36</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As of December 31, 2017, there was $104.0 of total unrecognized compensation cost related to non-vested restricted stock, restricted stock unit and performance share-based compensation arrangements granted under the Company's stock incentive plans. That cost is expected to be recognized over a weighted average period of 1.8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Under the 2016 Employee Stock Purchase Plan, the Company is authorized to issue 2.4 shares of common stock. The plan permits substantially all employees to purchase a limited number of shares of Company stock at 85% of market value. The Company issues shares to participating employees semi-annually in January and July of each year. Approximately 0.3 shares were purchased by eligible employees in each of 2017, 2016 and 2015, respectively, under either the 2016 Employee Stock Purchase Plan or the prior plan, which began in 1997 and was amended in 1999, 2004, 2008 and 2012. For 2017, 2016 and 2015, expense related to the Company’s employee stock purchase plan was $8.0, $5.5 and $4.1, respectively.</w:t>
      </w:r>
    </w:p>
    <w:p>
      <w:pPr>
        <w:spacing w:after="0" w:line="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r>
      <w:tr>
        <w:trPr>
          <w:trHeight w:val="3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21.95</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CONTINGENT LIABILITIES</w:t>
      </w:r>
    </w:p>
    <w:p>
      <w:pPr>
        <w:spacing w:after="0" w:line="256"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healthcare providers (e.g., physician assistants and nurse practitioners, generally referred to herein as physicians). The Company works cooperatively to respond to appropriate requests for information.</w:t>
      </w:r>
    </w:p>
    <w:p>
      <w:pPr>
        <w:spacing w:after="0" w:line="206" w:lineRule="exact"/>
        <w:rPr>
          <w:sz w:val="20"/>
          <w:szCs w:val="20"/>
          <w:color w:val="auto"/>
        </w:rPr>
      </w:pPr>
    </w:p>
    <w:p>
      <w:pPr>
        <w:jc w:val="both"/>
        <w:ind w:right="20" w:firstLine="270"/>
        <w:spacing w:after="0" w:line="279"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1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ectPr>
          <w:pgSz w:w="11900" w:h="16838" w:orient="portrait"/>
          <w:cols w:equalWidth="0" w:num="1">
            <w:col w:w="11420"/>
          </w:cols>
          <w:pgMar w:left="240" w:top="125"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20"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 The amount of ultimate loss may also differ from the Company’s estimates. It is possible that an unfavorable outcome that exceeds the Company’s current accrued estimate, if any, for one or more of the matters below could have a material adverse effect on the Company’s financial condition.</w:t>
      </w:r>
    </w:p>
    <w:p>
      <w:pPr>
        <w:spacing w:after="0" w:line="206"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As previously reported, the Company reached a settlement in the previously disclosed lawsuit, </w:t>
      </w:r>
      <w:r>
        <w:rPr>
          <w:rFonts w:ascii="Arial" w:cs="Arial" w:eastAsia="Arial" w:hAnsi="Arial"/>
          <w:sz w:val="17"/>
          <w:szCs w:val="17"/>
          <w:i w:val="1"/>
          <w:iCs w:val="1"/>
          <w:color w:val="auto"/>
        </w:rPr>
        <w:t>California ex rel. Hunter Laboratories, LLC et al.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Diagnostics Incorporated, et al. </w:t>
      </w:r>
      <w:r>
        <w:rPr>
          <w:rFonts w:ascii="Arial" w:cs="Arial" w:eastAsia="Arial" w:hAnsi="Arial"/>
          <w:sz w:val="17"/>
          <w:szCs w:val="17"/>
          <w:color w:val="auto"/>
        </w:rPr>
        <w:t>(Hunter Labs Settlement Agreement), to avoid the uncertainty and costs associated with prolonged litigation. Pursuant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of healthcare services, including clinical laboratories. In 2012, the California legislature enacted Assembly Bill No. 1494, which directed the Department of Healthcare Services (DHCS) to establish new reimbursement rates for Medi-Cal commercial laboratory services based on payments made to California clinical laboratories for similar services by other third-party payers, and provided that until the new rates are set through this process, Medi-Cal payments for commercial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terminated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The 2016 rates have been implemented and recoupments began in 2017. Taken together, these changes are not expected to have a material impact on the Company's consolidated revenues or results of operations.</w:t>
      </w:r>
    </w:p>
    <w:p>
      <w:pPr>
        <w:spacing w:after="0" w:line="22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20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is cooperating with this request.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209"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On August 24, 2012, the Company was served with a putative class action lawsuit, </w:t>
      </w:r>
      <w:r>
        <w:rPr>
          <w:rFonts w:ascii="Arial" w:cs="Arial" w:eastAsia="Arial" w:hAnsi="Arial"/>
          <w:sz w:val="18"/>
          <w:szCs w:val="18"/>
          <w:i w:val="1"/>
          <w:iCs w:val="1"/>
          <w:color w:val="auto"/>
        </w:rPr>
        <w:t>Sandusky Wellness Center, LLC, et al. v. MEDTOX Scientific,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filed in the United States District Court for the District of Minnesota. The lawsuit alleges that on or about February 21, 2012, the defendants violated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United States Court of Appeals for the Eighth Circuit issued its decision and order reversing the District Court’s denial of class certification. The Eighth Circuit remanded the matter for further proceedings. On December 7, 2016, the District Court granted the Plaintiff’s renewed Motion for Class Certification. The Company will vigorously defend the lawsuit.</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31, 2015, the Company was served with a putative class action lawsuit, </w:t>
      </w:r>
      <w:r>
        <w:rPr>
          <w:rFonts w:ascii="Arial" w:cs="Arial" w:eastAsia="Arial" w:hAnsi="Arial"/>
          <w:sz w:val="18"/>
          <w:szCs w:val="18"/>
          <w:i w:val="1"/>
          <w:iCs w:val="1"/>
          <w:color w:val="auto"/>
        </w:rPr>
        <w:t>Patty Davis v. Laboratory Corporation of America, et al.,</w:t>
      </w:r>
      <w:r>
        <w:rPr>
          <w:rFonts w:ascii="Arial" w:cs="Arial" w:eastAsia="Arial" w:hAnsi="Arial"/>
          <w:sz w:val="18"/>
          <w:szCs w:val="18"/>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has appealed the Circuit Court's ruling to the Florida Second District Court of Appeal. The Company will vigorously defend the lawsuit.</w:t>
      </w:r>
    </w:p>
    <w:p>
      <w:pPr>
        <w:spacing w:after="0" w:line="22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17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August 3, 2016, Covance Inc. was served with a putative class action lawsuit, </w:t>
      </w:r>
      <w:r>
        <w:rPr>
          <w:rFonts w:ascii="Arial" w:cs="Arial" w:eastAsia="Arial" w:hAnsi="Arial"/>
          <w:sz w:val="16"/>
          <w:szCs w:val="16"/>
          <w:i w:val="1"/>
          <w:iCs w:val="1"/>
          <w:color w:val="auto"/>
        </w:rPr>
        <w:t>Daniel L. Bloomquist v. Covance Inc., et al.</w:t>
      </w:r>
      <w:r>
        <w:rPr>
          <w:rFonts w:ascii="Arial" w:cs="Arial" w:eastAsia="Arial" w:hAnsi="Arial"/>
          <w:sz w:val="16"/>
          <w:szCs w:val="16"/>
          <w:color w:val="auto"/>
        </w:rPr>
        <w:t>, filed in the Superior Court of California, County of San Diego. The complaint alleges that Covance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to Clinical Research Associates and Senior Clinical Research Associates employed by Covance, Inc. in California. The lawsuit seeks monetary damages, civil penalties, injunctive relief, and recovery of attorney's fees and costs. On October 13, 2016, the case was removed to the United States District Court for the Southern District of California. The Company will vigorously defend the lawsuit.</w:t>
      </w:r>
    </w:p>
    <w:p>
      <w:pPr>
        <w:spacing w:after="0" w:line="70"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Prior to the Company’s acquisition of Sequenom, between August 15, 2016, and August 24, 2016, six putative class-action lawsuits were filed on behalf of purported Sequenom stockholders (captioned </w:t>
      </w:r>
      <w:r>
        <w:rPr>
          <w:rFonts w:ascii="Arial" w:cs="Arial" w:eastAsia="Arial" w:hAnsi="Arial"/>
          <w:sz w:val="17"/>
          <w:szCs w:val="17"/>
          <w:i w:val="1"/>
          <w:iCs w:val="1"/>
          <w:color w:val="auto"/>
        </w:rPr>
        <w:t>Malkoff v. Sequenom, Inc., et al.</w:t>
      </w:r>
      <w:r>
        <w:rPr>
          <w:rFonts w:ascii="Arial" w:cs="Arial" w:eastAsia="Arial" w:hAnsi="Arial"/>
          <w:sz w:val="17"/>
          <w:szCs w:val="17"/>
          <w:color w:val="auto"/>
        </w:rPr>
        <w:t xml:space="preserve">, No. 16-cv-02054-JAH-BLM, </w:t>
      </w:r>
      <w:r>
        <w:rPr>
          <w:rFonts w:ascii="Arial" w:cs="Arial" w:eastAsia="Arial" w:hAnsi="Arial"/>
          <w:sz w:val="17"/>
          <w:szCs w:val="17"/>
          <w:i w:val="1"/>
          <w:iCs w:val="1"/>
          <w:color w:val="auto"/>
        </w:rPr>
        <w:t>Gupta v. Sequenom, Inc., et al.</w:t>
      </w:r>
      <w:r>
        <w:rPr>
          <w:rFonts w:ascii="Arial" w:cs="Arial" w:eastAsia="Arial" w:hAnsi="Arial"/>
          <w:sz w:val="17"/>
          <w:szCs w:val="17"/>
          <w:color w:val="auto"/>
        </w:rPr>
        <w:t xml:space="preserve">, No. 16-cv-02084-JAH-KSC, </w:t>
      </w:r>
      <w:r>
        <w:rPr>
          <w:rFonts w:ascii="Arial" w:cs="Arial" w:eastAsia="Arial" w:hAnsi="Arial"/>
          <w:sz w:val="17"/>
          <w:szCs w:val="17"/>
          <w:i w:val="1"/>
          <w:iCs w:val="1"/>
          <w:color w:val="auto"/>
        </w:rPr>
        <w:t>Fruchter v. Sequenom, Inc., et al.</w:t>
      </w:r>
      <w:r>
        <w:rPr>
          <w:rFonts w:ascii="Arial" w:cs="Arial" w:eastAsia="Arial" w:hAnsi="Arial"/>
          <w:sz w:val="17"/>
          <w:szCs w:val="17"/>
          <w:color w:val="auto"/>
        </w:rPr>
        <w:t xml:space="preserve">, No. 16-cv-02101-WQH-KSC, </w:t>
      </w:r>
      <w:r>
        <w:rPr>
          <w:rFonts w:ascii="Arial" w:cs="Arial" w:eastAsia="Arial" w:hAnsi="Arial"/>
          <w:sz w:val="17"/>
          <w:szCs w:val="17"/>
          <w:i w:val="1"/>
          <w:iCs w:val="1"/>
          <w:color w:val="auto"/>
        </w:rPr>
        <w:t>Asiatrade Development Ltd. v. Sequenom, Inc., et al.</w:t>
      </w:r>
      <w:r>
        <w:rPr>
          <w:rFonts w:ascii="Arial" w:cs="Arial" w:eastAsia="Arial" w:hAnsi="Arial"/>
          <w:sz w:val="17"/>
          <w:szCs w:val="17"/>
          <w:color w:val="auto"/>
        </w:rPr>
        <w:t xml:space="preserve">, No. 16-cv-02113-AJB-JMA, </w:t>
      </w:r>
      <w:r>
        <w:rPr>
          <w:rFonts w:ascii="Arial" w:cs="Arial" w:eastAsia="Arial" w:hAnsi="Arial"/>
          <w:sz w:val="17"/>
          <w:szCs w:val="17"/>
          <w:i w:val="1"/>
          <w:iCs w:val="1"/>
          <w:color w:val="auto"/>
        </w:rPr>
        <w:t>Nunes v. Sequenom, Inc., et al.</w:t>
      </w:r>
      <w:r>
        <w:rPr>
          <w:rFonts w:ascii="Arial" w:cs="Arial" w:eastAsia="Arial" w:hAnsi="Arial"/>
          <w:sz w:val="17"/>
          <w:szCs w:val="17"/>
          <w:color w:val="auto"/>
        </w:rPr>
        <w:t xml:space="preserve">, No. 16-cv-02128-AJB-MDD, and </w:t>
      </w:r>
      <w:r>
        <w:rPr>
          <w:rFonts w:ascii="Arial" w:cs="Arial" w:eastAsia="Arial" w:hAnsi="Arial"/>
          <w:sz w:val="17"/>
          <w:szCs w:val="17"/>
          <w:i w:val="1"/>
          <w:iCs w:val="1"/>
          <w:color w:val="auto"/>
        </w:rPr>
        <w:t>Cusumano v. Sequenom, Inc., et al.</w:t>
      </w:r>
      <w:r>
        <w:rPr>
          <w:rFonts w:ascii="Arial" w:cs="Arial" w:eastAsia="Arial" w:hAnsi="Arial"/>
          <w:sz w:val="17"/>
          <w:szCs w:val="17"/>
          <w:color w:val="auto"/>
        </w:rPr>
        <w:t xml:space="preserve">, No. 16-cv-02134-LAB-JMA) in the United States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7"/>
          <w:szCs w:val="17"/>
          <w:i w:val="1"/>
          <w:iCs w:val="1"/>
          <w:color w:val="auto"/>
        </w:rPr>
        <w:t>Nunes</w:t>
      </w:r>
      <w:r>
        <w:rPr>
          <w:rFonts w:ascii="Arial" w:cs="Arial" w:eastAsia="Arial" w:hAnsi="Arial"/>
          <w:sz w:val="17"/>
          <w:szCs w:val="17"/>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7"/>
          <w:szCs w:val="17"/>
          <w:i w:val="1"/>
          <w:iCs w:val="1"/>
          <w:color w:val="auto"/>
        </w:rPr>
        <w:t>Malkoff</w:t>
      </w:r>
      <w:r>
        <w:rPr>
          <w:rFonts w:ascii="Arial" w:cs="Arial" w:eastAsia="Arial" w:hAnsi="Arial"/>
          <w:sz w:val="17"/>
          <w:szCs w:val="17"/>
          <w:color w:val="auto"/>
        </w:rPr>
        <w:t xml:space="preserve"> action, </w:t>
      </w:r>
      <w:r>
        <w:rPr>
          <w:rFonts w:ascii="Arial" w:cs="Arial" w:eastAsia="Arial" w:hAnsi="Arial"/>
          <w:sz w:val="17"/>
          <w:szCs w:val="17"/>
          <w:i w:val="1"/>
          <w:iCs w:val="1"/>
          <w:color w:val="auto"/>
        </w:rPr>
        <w:t>Asiatrade</w:t>
      </w:r>
      <w:r>
        <w:rPr>
          <w:rFonts w:ascii="Arial" w:cs="Arial" w:eastAsia="Arial" w:hAnsi="Arial"/>
          <w:sz w:val="17"/>
          <w:szCs w:val="17"/>
          <w:color w:val="auto"/>
        </w:rPr>
        <w:t xml:space="preserve"> action, and the </w:t>
      </w:r>
      <w:r>
        <w:rPr>
          <w:rFonts w:ascii="Arial" w:cs="Arial" w:eastAsia="Arial" w:hAnsi="Arial"/>
          <w:sz w:val="17"/>
          <w:szCs w:val="17"/>
          <w:i w:val="1"/>
          <w:iCs w:val="1"/>
          <w:color w:val="auto"/>
        </w:rPr>
        <w:t xml:space="preserve">Cusumano </w:t>
      </w:r>
      <w:r>
        <w:rPr>
          <w:rFonts w:ascii="Arial" w:cs="Arial" w:eastAsia="Arial" w:hAnsi="Arial"/>
          <w:sz w:val="17"/>
          <w:szCs w:val="17"/>
          <w:color w:val="auto"/>
        </w:rPr>
        <w:t>action alleged that the Individual Defendants breached their fiduciary duties to Sequenom shareholders. The actions sought,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injunctive relief enjoining the merger. On August 30, 2016, the parties entered into a Memorandum of Understanding (MOU) in each of the above-referenced actions. In connection with the settlement, Sequenom agreed to make certain additional disclosures to its stockholders. On September 6, 2016, the Court entered an order consolidating for all pre-trial purposes the six individual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actions described above under the caption </w:t>
      </w:r>
      <w:r>
        <w:rPr>
          <w:rFonts w:ascii="Arial" w:cs="Arial" w:eastAsia="Arial" w:hAnsi="Arial"/>
          <w:sz w:val="17"/>
          <w:szCs w:val="17"/>
          <w:i w:val="1"/>
          <w:iCs w:val="1"/>
          <w:color w:val="auto"/>
        </w:rPr>
        <w:t>In re Sequenom, Inc. Shareholder Litig.</w:t>
      </w:r>
      <w:r>
        <w:rPr>
          <w:rFonts w:ascii="Arial" w:cs="Arial" w:eastAsia="Arial" w:hAnsi="Arial"/>
          <w:sz w:val="17"/>
          <w:szCs w:val="17"/>
          <w:color w:val="auto"/>
        </w:rPr>
        <w:t xml:space="preserve">, Lead Case No. 16-cv-02054-JAH-BLM, and designating the complaint from the </w:t>
      </w:r>
      <w:r>
        <w:rPr>
          <w:rFonts w:ascii="Arial" w:cs="Arial" w:eastAsia="Arial" w:hAnsi="Arial"/>
          <w:sz w:val="17"/>
          <w:szCs w:val="17"/>
          <w:i w:val="1"/>
          <w:iCs w:val="1"/>
          <w:color w:val="auto"/>
        </w:rPr>
        <w:t>Malkoff</w:t>
      </w:r>
      <w:r>
        <w:rPr>
          <w:rFonts w:ascii="Arial" w:cs="Arial" w:eastAsia="Arial" w:hAnsi="Arial"/>
          <w:sz w:val="17"/>
          <w:szCs w:val="17"/>
          <w:color w:val="auto"/>
        </w:rPr>
        <w:t xml:space="preserve"> action as the operative complaint for the consolidated action. On November 11, 2016, two competing motions were filed by two separate 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Company is awaiting the Court’s appointment of a permanent lead plaintiff. The Company is awaiting the Court's appointment of a permanent lead plaintiff. The parties agree that the MOU has been terminated. The Plaintiffs filed a Consolidated Amended Class Action Complaint on July 24, 2017, and the Defendants filed a Motion to Dismiss, which remains pending. The Company will vigorously defend the lawsuit.</w:t>
      </w:r>
    </w:p>
    <w:p>
      <w:pPr>
        <w:spacing w:after="0" w:line="20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February 7, 2017, Sequenom received a subpoena from the U.S. Securities and Exchange Commission (SEC) relating to an SEC investigation into the trading activity of Sequenom shares in connection with the Company’s July 2016 announcement regarding the Sequenom merger. On March 7, 2017, the Company received a similar subpoena. The Company is cooperating with these requests.</w:t>
      </w:r>
    </w:p>
    <w:p>
      <w:pPr>
        <w:spacing w:after="0" w:line="2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March 10, 2017, the Company was served with a putative class action lawsuit, </w:t>
      </w:r>
      <w:r>
        <w:rPr>
          <w:rFonts w:ascii="Arial" w:cs="Arial" w:eastAsia="Arial" w:hAnsi="Arial"/>
          <w:sz w:val="18"/>
          <w:szCs w:val="18"/>
          <w:i w:val="1"/>
          <w:iCs w:val="1"/>
          <w:color w:val="auto"/>
        </w:rPr>
        <w:t>Victoria Bouffard, et al. v. Laboratory Corporation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w:t>
      </w:r>
      <w:r>
        <w:rPr>
          <w:rFonts w:ascii="Arial" w:cs="Arial" w:eastAsia="Arial" w:hAnsi="Arial"/>
          <w:sz w:val="18"/>
          <w:szCs w:val="18"/>
          <w:color w:val="auto"/>
        </w:rPr>
        <w:t>, filed in the United States District Court for the Middle District of North Carolina. The complaint alleges that the Company’s patient list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unlawfully 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this motion is currently pending. On October 10, 2017, a second putative class action lawsuit, </w:t>
      </w:r>
      <w:r>
        <w:rPr>
          <w:rFonts w:ascii="Arial" w:cs="Arial" w:eastAsia="Arial" w:hAnsi="Arial"/>
          <w:sz w:val="18"/>
          <w:szCs w:val="18"/>
          <w:i w:val="1"/>
          <w:iCs w:val="1"/>
          <w:color w:val="auto"/>
        </w:rPr>
        <w:t>Sheryl Anderson, et al. v. Laboratory</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of America Holdings</w:t>
      </w:r>
      <w:r>
        <w:rPr>
          <w:rFonts w:ascii="Arial" w:cs="Arial" w:eastAsia="Arial" w:hAnsi="Arial"/>
          <w:sz w:val="18"/>
          <w:szCs w:val="18"/>
          <w:color w:val="auto"/>
        </w:rPr>
        <w:t>, was filed in the United States District Court for the Middle District of North Carolina. The complaint contains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allegations and seeks similar relief to the Bouffard complaint, and adds additional counts regarding state consumer protection laws. The Company will vigorously defend the lawsuits.</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May 24, 2017, a putative class action lawsuit, </w:t>
      </w:r>
      <w:r>
        <w:rPr>
          <w:rFonts w:ascii="Arial" w:cs="Arial" w:eastAsia="Arial" w:hAnsi="Arial"/>
          <w:sz w:val="16"/>
          <w:szCs w:val="16"/>
          <w:i w:val="1"/>
          <w:iCs w:val="1"/>
          <w:color w:val="auto"/>
        </w:rPr>
        <w:t>Maria T. Gonzalez, et al. v. Examination Management Services, Inc. and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w:t>
      </w:r>
      <w:r>
        <w:rPr>
          <w:rFonts w:ascii="Arial" w:cs="Arial" w:eastAsia="Arial" w:hAnsi="Arial"/>
          <w:sz w:val="16"/>
          <w:szCs w:val="16"/>
          <w:color w:val="auto"/>
        </w:rPr>
        <w:t>, was filed against the Company in the United States District Court for the Southern District of California. The complaint alleges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misclassified phlebotomists as independent contractors through an arrangement with the co-Defendant temporary staffing agency. The complaint further alleges that the Company violated the California Labor Code and California Business and Professions Code by failing to pay minimum wage, failing to pay for all hours worked, failing to pay for all wages owed upon termination, and failing to provide accurate itemized wage statements. The lawsuit seeks monetary damages, civil penalties, injunctive relief, and recovery of attorney's fees and costs. The Company will vigorously defend the lawsuit.</w:t>
      </w:r>
    </w:p>
    <w:p>
      <w:pPr>
        <w:spacing w:after="0" w:line="19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 2017, a putative class action lawsuit, </w:t>
      </w:r>
      <w:r>
        <w:rPr>
          <w:rFonts w:ascii="Arial" w:cs="Arial" w:eastAsia="Arial" w:hAnsi="Arial"/>
          <w:sz w:val="18"/>
          <w:szCs w:val="18"/>
          <w:i w:val="1"/>
          <w:iCs w:val="1"/>
          <w:color w:val="auto"/>
        </w:rPr>
        <w:t>John Sealock, et al. v. Covance Market Access Services, Inc.</w:t>
      </w:r>
      <w:r>
        <w:rPr>
          <w:rFonts w:ascii="Arial" w:cs="Arial" w:eastAsia="Arial" w:hAnsi="Arial"/>
          <w:sz w:val="18"/>
          <w:szCs w:val="18"/>
          <w:color w:val="auto"/>
        </w:rPr>
        <w:t>, was filed in the United States District Court for the Southern District of New York. The complaint alleges that Covance Market Access Services, Inc. violated the Fair Labor Standards Act and New York labor laws by failing to provide overtime wages, failing to pay for all hours worked, and failing to provide accurate wage statements. The lawsuit seeks monetary damages, civil penalties, injunctive relief, and recovery of attorney’s fees and costs. In November 2017, the Company filed a Motion to Strike Class Allegations. In December 2017, the Plaintiff filed a Motion for Conditional Certification of a Collective Action. The parties’ motions remain pending. The Company will vigorously defend the lawsuit.</w:t>
      </w:r>
    </w:p>
    <w:p>
      <w:pPr>
        <w:spacing w:after="0" w:line="22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On November 6, 2017, Covance was served with two False Claims Act lawsuits, Health Choice Alliance, LLC on behalf of the </w:t>
      </w:r>
      <w:r>
        <w:rPr>
          <w:rFonts w:ascii="Arial" w:cs="Arial" w:eastAsia="Arial" w:hAnsi="Arial"/>
          <w:sz w:val="16"/>
          <w:szCs w:val="16"/>
          <w:i w:val="1"/>
          <w:iCs w:val="1"/>
          <w:color w:val="auto"/>
        </w:rPr>
        <w:t>United States of America,</w:t>
      </w:r>
      <w:r>
        <w:rPr>
          <w:rFonts w:ascii="Arial" w:cs="Arial" w:eastAsia="Arial" w:hAnsi="Arial"/>
          <w:sz w:val="16"/>
          <w:szCs w:val="16"/>
          <w:color w:val="auto"/>
        </w:rPr>
        <w:t xml:space="preserve"> </w:t>
      </w:r>
      <w:r>
        <w:rPr>
          <w:rFonts w:ascii="Arial" w:cs="Arial" w:eastAsia="Arial" w:hAnsi="Arial"/>
          <w:sz w:val="16"/>
          <w:szCs w:val="16"/>
          <w:i w:val="1"/>
          <w:iCs w:val="1"/>
          <w:color w:val="auto"/>
        </w:rPr>
        <w:t>et al. v. Eli Lilly and Company, Inc. et al.</w:t>
      </w:r>
      <w:r>
        <w:rPr>
          <w:rFonts w:ascii="Arial" w:cs="Arial" w:eastAsia="Arial" w:hAnsi="Arial"/>
          <w:sz w:val="16"/>
          <w:szCs w:val="16"/>
          <w:color w:val="auto"/>
        </w:rPr>
        <w:t>, and Health Choice Advocates, LLC, on behalf of the</w:t>
      </w:r>
      <w:r>
        <w:rPr>
          <w:rFonts w:ascii="Arial" w:cs="Arial" w:eastAsia="Arial" w:hAnsi="Arial"/>
          <w:sz w:val="16"/>
          <w:szCs w:val="16"/>
          <w:i w:val="1"/>
          <w:iCs w:val="1"/>
          <w:color w:val="auto"/>
        </w:rPr>
        <w:t xml:space="preserve"> United States of America v. Gilead Sciences, Inc., et al.</w:t>
      </w:r>
      <w:r>
        <w:rPr>
          <w:rFonts w:ascii="Arial" w:cs="Arial" w:eastAsia="Arial" w:hAnsi="Arial"/>
          <w:sz w:val="16"/>
          <w:szCs w:val="16"/>
          <w:color w:val="auto"/>
        </w:rPr>
        <w:t>, both</w:t>
      </w:r>
      <w:r>
        <w:rPr>
          <w:rFonts w:ascii="Arial" w:cs="Arial" w:eastAsia="Arial" w:hAnsi="Arial"/>
          <w:sz w:val="16"/>
          <w:szCs w:val="16"/>
          <w:i w:val="1"/>
          <w:iCs w:val="1"/>
          <w:color w:val="auto"/>
        </w:rPr>
        <w:t xml:space="preserve"> </w:t>
      </w:r>
      <w:r>
        <w:rPr>
          <w:rFonts w:ascii="Arial" w:cs="Arial" w:eastAsia="Arial" w:hAnsi="Arial"/>
          <w:sz w:val="16"/>
          <w:szCs w:val="16"/>
          <w:color w:val="auto"/>
        </w:rPr>
        <w:t>filed in the United States District Court for the Eastern District of Texas. The complaints allege under the Federal False Claims Act and various state analogues that Covance and the co-defendants unlawfully provided in-kind remuneration to medical providers in the form of reimbursement support services in order to induce providers to prescribe certain drugs. Neither the U.S. government nor any state government intervened in the lawsuits. The lawsuit seeks actual and treble damages and civil penalties for each alleged false claim, as well as recovery of costs. The Company will vigorously defend the lawsuits.</w:t>
      </w:r>
    </w:p>
    <w:p>
      <w:pPr>
        <w:spacing w:after="0" w:line="19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 At December 31, 2017, the Company had provided letters of credit aggregating approximately $72.2, primarily in connection with certain insurance programs. The Company’s availability under its Revolving Credit Facility is reduced by the amount of these letters of credit.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 leases various facilities and equipment under non-cancelable lease arrangements. Future minimum rental commitments for leases with non-cancelable terms of one year or more at December 31, 2017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8"/>
              </w:rPr>
              <w:t>Operating</w:t>
            </w:r>
          </w:p>
        </w:tc>
      </w:tr>
      <w:tr>
        <w:trPr>
          <w:trHeight w:val="34"/>
        </w:trPr>
        <w:tc>
          <w:tcPr>
            <w:tcW w:w="10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84"/>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160.9</w:t>
            </w: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10160" w:type="dxa"/>
            <w:vAlign w:val="bottom"/>
          </w:tcPr>
          <w:p>
            <w:pPr>
              <w:ind w:left="380"/>
              <w:spacing w:after="0"/>
              <w:rPr>
                <w:sz w:val="20"/>
                <w:szCs w:val="20"/>
                <w:color w:val="auto"/>
              </w:rPr>
            </w:pPr>
            <w:r>
              <w:rPr>
                <w:rFonts w:ascii="Arial" w:cs="Arial" w:eastAsia="Arial" w:hAnsi="Arial"/>
                <w:sz w:val="18"/>
                <w:szCs w:val="18"/>
                <w:color w:val="auto"/>
              </w:rPr>
              <w:t>Amounts included in restructuring and acquisition related accruals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Non-cancelable sub-lease income</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10160" w:type="dxa"/>
            <w:vAlign w:val="bottom"/>
          </w:tcPr>
          <w:p>
            <w:pPr>
              <w:ind w:left="40"/>
              <w:spacing w:after="0"/>
              <w:rPr>
                <w:sz w:val="20"/>
                <w:szCs w:val="20"/>
                <w:color w:val="auto"/>
              </w:rPr>
            </w:pPr>
            <w:r>
              <w:rPr>
                <w:rFonts w:ascii="Arial" w:cs="Arial" w:eastAsia="Arial" w:hAnsi="Arial"/>
                <w:sz w:val="18"/>
                <w:szCs w:val="18"/>
                <w:color w:val="auto"/>
              </w:rPr>
              <w:t>Total minimum operating lease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745.8</w:t>
            </w: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Rental expense, which includes rent for real estate, equipment and automobiles under operating leases, amounted to $313.8, $291.2 and $287.1 for the years ended December 31, 2017, 2016 and 2015, respectively.</w:t>
      </w:r>
    </w:p>
    <w:p>
      <w:pPr>
        <w:spacing w:after="0" w:line="166" w:lineRule="exact"/>
        <w:rPr>
          <w:sz w:val="20"/>
          <w:szCs w:val="20"/>
          <w:color w:val="auto"/>
        </w:rPr>
      </w:pPr>
    </w:p>
    <w:p>
      <w:pPr>
        <w:ind w:right="7480" w:firstLine="8"/>
        <w:spacing w:after="0" w:line="423" w:lineRule="auto"/>
        <w:tabs>
          <w:tab w:leader="none" w:pos="31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 Pension Plans</w:t>
      </w:r>
    </w:p>
    <w:p>
      <w:pPr>
        <w:spacing w:after="0" w:line="7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has a defined-benefit retirement plan (Company Plan) and a nonqualified supplemental retirement plan (PEP). Both plans have been closed to new participants since December 31, 2009. Employees participating in the Company Plan and the PEP no longer earn service-based credits, but continue to earn interest credits. In addition, effective January 1, 2010, all employees eligible for the defined-contribution retirement plan (401K Plan) receive a minimum 3% non-elective contribution (NEC) concurrent with each payroll period. Employees are not required to make a contribution to the 401K Plan to receive the NEC. The NEC is non-forfeitable and vests immediately. The 401K Plan also permits discretionary contributions by the Company of up to 1% and up to 3% of pay for eligible employees based on service.</w:t>
      </w:r>
    </w:p>
    <w:p>
      <w:pPr>
        <w:spacing w:after="0" w:line="20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Company’s 401K Plan covers substantially all pre-Covance acquisition employees. Prior to 2010, Company contributions to the plan were based on a percentage of employee contributions. From 2011, the Company made non-elective and discretionary contributions to the plan. In 2017, 2016, and 2015, non-elective and discretionary contributions were $58.1, $56.0 and $43.3, respectively. As a result of the Covance acquisition, the Company also incurred expense of $37.8 for the Covance 401K Plan during the year ended December 31, 2015. Under the Covance 401K Plan, which is available on a voluntary basis to substantially all U.S. Covance employees, the Company matches employee contributions up to a maximum Company contribution of 4.5%.</w:t>
      </w:r>
    </w:p>
    <w:p>
      <w:pPr>
        <w:spacing w:after="0" w:line="1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Plan covers substantially all employees employed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Company made contributions to the Company Plan of $16.0, $10.8 and $9.5 in 2017, 2016 and 2015, respectively.</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PEP covers a portion of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21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Projected pension expense for the Company Plan and the PEP is expected to increase to $13.3 in 2018. This amount excludes any accelerated recognition of pension cost due to the total lump-sum payouts exceeding certain components of net periodic pension cost in a fiscal year. If such levels were to be met in 2018, the Company projects that it would result in additional pension expense of several million dollars. The actual amount would be determined in the fiscal quarter when the lump-sum payments cross the threshold and would be based upon the plan's funded status and actuarial assumptions in effect at that time.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plans to make contributions of $7.6 to the Company Plan and the PEP during 2018.</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effect on operations for both the Company Plan and the PEP are summarized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Defined-benefit plan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Amounts included in accumulated other comprehensive earnings consist of unamortized net loss of $127.4. The accumulated other comprehensive earnings that are expected to be recognized as components of the defined-benefit plan costs during 2018 are $10.9 related to amortization of the net loss.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the changes in the projected benefit obligations of the Company Plan and the PEP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366.5</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43"/>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Actuarial loss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Benefits and administrative expenses paid</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(30.6)</w:t>
            </w:r>
          </w:p>
        </w:tc>
        <w:tc>
          <w:tcPr>
            <w:tcW w:w="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64"/>
        </w:trPr>
        <w:tc>
          <w:tcPr>
            <w:tcW w:w="8140" w:type="dxa"/>
            <w:vAlign w:val="bottom"/>
            <w:gridSpan w:val="3"/>
          </w:tcPr>
          <w:p>
            <w:pPr>
              <w:ind w:left="40"/>
              <w:spacing w:after="0"/>
              <w:rPr>
                <w:sz w:val="20"/>
                <w:szCs w:val="20"/>
                <w:color w:val="auto"/>
              </w:rPr>
            </w:pPr>
            <w:r>
              <w:rPr>
                <w:rFonts w:ascii="Arial" w:cs="Arial" w:eastAsia="Arial" w:hAnsi="Arial"/>
                <w:sz w:val="18"/>
                <w:szCs w:val="18"/>
                <w:color w:val="auto"/>
              </w:rPr>
              <w:t>Balance at December 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368.0</w:t>
            </w:r>
          </w:p>
        </w:tc>
        <w:tc>
          <w:tcPr>
            <w:tcW w:w="20" w:type="dxa"/>
            <w:vAlign w:val="bottom"/>
          </w:tcPr>
          <w:p>
            <w:pPr>
              <w:spacing w:after="0"/>
              <w:rPr>
                <w:sz w:val="22"/>
                <w:szCs w:val="22"/>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ind w:left="280"/>
              <w:spacing w:after="0"/>
              <w:rPr>
                <w:sz w:val="20"/>
                <w:szCs w:val="20"/>
                <w:color w:val="auto"/>
              </w:rPr>
            </w:pPr>
            <w:r>
              <w:rPr>
                <w:rFonts w:ascii="Arial" w:cs="Arial" w:eastAsia="Arial" w:hAnsi="Arial"/>
                <w:sz w:val="18"/>
                <w:szCs w:val="18"/>
                <w:color w:val="auto"/>
                <w:w w:val="91"/>
              </w:rPr>
              <w:t>The Accumulated Benefit Obligation was $368.0 and $366.5 at December 31, 2017 and 2016, respectively.</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4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140" w:type="dxa"/>
            <w:vAlign w:val="bottom"/>
            <w:gridSpan w:val="3"/>
          </w:tcPr>
          <w:p>
            <w:pPr>
              <w:ind w:left="280"/>
              <w:spacing w:after="0"/>
              <w:rPr>
                <w:sz w:val="20"/>
                <w:szCs w:val="20"/>
                <w:color w:val="auto"/>
              </w:rPr>
            </w:pPr>
            <w:r>
              <w:rPr>
                <w:rFonts w:ascii="Arial" w:cs="Arial" w:eastAsia="Arial" w:hAnsi="Arial"/>
                <w:sz w:val="18"/>
                <w:szCs w:val="18"/>
                <w:color w:val="auto"/>
              </w:rPr>
              <w:t>A summary of the changes in the fair value of plan assets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247.5</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84"/>
        </w:trPr>
        <w:tc>
          <w:tcPr>
            <w:tcW w:w="81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Benefits and administrative expenses paid</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(30.6)</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7"/>
        </w:trPr>
        <w:tc>
          <w:tcPr>
            <w:tcW w:w="8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263.7</w:t>
            </w:r>
          </w:p>
        </w:tc>
        <w:tc>
          <w:tcPr>
            <w:tcW w:w="20" w:type="dxa"/>
            <w:vAlign w:val="bottom"/>
            <w:shd w:val="clear" w:color="auto" w:fill="CCEEFF"/>
          </w:tcPr>
          <w:p>
            <w:pPr>
              <w:spacing w:after="0"/>
              <w:rPr>
                <w:sz w:val="22"/>
                <w:szCs w:val="22"/>
                <w:color w:val="auto"/>
              </w:rPr>
            </w:pP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ind w:left="280"/>
              <w:spacing w:after="0"/>
              <w:rPr>
                <w:sz w:val="20"/>
                <w:szCs w:val="20"/>
                <w:color w:val="auto"/>
              </w:rPr>
            </w:pPr>
            <w:r>
              <w:rPr>
                <w:rFonts w:ascii="Arial" w:cs="Arial" w:eastAsia="Arial" w:hAnsi="Arial"/>
                <w:sz w:val="18"/>
                <w:szCs w:val="18"/>
                <w:color w:val="auto"/>
              </w:rPr>
              <w:t>The net funded status of the Company Plan and the PEP at December 31:</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4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4"/>
          </w:tcPr>
          <w:p>
            <w:pPr>
              <w:jc w:val="right"/>
              <w:ind w:right="32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2.0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117.0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104.3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6"/>
          </w:tcPr>
          <w:p>
            <w:pPr>
              <w:jc w:val="right"/>
              <w:ind w:right="60"/>
              <w:spacing w:after="0"/>
              <w:rPr>
                <w:sz w:val="20"/>
                <w:szCs w:val="20"/>
                <w:color w:val="auto"/>
              </w:rPr>
            </w:pPr>
            <w:r>
              <w:rPr>
                <w:rFonts w:ascii="Arial" w:cs="Arial" w:eastAsia="Arial" w:hAnsi="Arial"/>
                <w:sz w:val="18"/>
                <w:szCs w:val="18"/>
                <w:color w:val="auto"/>
              </w:rPr>
              <w:t>119.0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gridSpan w:val="4"/>
            <w:vMerge w:val="restart"/>
          </w:tcPr>
          <w:p>
            <w:pPr>
              <w:ind w:left="280"/>
              <w:spacing w:after="0"/>
              <w:rPr>
                <w:sz w:val="20"/>
                <w:szCs w:val="20"/>
                <w:color w:val="auto"/>
              </w:rPr>
            </w:pPr>
            <w:r>
              <w:rPr>
                <w:rFonts w:ascii="Arial" w:cs="Arial" w:eastAsia="Arial" w:hAnsi="Arial"/>
                <w:sz w:val="18"/>
                <w:szCs w:val="18"/>
                <w:color w:val="auto"/>
                <w:w w:val="90"/>
              </w:rPr>
              <w:t>Weighted average assumptions used in the accounting for the Company Plan and the PEP are summarized as</w:t>
            </w: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gridSpan w:val="4"/>
            <w:vMerge w:val="continue"/>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gridSpan w:val="4"/>
            <w:vMerge w:val="continue"/>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follows: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140" w:type="dxa"/>
            <w:vAlign w:val="bottom"/>
            <w:gridSpan w:val="3"/>
          </w:tcPr>
          <w:p>
            <w:pPr>
              <w:ind w:left="774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28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Arial" w:cs="Arial" w:eastAsia="Arial" w:hAnsi="Arial"/>
                <w:sz w:val="18"/>
                <w:szCs w:val="18"/>
                <w:color w:val="auto"/>
              </w:rPr>
              <w:t>Expected long term rate of return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2"/>
              </w:rPr>
              <w:t>6.8%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updated the mortality assumption to the RP-2014 Mortality Tables in 2016 and again in 2017 which decreased the Company's total projected obligation.</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maintains an investment policy for the management of the Company Plan’s assets. The objective of this policy is to build a portfolio designed to achieve a balance between investment return and asset protection by investing in indexed funds that are comprised of equities of high quality companies and in high quality fixed income securities which are broadly balanced and represent all market sectors. The target allocations for plan assets are 50% equity securities, 45% fixed income securities and 5% in other assets. Equity securities primarily include investments in large-cap, mid-cap and small-cap companies located in the U.S. and to a lesser extent international equities in developed and emerging countries. Fixed income securities primarily include U.S. Treasury securities, mortgage-backed bonds and corporate bonds of companies from diversified industries. Other assets include investments in commodities. The weighted average expected long-term rate of return for the Company Plan’s assets is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653"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16"/>
        </w:trPr>
        <w:tc>
          <w:tcPr>
            <w:tcW w:w="73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Target</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Expected Long-Term</w:t>
            </w:r>
          </w:p>
        </w:tc>
      </w:tr>
      <w:tr>
        <w:trPr>
          <w:trHeight w:val="230"/>
        </w:trPr>
        <w:tc>
          <w:tcPr>
            <w:tcW w:w="73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Rate of Return</w:t>
            </w:r>
          </w:p>
        </w:tc>
      </w:tr>
      <w:tr>
        <w:trPr>
          <w:trHeight w:val="34"/>
        </w:trPr>
        <w:tc>
          <w:tcPr>
            <w:tcW w:w="73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fair values of the Company Plan’s assets at December 31, 2017, and 2016, by asset category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December 31, 2017</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869"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fixed income (f)</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inflation protection income (g)</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fair value of the Company Plan’s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Category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December 31,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31, 2016</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-1234440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-162560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200" w:space="720"/>
            <w:col w:w="6500"/>
          </w:cols>
          <w:pgMar w:left="240" w:top="125" w:right="239" w:bottom="869"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(h)</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fixed income (f)</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304"/>
        </w:trPr>
        <w:tc>
          <w:tcPr>
            <w:tcW w:w="4920" w:type="dxa"/>
            <w:vAlign w:val="bottom"/>
          </w:tcPr>
          <w:p>
            <w:pPr>
              <w:ind w:left="280"/>
              <w:spacing w:after="0"/>
              <w:rPr>
                <w:sz w:val="20"/>
                <w:szCs w:val="20"/>
                <w:color w:val="auto"/>
              </w:rPr>
            </w:pPr>
            <w:r>
              <w:rPr>
                <w:rFonts w:ascii="Arial" w:cs="Arial" w:eastAsia="Arial" w:hAnsi="Arial"/>
                <w:sz w:val="18"/>
                <w:szCs w:val="18"/>
                <w:color w:val="auto"/>
              </w:rPr>
              <w:t>U.S inflation protection income (g)</w:t>
            </w:r>
          </w:p>
        </w:tc>
        <w:tc>
          <w:tcPr>
            <w:tcW w:w="6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51"/>
        </w:trPr>
        <w:tc>
          <w:tcPr>
            <w:tcW w:w="49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500 Index.</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mid-cap 400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Russell 2000 Index.</w:t>
      </w:r>
    </w:p>
    <w:p>
      <w:pPr>
        <w:spacing w:after="0" w:line="9" w:lineRule="exact"/>
        <w:rPr>
          <w:rFonts w:ascii="Arial" w:cs="Arial" w:eastAsia="Arial" w:hAnsi="Arial"/>
          <w:sz w:val="18"/>
          <w:szCs w:val="18"/>
          <w:color w:val="auto"/>
        </w:rPr>
      </w:pPr>
    </w:p>
    <w:p>
      <w:pPr>
        <w:ind w:right="3020" w:firstLine="8"/>
        <w:spacing w:after="0" w:line="281" w:lineRule="auto"/>
        <w:tabs>
          <w:tab w:leader="none" w:pos="3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category represents an equity index fund not actively managed that tracks the MSCI ACWI ex USA Index. e)This category represents a real estate index fund not actively managed that tracks the MSCI US REIT Index.</w:t>
      </w:r>
    </w:p>
    <w:p>
      <w:pPr>
        <w:spacing w:after="0" w:line="1" w:lineRule="exact"/>
        <w:rPr>
          <w:sz w:val="20"/>
          <w:szCs w:val="20"/>
          <w:color w:val="auto"/>
        </w:rPr>
      </w:pPr>
    </w:p>
    <w:p>
      <w:pPr>
        <w:ind w:left="340" w:right="20" w:hanging="332"/>
        <w:spacing w:after="0" w:line="25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primarily represents bond index funds not actively managed that track the Barclays Capital U.S. Aggregate Index as well as an actively managed strategy which utilizes the Barclays Capital U.S. Aggregate Bond Index as its primary prospectus benchmark.</w:t>
      </w: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primarily represents a bond index fund not actively managed that tracks the Barclays Capital U.S. TIPS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represents a commodities index fund not actively managed that tracks the Dow Jones - UBS Commodity Index.</w:t>
      </w:r>
    </w:p>
    <w:p>
      <w:pPr>
        <w:spacing w:after="0" w:line="116"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 Plan and PEP, which were used in the calculation of projected benefit obligations, are expected to be paid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869"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2019</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6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2021</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6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Years 2023 and thereafter</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118.2</w:t>
            </w: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the PEP, as a result of the Covance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The pension benefit obligation as of the Covance acquisition date was $32.8. The components of the net periodic pension cost for the years ended December 31, 2017, and December 31, 2016,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Year Ended December 31,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w w:val="90"/>
              </w:rPr>
              <w:t>Year Ended December 31,</w:t>
            </w:r>
          </w:p>
        </w:tc>
      </w:tr>
      <w:tr>
        <w:trPr>
          <w:trHeight w:val="230"/>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2016</w:t>
            </w:r>
          </w:p>
        </w:tc>
      </w:tr>
      <w:tr>
        <w:trPr>
          <w:trHeight w:val="34"/>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140" w:type="dxa"/>
            <w:vAlign w:val="bottom"/>
          </w:tcPr>
          <w:p>
            <w:pPr>
              <w:spacing w:after="0"/>
              <w:rPr>
                <w:sz w:val="21"/>
                <w:szCs w:val="21"/>
                <w:color w:val="auto"/>
              </w:rPr>
            </w:pP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defined-benefit plan cost</w:t>
            </w: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14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7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The change in the projected benefit obligation, the funded status of the plan and a reconciliation of such funded status to the amounts reported in the consolidated balance sheet as of December 31, 2017, and December 31, 2016,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34"/>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Actuarial loss/(gain)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benefits paid</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Termination benefits</w:t>
            </w:r>
          </w:p>
        </w:tc>
        <w:tc>
          <w:tcPr>
            <w:tcW w:w="1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34"/>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Funded status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Recorded as:</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accumulated benefit obligation was $4.3 and $7.5 as of December 31, 2017, and December 31, 2016, respectively.</w:t>
      </w:r>
    </w:p>
    <w:p>
      <w:pPr>
        <w:spacing w:after="0" w:line="13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assumed benefit payments under the SERP, which were used in the calculation of projected benefit obligations, are expected to be paid as follows: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6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2019</w:t>
            </w:r>
          </w:p>
        </w:tc>
        <w:tc>
          <w:tcPr>
            <w:tcW w:w="4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Year 2023 and thereafter</w:t>
            </w:r>
          </w:p>
        </w:tc>
        <w:tc>
          <w:tcPr>
            <w:tcW w:w="4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0.9</w:t>
            </w:r>
          </w:p>
        </w:tc>
      </w:tr>
    </w:tbl>
    <w:p>
      <w:pPr>
        <w:spacing w:after="0" w:line="6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a result of the Covance acquisiton, the Company sponsors two defined-benefit pension plans for the benefit of its employees at two U.K. subsidiaries (U.K. Plans) and one defined-benefit pension plan for the benefit of its employees at a German subsidiary (German Plan), all of which are legacy plans of previously acquired companies. Benefit amounts for all three plans are based upon years of service and compensation. The German Plan is unfunded while the U.K. Plans are funded. The Company’s funding policy has been to contribute annually amounts at least equal to the local statutory funding requirements.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4"/>
          </w:tcPr>
          <w:p>
            <w:pPr>
              <w:jc w:val="right"/>
              <w:ind w:right="770"/>
              <w:spacing w:after="0"/>
              <w:rPr>
                <w:sz w:val="20"/>
                <w:szCs w:val="20"/>
                <w:color w:val="auto"/>
              </w:rPr>
            </w:pPr>
            <w:r>
              <w:rPr>
                <w:rFonts w:ascii="Arial" w:cs="Arial" w:eastAsia="Arial" w:hAnsi="Arial"/>
                <w:sz w:val="18"/>
                <w:szCs w:val="18"/>
                <w:color w:val="auto"/>
              </w:rPr>
              <w:t>U.K. Plans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w w:val="97"/>
              </w:rPr>
              <w:t>Year Ended December 31, 2017</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w w:val="93"/>
              </w:rPr>
              <w:t>Year Ended December 31, 2016</w:t>
            </w: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Expected participant contributions</w:t>
            </w:r>
          </w:p>
        </w:tc>
        <w:tc>
          <w:tcPr>
            <w:tcW w:w="1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Defined-benefit plan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Assumptions used to determine defined-benefit plan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Salary increases</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513"/>
        </w:trPr>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4"/>
          </w:tcPr>
          <w:p>
            <w:pPr>
              <w:jc w:val="right"/>
              <w:ind w:right="690"/>
              <w:spacing w:after="0"/>
              <w:rPr>
                <w:sz w:val="20"/>
                <w:szCs w:val="20"/>
                <w:color w:val="auto"/>
              </w:rPr>
            </w:pPr>
            <w:r>
              <w:rPr>
                <w:rFonts w:ascii="Arial" w:cs="Arial" w:eastAsia="Arial" w:hAnsi="Arial"/>
                <w:sz w:val="18"/>
                <w:szCs w:val="18"/>
                <w:color w:val="auto"/>
              </w:rPr>
              <w:t>German Plan</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w w:val="98"/>
              </w:rPr>
              <w:t>Year Ended December 31, 2017</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4"/>
              </w:rPr>
              <w:t>Year Ended December 31, 2016</w:t>
            </w: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Net amortization and deferral</w:t>
            </w:r>
          </w:p>
        </w:tc>
        <w:tc>
          <w:tcPr>
            <w:tcW w:w="120" w:type="dxa"/>
            <w:vAlign w:val="bottom"/>
          </w:tcPr>
          <w:p>
            <w:pPr>
              <w:spacing w:after="0"/>
              <w:rPr>
                <w:sz w:val="21"/>
                <w:szCs w:val="21"/>
                <w:color w:val="auto"/>
              </w:rPr>
            </w:pPr>
          </w:p>
        </w:tc>
        <w:tc>
          <w:tcPr>
            <w:tcW w:w="2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Defined-benefit plan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defined-benefit plan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3"/>
            <w:shd w:val="clear" w:color="auto" w:fill="CCEEFF"/>
          </w:tcPr>
          <w:p>
            <w:pPr>
              <w:ind w:left="194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weighted average expected long-term rate of return on assets of the U.K Plans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the projected benefit obligation and plan assets, the funded status of the plan and a reconciliation of such funded status to the amounts reported in the consolidated balance sheet as of December 31, 2017, and December 31, 2016,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17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U.K. Plans</w:t>
            </w:r>
          </w:p>
        </w:tc>
        <w:tc>
          <w:tcPr>
            <w:tcW w:w="1760" w:type="dxa"/>
            <w:vAlign w:val="bottom"/>
            <w:tcBorders>
              <w:bottom w:val="single" w:sz="8" w:color="auto"/>
            </w:tcBorders>
          </w:tcPr>
          <w:p>
            <w:pPr>
              <w:spacing w:after="0"/>
              <w:rPr>
                <w:sz w:val="22"/>
                <w:szCs w:val="22"/>
                <w:color w:val="auto"/>
              </w:rPr>
            </w:pPr>
          </w:p>
        </w:tc>
      </w:tr>
      <w:tr>
        <w:trPr>
          <w:trHeight w:val="243"/>
        </w:trPr>
        <w:tc>
          <w:tcPr>
            <w:tcW w:w="6240" w:type="dxa"/>
            <w:vAlign w:val="bottom"/>
          </w:tcPr>
          <w:p>
            <w:pPr>
              <w:spacing w:after="0"/>
              <w:rPr>
                <w:sz w:val="21"/>
                <w:szCs w:val="21"/>
                <w:color w:val="auto"/>
              </w:rPr>
            </w:pP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990"/>
              <w:spacing w:after="0"/>
              <w:rPr>
                <w:sz w:val="20"/>
                <w:szCs w:val="20"/>
                <w:color w:val="auto"/>
              </w:rPr>
            </w:pPr>
            <w:r>
              <w:rPr>
                <w:rFonts w:ascii="Arial" w:cs="Arial" w:eastAsia="Arial" w:hAnsi="Arial"/>
                <w:sz w:val="18"/>
                <w:szCs w:val="18"/>
                <w:color w:val="auto"/>
              </w:rPr>
              <w:t>2016</w:t>
            </w:r>
          </w:p>
        </w:tc>
      </w:tr>
      <w:tr>
        <w:trPr>
          <w:trHeight w:val="34"/>
        </w:trPr>
        <w:tc>
          <w:tcPr>
            <w:tcW w:w="6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246.5</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720" w:type="dxa"/>
            <w:vAlign w:val="bottom"/>
            <w:tcBorders>
              <w:top w:val="single" w:sz="8" w:color="auto"/>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278.1</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0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1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German Plan</w:t>
            </w:r>
          </w:p>
        </w:tc>
        <w:tc>
          <w:tcPr>
            <w:tcW w:w="1760" w:type="dxa"/>
            <w:vAlign w:val="bottom"/>
            <w:tcBorders>
              <w:bottom w:val="single" w:sz="8" w:color="auto"/>
            </w:tcBorders>
          </w:tcPr>
          <w:p>
            <w:pPr>
              <w:spacing w:after="0"/>
              <w:rPr>
                <w:sz w:val="24"/>
                <w:szCs w:val="24"/>
                <w:color w:val="auto"/>
              </w:rPr>
            </w:pPr>
          </w:p>
        </w:tc>
      </w:tr>
      <w:tr>
        <w:trPr>
          <w:trHeight w:val="243"/>
        </w:trPr>
        <w:tc>
          <w:tcPr>
            <w:tcW w:w="6240" w:type="dxa"/>
            <w:vAlign w:val="bottom"/>
          </w:tcPr>
          <w:p>
            <w:pPr>
              <w:spacing w:after="0"/>
              <w:rPr>
                <w:sz w:val="21"/>
                <w:szCs w:val="21"/>
                <w:color w:val="auto"/>
              </w:rPr>
            </w:pP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990"/>
              <w:spacing w:after="0"/>
              <w:rPr>
                <w:sz w:val="20"/>
                <w:szCs w:val="20"/>
                <w:color w:val="auto"/>
              </w:rPr>
            </w:pPr>
            <w:r>
              <w:rPr>
                <w:rFonts w:ascii="Arial" w:cs="Arial" w:eastAsia="Arial" w:hAnsi="Arial"/>
                <w:sz w:val="18"/>
                <w:szCs w:val="18"/>
                <w:color w:val="auto"/>
              </w:rPr>
              <w:t>2016</w:t>
            </w:r>
          </w:p>
        </w:tc>
      </w:tr>
      <w:tr>
        <w:trPr>
          <w:trHeight w:val="34"/>
        </w:trPr>
        <w:tc>
          <w:tcPr>
            <w:tcW w:w="6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720" w:type="dxa"/>
            <w:vAlign w:val="bottom"/>
            <w:tcBorders>
              <w:top w:val="single" w:sz="8" w:color="auto"/>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31"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125" w:right="239" w:bottom="231"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Change in Fair Value of Assets:</w:t>
            </w:r>
          </w:p>
        </w:tc>
        <w:tc>
          <w:tcPr>
            <w:tcW w:w="17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U.K. Plans</w:t>
            </w:r>
          </w:p>
        </w:tc>
        <w:tc>
          <w:tcPr>
            <w:tcW w:w="1760" w:type="dxa"/>
            <w:vAlign w:val="bottom"/>
            <w:tcBorders>
              <w:bottom w:val="single" w:sz="8" w:color="auto"/>
            </w:tcBorders>
          </w:tcPr>
          <w:p>
            <w:pPr>
              <w:spacing w:after="0"/>
              <w:rPr>
                <w:sz w:val="23"/>
                <w:szCs w:val="23"/>
                <w:color w:val="auto"/>
              </w:rPr>
            </w:pPr>
          </w:p>
        </w:tc>
      </w:tr>
      <w:tr>
        <w:trPr>
          <w:trHeight w:val="276"/>
        </w:trPr>
        <w:tc>
          <w:tcPr>
            <w:tcW w:w="6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2016</w:t>
            </w:r>
          </w:p>
        </w:tc>
      </w:tr>
      <w:tr>
        <w:trPr>
          <w:trHeight w:val="243"/>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beginning of year</w:t>
            </w: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233.2</w:t>
            </w:r>
          </w:p>
        </w:tc>
        <w:tc>
          <w:tcPr>
            <w:tcW w:w="1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Company contributions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Actual return on assets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1720" w:type="dxa"/>
            <w:vAlign w:val="bottom"/>
            <w:tcBorders>
              <w:top w:val="single" w:sz="8" w:color="auto"/>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233.2</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73"/>
        </w:trPr>
        <w:tc>
          <w:tcPr>
            <w:tcW w:w="6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91"/>
              </w:rPr>
              <w:t>U.K. Plans</w:t>
            </w:r>
          </w:p>
        </w:tc>
        <w:tc>
          <w:tcPr>
            <w:tcW w:w="1760" w:type="dxa"/>
            <w:vAlign w:val="bottom"/>
          </w:tcPr>
          <w:p>
            <w:pPr>
              <w:spacing w:after="0"/>
              <w:rPr>
                <w:sz w:val="24"/>
                <w:szCs w:val="24"/>
                <w:color w:val="auto"/>
              </w:rPr>
            </w:pPr>
          </w:p>
        </w:tc>
      </w:tr>
      <w:tr>
        <w:trPr>
          <w:trHeight w:val="34"/>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2"/>
        </w:trPr>
        <w:tc>
          <w:tcPr>
            <w:tcW w:w="62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2016</w:t>
            </w:r>
          </w:p>
        </w:tc>
      </w:tr>
      <w:tr>
        <w:trPr>
          <w:trHeight w:val="243"/>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Funded status</w:t>
            </w: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44.9</w:t>
            </w:r>
          </w:p>
        </w:tc>
      </w:tr>
      <w:tr>
        <w:trPr>
          <w:trHeight w:val="27"/>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6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88"/>
              </w:rPr>
              <w:t>German Plan</w:t>
            </w:r>
          </w:p>
        </w:tc>
        <w:tc>
          <w:tcPr>
            <w:tcW w:w="1760" w:type="dxa"/>
            <w:vAlign w:val="bottom"/>
          </w:tcPr>
          <w:p>
            <w:pPr>
              <w:spacing w:after="0"/>
              <w:rPr>
                <w:sz w:val="24"/>
                <w:szCs w:val="24"/>
                <w:color w:val="auto"/>
              </w:rPr>
            </w:pPr>
          </w:p>
        </w:tc>
      </w:tr>
      <w:tr>
        <w:trPr>
          <w:trHeight w:val="34"/>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2"/>
        </w:trPr>
        <w:tc>
          <w:tcPr>
            <w:tcW w:w="62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2017</w:t>
            </w: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2016</w:t>
            </w:r>
          </w:p>
        </w:tc>
      </w:tr>
      <w:tr>
        <w:trPr>
          <w:trHeight w:val="243"/>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Funded status</w:t>
            </w: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r>
      <w:tr>
        <w:trPr>
          <w:trHeight w:val="237"/>
        </w:trPr>
        <w:tc>
          <w:tcPr>
            <w:tcW w:w="6240" w:type="dxa"/>
            <w:vAlign w:val="bottom"/>
          </w:tcPr>
          <w:p>
            <w:pPr>
              <w:spacing w:after="0"/>
              <w:rPr>
                <w:sz w:val="20"/>
                <w:szCs w:val="20"/>
                <w:color w:val="auto"/>
              </w:rPr>
            </w:pP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r>
      <w:tr>
        <w:trPr>
          <w:trHeight w:val="27"/>
        </w:trPr>
        <w:tc>
          <w:tcPr>
            <w:tcW w:w="6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contributed $6.3 in 2017 to the U.K. Plans and expects to contribute $6.6 in 2018. No contributions were made to the German plan during 2017, nor are any contributions expected to be made in 2018, as the plan is unfunded.</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accumulated benefit obligation for the U.K. Plans and the German Plan was $261.2 and $31.5 at December 31, 2017, respectively. The accumulated benefit obligation for the U.K. Plans and the German Plan was $235.8 and $25.4 at December 31, 2016, respectively.</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amounts recognized in accumulated other comprehensive income for the year ended December 31, 2017, and December 31, 2016,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gridSpan w:val="3"/>
          </w:tcPr>
          <w:p>
            <w:pPr>
              <w:jc w:val="right"/>
              <w:ind w:right="310"/>
              <w:spacing w:after="0"/>
              <w:rPr>
                <w:sz w:val="20"/>
                <w:szCs w:val="20"/>
                <w:color w:val="auto"/>
              </w:rPr>
            </w:pPr>
            <w:r>
              <w:rPr>
                <w:rFonts w:ascii="Arial" w:cs="Arial" w:eastAsia="Arial" w:hAnsi="Arial"/>
                <w:sz w:val="18"/>
                <w:szCs w:val="18"/>
                <w:color w:val="auto"/>
              </w:rPr>
              <w:t>U.K. Plans</w:t>
            </w:r>
          </w:p>
        </w:tc>
        <w:tc>
          <w:tcPr>
            <w:tcW w:w="1800" w:type="dxa"/>
            <w:vAlign w:val="bottom"/>
          </w:tcPr>
          <w:p>
            <w:pPr>
              <w:spacing w:after="0"/>
              <w:rPr>
                <w:sz w:val="20"/>
                <w:szCs w:val="20"/>
                <w:color w:val="auto"/>
              </w:rPr>
            </w:pPr>
          </w:p>
        </w:tc>
      </w:tr>
      <w:tr>
        <w:trPr>
          <w:trHeight w:val="34"/>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140" w:type="dxa"/>
            <w:vAlign w:val="bottom"/>
          </w:tcPr>
          <w:p>
            <w:pPr>
              <w:spacing w:after="0"/>
              <w:rPr>
                <w:sz w:val="21"/>
                <w:szCs w:val="21"/>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ind w:right="1010"/>
              <w:spacing w:after="0"/>
              <w:rPr>
                <w:sz w:val="20"/>
                <w:szCs w:val="20"/>
                <w:color w:val="auto"/>
              </w:rPr>
            </w:pPr>
            <w:r>
              <w:rPr>
                <w:rFonts w:ascii="Arial" w:cs="Arial" w:eastAsia="Arial" w:hAnsi="Arial"/>
                <w:sz w:val="18"/>
                <w:szCs w:val="18"/>
                <w:color w:val="auto"/>
              </w:rPr>
              <w:t>2016</w:t>
            </w:r>
          </w:p>
        </w:tc>
      </w:tr>
      <w:tr>
        <w:trPr>
          <w:trHeight w:val="34"/>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39.2</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Less: Tax benefit (deferred tax asset)</w:t>
            </w:r>
          </w:p>
        </w:tc>
        <w:tc>
          <w:tcPr>
            <w:tcW w:w="17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7"/>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760" w:type="dxa"/>
            <w:vAlign w:val="bottom"/>
            <w:tcBorders>
              <w:bottom w:val="single" w:sz="8" w:color="auto"/>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32.5</w:t>
            </w:r>
          </w:p>
        </w:tc>
      </w:tr>
      <w:tr>
        <w:trPr>
          <w:trHeight w:val="20"/>
        </w:trPr>
        <w:tc>
          <w:tcPr>
            <w:tcW w:w="6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6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6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gridSpan w:val="3"/>
          </w:tcPr>
          <w:p>
            <w:pPr>
              <w:jc w:val="right"/>
              <w:ind w:right="230"/>
              <w:spacing w:after="0"/>
              <w:rPr>
                <w:sz w:val="20"/>
                <w:szCs w:val="20"/>
                <w:color w:val="auto"/>
              </w:rPr>
            </w:pPr>
            <w:r>
              <w:rPr>
                <w:rFonts w:ascii="Arial" w:cs="Arial" w:eastAsia="Arial" w:hAnsi="Arial"/>
                <w:sz w:val="18"/>
                <w:szCs w:val="18"/>
                <w:color w:val="auto"/>
              </w:rPr>
              <w:t>German Plan</w:t>
            </w:r>
          </w:p>
        </w:tc>
        <w:tc>
          <w:tcPr>
            <w:tcW w:w="1800" w:type="dxa"/>
            <w:vAlign w:val="bottom"/>
          </w:tcPr>
          <w:p>
            <w:pPr>
              <w:spacing w:after="0"/>
              <w:rPr>
                <w:sz w:val="24"/>
                <w:szCs w:val="24"/>
                <w:color w:val="auto"/>
              </w:rPr>
            </w:pPr>
          </w:p>
        </w:tc>
      </w:tr>
      <w:tr>
        <w:trPr>
          <w:trHeight w:val="34"/>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2017</w:t>
            </w: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2016</w:t>
            </w: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actuarial loss/(gain)</w:t>
            </w:r>
          </w:p>
        </w:tc>
        <w:tc>
          <w:tcPr>
            <w:tcW w:w="176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Tax expense (deferred tax liability)</w:t>
            </w:r>
          </w:p>
        </w:tc>
        <w:tc>
          <w:tcPr>
            <w:tcW w:w="17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r>
      <w:tr>
        <w:trPr>
          <w:trHeight w:val="29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760" w:type="dxa"/>
            <w:vAlign w:val="bottom"/>
            <w:tcBorders>
              <w:top w:val="single" w:sz="8" w:color="auto"/>
              <w:bottom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r>
      <w:tr>
        <w:trPr>
          <w:trHeight w:val="230"/>
        </w:trPr>
        <w:tc>
          <w:tcPr>
            <w:tcW w:w="6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is no net actuarial loss for the U.K. Plans and German Plan, respectively required to be amortized from accumulated other comprehensive income into net periodic pension cost in 2018.</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investment policies for the U.K. Plans are set by the plan trustees, based upon the guidance of professional advisors and after consultation with the Company, taking into consideration the plans’ liabilities and future funding levels. The trustees have</w:t>
      </w:r>
    </w:p>
    <w:p>
      <w:pPr>
        <w:sectPr>
          <w:pgSz w:w="11900" w:h="16838" w:orient="portrait"/>
          <w:cols w:equalWidth="0" w:num="1">
            <w:col w:w="11420"/>
          </w:cols>
          <w:pgMar w:left="240" w:top="125" w:right="239" w:bottom="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9019"/>
          </w:cols>
          <w:pgMar w:left="1440" w:top="125" w:right="1440"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set the long-term investment policy largely in accordance with the asset allocation of a broadly diversified investment portfolio. Assets are generally invested within the target ranges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80" w:type="dxa"/>
            <w:vAlign w:val="bottom"/>
            <w:shd w:val="clear" w:color="auto" w:fill="CCEEFF"/>
          </w:tcPr>
          <w:p>
            <w:pPr>
              <w:spacing w:after="0"/>
              <w:rPr>
                <w:sz w:val="23"/>
                <w:szCs w:val="23"/>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ind w:left="1040"/>
              <w:spacing w:after="0"/>
              <w:rPr>
                <w:sz w:val="20"/>
                <w:szCs w:val="20"/>
                <w:color w:val="auto"/>
              </w:rPr>
            </w:pPr>
            <w:r>
              <w:rPr>
                <w:rFonts w:ascii="Arial" w:cs="Arial" w:eastAsia="Arial" w:hAnsi="Arial"/>
                <w:sz w:val="18"/>
                <w:szCs w:val="18"/>
                <w:color w:val="auto"/>
              </w:rPr>
              <w:t>10.0%</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24"/>
        </w:trPr>
        <w:tc>
          <w:tcPr>
            <w:tcW w:w="80" w:type="dxa"/>
            <w:vAlign w:val="bottom"/>
          </w:tcPr>
          <w:p>
            <w:pPr>
              <w:spacing w:after="0"/>
              <w:rPr>
                <w:sz w:val="24"/>
                <w:szCs w:val="24"/>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w w:val="92"/>
              </w:rPr>
              <w:t>The weighted average asset allocation of the U.K. Plans as of December 31, 2017, by asset category is as follows: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2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December 31, 2017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66.0%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ind w:left="1040"/>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2"/>
              </w:rPr>
              <w:t>4.0%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Investments are made in pooled investment funds. Pooled investment fund managers are regulated by the Financial Conduct Authority in the U.K. and operate under terms which contain restrictions on the way in which the portfolios are managed and require the managers to ensure that suitable internal operating procedures are in place. The trustees have set performance objectives for each fund manager and routinely monitor and assess the managers’ performance against such objectives. Annuities represent annuity buy-in insurance policies purchased by the plan trustees from large, financially sound insurers. The cash flows from the annuities are intended to match the plan’s obligations to specific groups of participants, typically those participants currently receiving benefits.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 of the Company’s U.K. Plans' assets as of December 31, 2017, and December 31, 2016, by asset category,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2017</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79"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Mutual funds represent pooled investment vehicles offered by investment managers, which are generally comprised of investments in equities, bonds, property and cash. The plans’ trustees hold units in these funds, the value of which is determined by the number of units held multiplied by the unit price calculated by the investment managers. That unit price is derived based on the market value of the securities that comprise the fund, which are determined by quoted prices in active markets. No element of the valuation is based on inputs made by the plans’ trustees.</w:t>
      </w:r>
    </w:p>
    <w:p>
      <w:pPr>
        <w:spacing w:after="0" w:line="9" w:lineRule="exact"/>
        <w:rPr>
          <w:rFonts w:ascii="Arial" w:cs="Arial" w:eastAsia="Arial" w:hAnsi="Arial"/>
          <w:sz w:val="17"/>
          <w:szCs w:val="17"/>
          <w:color w:val="auto"/>
        </w:rPr>
      </w:pPr>
    </w:p>
    <w:p>
      <w:pPr>
        <w:jc w:val="both"/>
        <w:ind w:left="660" w:hanging="652"/>
        <w:spacing w:after="0" w:line="29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Annuities represent annuity buy-in insurance policies, whereby the insurer pays the pension payments for the lifetime of the members covered. The annuities are assets of the plan and payments from the insurer are made to the plans’ trustees, who then use those proceeds to pay the pensioners. The cash flows from the annuities are intended to effectively match the payments to the pensioners covered by the policy. As such, these assets are valued actuarially based upon the value of the liabilities with which they are associated. As the valuation of these assets is judgmental, and there are no observable inputs associated with the valuation, these assets are classified as Level 3 in the fair value hierarchy.</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125"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Expected future benefit payments are as follows:</w:t>
            </w:r>
          </w:p>
        </w:tc>
        <w:tc>
          <w:tcPr>
            <w:tcW w:w="188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51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69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German Plan</w:t>
            </w:r>
          </w:p>
        </w:tc>
      </w:tr>
      <w:tr>
        <w:trPr>
          <w:trHeight w:val="34"/>
        </w:trPr>
        <w:tc>
          <w:tcPr>
            <w:tcW w:w="62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90" w:type="dxa"/>
            <w:vAlign w:val="bottom"/>
            <w:tcBorders>
              <w:bottom w:val="single" w:sz="8" w:color="auto"/>
            </w:tcBorders>
          </w:tcPr>
          <w:p>
            <w:pPr>
              <w:spacing w:after="0"/>
              <w:rPr>
                <w:sz w:val="2"/>
                <w:szCs w:val="2"/>
                <w:color w:val="auto"/>
              </w:rPr>
            </w:pPr>
          </w:p>
        </w:tc>
        <w:tc>
          <w:tcPr>
            <w:tcW w:w="51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51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2019</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5.3</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2021</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6.0</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Years 2023 and thereafter</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Arial" w:cs="Arial" w:eastAsia="Arial" w:hAnsi="Arial"/>
                <w:sz w:val="18"/>
                <w:szCs w:val="18"/>
                <w:color w:val="auto"/>
              </w:rPr>
              <w:t>43.0</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13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As a result of the Covance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 The net periodic post-retirement benefit cost for the year ended December 31, 2017, and December 31, 2016, was $(2.0) and ($2.0), respectively, and the pension benefit obligation as of the Covance acquisition date was $6.3.</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The components of net periodic post-retirement benefit cost for 2017 are as follows:</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4"/>
        </w:trPr>
        <w:tc>
          <w:tcPr>
            <w:tcW w:w="738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w w:val="91"/>
              </w:rPr>
              <w:t>Year Ended December 31,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w w:val="91"/>
              </w:rPr>
              <w:t>Year Ended December 31,</w:t>
            </w:r>
          </w:p>
        </w:tc>
      </w:tr>
      <w:tr>
        <w:trPr>
          <w:trHeight w:val="230"/>
        </w:trPr>
        <w:tc>
          <w:tcPr>
            <w:tcW w:w="7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color w:val="auto"/>
              </w:rPr>
              <w:t>2016</w:t>
            </w:r>
          </w:p>
        </w:tc>
      </w:tr>
      <w:tr>
        <w:trPr>
          <w:trHeight w:val="34"/>
        </w:trPr>
        <w:tc>
          <w:tcPr>
            <w:tcW w:w="7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Actuarial gain</w:t>
            </w: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7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97"/>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periodic post-retirement benefit cost</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7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Assumptions used to determine net periodic post-retirement benefit cost:</w:t>
            </w: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Healthcare cost trend rate</w:t>
            </w:r>
          </w:p>
        </w:tc>
        <w:tc>
          <w:tcPr>
            <w:tcW w:w="48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6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change in the projected post-retirement benefit obligation, the funded status of the plan and the reconciliation of such funded status to the amounts reported in the consolidated balance sheets as of December 31, 2017, and December 31, 2016,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2016</w:t>
            </w:r>
          </w:p>
        </w:tc>
      </w:tr>
      <w:tr>
        <w:trPr>
          <w:trHeight w:val="34"/>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1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0"/>
        </w:trPr>
        <w:tc>
          <w:tcPr>
            <w:tcW w:w="7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Recorded as: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00" w:type="dxa"/>
            <w:vAlign w:val="bottom"/>
            <w:gridSpan w:val="5"/>
          </w:tcPr>
          <w:p>
            <w:pPr>
              <w:jc w:val="right"/>
              <w:ind w:right="290"/>
              <w:spacing w:after="0"/>
              <w:rPr>
                <w:sz w:val="20"/>
                <w:szCs w:val="20"/>
                <w:color w:val="auto"/>
              </w:rPr>
            </w:pPr>
            <w:r>
              <w:rPr>
                <w:rFonts w:ascii="Arial" w:cs="Arial" w:eastAsia="Arial" w:hAnsi="Arial"/>
                <w:sz w:val="18"/>
                <w:szCs w:val="18"/>
                <w:color w:val="auto"/>
                <w:w w:val="89"/>
              </w:rPr>
              <w:t>The amounts recognized in accumulated other comprehensive income as of December 31, 2017, are as follows: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8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w w:val="90"/>
              </w:rPr>
              <w:t>Year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w w:val="90"/>
              </w:rPr>
              <w:t>Year Ended</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w w:val="92"/>
              </w:rPr>
              <w:t>December 31, 2017</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w w:val="96"/>
              </w:rPr>
              <w:t>December 31, 2016</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Less: Deferred tax benefit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Arial" w:cs="Arial" w:eastAsia="Arial" w:hAnsi="Arial"/>
                <w:sz w:val="18"/>
                <w:szCs w:val="18"/>
                <w:color w:val="auto"/>
              </w:rPr>
              <w:t>Assumptions used to determine benefit obligation:</w:t>
            </w: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Healthcare cost trend rate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25" w:right="239" w:bottom="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 one percentage point (1.0%) increase or decrease in the assumed healthcare cost trend rate would not impact the net service and interest cost components of the net periodic post-retirement benefit cost or the post-retirement benefit obligation since future increases in plan costs are paid by participant contributions. The Company expects to contribute $1.3 to the post-employment retiree health and welfare plan in 2018.</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Expected future gross benefit payments are as follows:</w:t>
            </w:r>
          </w:p>
        </w:tc>
        <w:tc>
          <w:tcPr>
            <w:tcW w:w="3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35"/>
        </w:trPr>
        <w:tc>
          <w:tcPr>
            <w:tcW w:w="72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2019</w:t>
            </w:r>
          </w:p>
        </w:tc>
        <w:tc>
          <w:tcPr>
            <w:tcW w:w="34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7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2021</w:t>
            </w:r>
          </w:p>
        </w:tc>
        <w:tc>
          <w:tcPr>
            <w:tcW w:w="34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7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2023 and thereafter</w:t>
            </w:r>
          </w:p>
        </w:tc>
        <w:tc>
          <w:tcPr>
            <w:tcW w:w="34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gridSpan w:val="6"/>
          </w:tcPr>
          <w:p>
            <w:pPr>
              <w:jc w:val="right"/>
              <w:ind w:right="30"/>
              <w:spacing w:after="0"/>
              <w:rPr>
                <w:sz w:val="20"/>
                <w:szCs w:val="20"/>
                <w:color w:val="auto"/>
              </w:rPr>
            </w:pPr>
            <w:r>
              <w:rPr>
                <w:rFonts w:ascii="Arial" w:cs="Arial" w:eastAsia="Arial" w:hAnsi="Arial"/>
                <w:sz w:val="18"/>
                <w:szCs w:val="18"/>
                <w:color w:val="auto"/>
                <w:w w:val="98"/>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64"/>
        </w:trPr>
        <w:tc>
          <w:tcPr>
            <w:tcW w:w="7440" w:type="dxa"/>
            <w:vAlign w:val="bottom"/>
          </w:tcPr>
          <w:p>
            <w:pPr>
              <w:ind w:left="280"/>
              <w:spacing w:after="0"/>
              <w:rPr>
                <w:sz w:val="20"/>
                <w:szCs w:val="20"/>
                <w:color w:val="auto"/>
              </w:rPr>
            </w:pPr>
            <w:r>
              <w:rPr>
                <w:rFonts w:ascii="Arial" w:cs="Arial" w:eastAsia="Arial" w:hAnsi="Arial"/>
                <w:sz w:val="18"/>
                <w:szCs w:val="18"/>
                <w:color w:val="auto"/>
              </w:rPr>
              <w:t>Post-retirement medical plan costs</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Amounts included in accumulated other comprehensive earnings consist of unamortized net loss of $2.3. The accumulated other comprehensive earnings that are expected to be recognized as components of the post-retirement medical plan costs during 2018 are $0.7 related to amortization of the net gain resulting from the shift of Medicare-eligible participants to private exchanges.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as: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88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3.4% and 3.8% as of December 31, 2017, and 2016, respectively. The healthcare cost trend rate was removed due to the expectation of future funding to be at the same level as the previous year's funding.</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2019</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Years 2023 and thereafter</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125" w:right="239" w:bottom="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Deferred Compensation Plan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this plan were $64.5 and $54.2 at December 31, 2017, and 2016, respectively. Deferred amounts are the Company's general unsecured obligations and are subject to claims by the Company's creditors. The Company's general assets may be used to fund obligations and pay DCP benefits.</w:t>
      </w:r>
    </w:p>
    <w:p>
      <w:pPr>
        <w:spacing w:after="0" w:line="6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17.</w:t>
        <w:tab/>
        <w:t>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December 31, 2017, and 2016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6"/>
          </w:tcPr>
          <w:p>
            <w:pPr>
              <w:ind w:left="780"/>
              <w:spacing w:after="0"/>
              <w:rPr>
                <w:sz w:val="20"/>
                <w:szCs w:val="20"/>
                <w:color w:val="auto"/>
              </w:rPr>
            </w:pPr>
            <w:r>
              <w:rPr>
                <w:rFonts w:ascii="Arial" w:cs="Arial" w:eastAsia="Arial" w:hAnsi="Arial"/>
                <w:sz w:val="18"/>
                <w:szCs w:val="18"/>
                <w:color w:val="auto"/>
                <w:w w:val="89"/>
              </w:rPr>
              <w:t>Fair Value Measurements as of</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 2017</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Fair Value as of</w:t>
            </w:r>
          </w:p>
        </w:tc>
        <w:tc>
          <w:tcPr>
            <w:tcW w:w="260" w:type="dxa"/>
            <w:vAlign w:val="bottom"/>
          </w:tcPr>
          <w:p>
            <w:pPr>
              <w:spacing w:after="0"/>
              <w:rPr>
                <w:sz w:val="23"/>
                <w:szCs w:val="23"/>
                <w:color w:val="auto"/>
              </w:rPr>
            </w:pPr>
          </w:p>
        </w:tc>
        <w:tc>
          <w:tcPr>
            <w:tcW w:w="3040" w:type="dxa"/>
            <w:vAlign w:val="bottom"/>
            <w:gridSpan w:val="6"/>
          </w:tcPr>
          <w:p>
            <w:pPr>
              <w:jc w:val="center"/>
              <w:ind w:left="670"/>
              <w:spacing w:after="0"/>
              <w:rPr>
                <w:sz w:val="20"/>
                <w:szCs w:val="20"/>
                <w:color w:val="auto"/>
              </w:rPr>
            </w:pPr>
            <w:r>
              <w:rPr>
                <w:rFonts w:ascii="Arial" w:cs="Arial" w:eastAsia="Arial" w:hAnsi="Arial"/>
                <w:sz w:val="18"/>
                <w:szCs w:val="18"/>
                <w:color w:val="auto"/>
                <w:w w:val="92"/>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2017</w:t>
            </w:r>
          </w:p>
        </w:tc>
        <w:tc>
          <w:tcPr>
            <w:tcW w:w="260" w:type="dxa"/>
            <w:vAlign w:val="bottom"/>
          </w:tcPr>
          <w:p>
            <w:pPr>
              <w:spacing w:after="0"/>
              <w:rPr>
                <w:sz w:val="21"/>
                <w:szCs w:val="21"/>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Level 2</w:t>
            </w:r>
          </w:p>
        </w:tc>
        <w:tc>
          <w:tcPr>
            <w:tcW w:w="36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6"/>
          </w:tcPr>
          <w:p>
            <w:pPr>
              <w:ind w:left="780"/>
              <w:spacing w:after="0"/>
              <w:rPr>
                <w:sz w:val="20"/>
                <w:szCs w:val="20"/>
                <w:color w:val="auto"/>
              </w:rPr>
            </w:pPr>
            <w:r>
              <w:rPr>
                <w:rFonts w:ascii="Arial" w:cs="Arial" w:eastAsia="Arial" w:hAnsi="Arial"/>
                <w:sz w:val="18"/>
                <w:szCs w:val="18"/>
                <w:color w:val="auto"/>
                <w:w w:val="89"/>
              </w:rPr>
              <w:t>Fair Value Measurements as of</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 2016</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Fair Value as of</w:t>
            </w:r>
          </w:p>
        </w:tc>
        <w:tc>
          <w:tcPr>
            <w:tcW w:w="260" w:type="dxa"/>
            <w:vAlign w:val="bottom"/>
          </w:tcPr>
          <w:p>
            <w:pPr>
              <w:spacing w:after="0"/>
              <w:rPr>
                <w:sz w:val="23"/>
                <w:szCs w:val="23"/>
                <w:color w:val="auto"/>
              </w:rPr>
            </w:pPr>
          </w:p>
        </w:tc>
        <w:tc>
          <w:tcPr>
            <w:tcW w:w="3040" w:type="dxa"/>
            <w:vAlign w:val="bottom"/>
            <w:gridSpan w:val="6"/>
          </w:tcPr>
          <w:p>
            <w:pPr>
              <w:jc w:val="center"/>
              <w:ind w:left="670"/>
              <w:spacing w:after="0"/>
              <w:rPr>
                <w:sz w:val="20"/>
                <w:szCs w:val="20"/>
                <w:color w:val="auto"/>
              </w:rPr>
            </w:pPr>
            <w:r>
              <w:rPr>
                <w:rFonts w:ascii="Arial" w:cs="Arial" w:eastAsia="Arial" w:hAnsi="Arial"/>
                <w:sz w:val="18"/>
                <w:szCs w:val="18"/>
                <w:color w:val="auto"/>
                <w:w w:val="92"/>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2016</w:t>
            </w:r>
          </w:p>
        </w:tc>
        <w:tc>
          <w:tcPr>
            <w:tcW w:w="260" w:type="dxa"/>
            <w:vAlign w:val="bottom"/>
          </w:tcPr>
          <w:p>
            <w:pPr>
              <w:spacing w:after="0"/>
              <w:rPr>
                <w:sz w:val="21"/>
                <w:szCs w:val="21"/>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Level 2</w:t>
            </w:r>
          </w:p>
        </w:tc>
        <w:tc>
          <w:tcPr>
            <w:tcW w:w="36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noncontrolling interest put is valued at its contractually determined value, which approximates fair value. During the year ended December 31, 2017, the carrying value of the noncontrolling interest put increased by $1.0 consisting of a $0.7 increase in the contractually determined value and a $0.3 increase for foreign currency translation.</w:t>
      </w:r>
    </w:p>
    <w:p>
      <w:pPr>
        <w:spacing w:after="0" w:line="8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$18.8 and $79.3 as of December 31, 2017, and 2016,</w:t>
      </w:r>
    </w:p>
    <w:p>
      <w:pPr>
        <w:sectPr>
          <w:pgSz w:w="11900" w:h="16838" w:orient="portrait"/>
          <w:cols w:equalWidth="0" w:num="1">
            <w:col w:w="11420"/>
          </w:cols>
          <w:pgMar w:left="240" w:top="125"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respectively. The fair market value of the Senior Notes, based on market pricing, was approximately $6,078.9 and $5,254.5 as of December 31, 2017, and 2016, respectively. The Company's note and debt instruments are considered Level 2 instruments, as the fair market values of these instruments are determined using other observable inputs.</w:t>
      </w:r>
    </w:p>
    <w:p>
      <w:pPr>
        <w:spacing w:after="0" w:line="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18.</w:t>
        <w:tab/>
        <w:t>DERIVATIVE INSTRUMENTS AND HEDGING ACTIVITIES</w:t>
      </w:r>
    </w:p>
    <w:p>
      <w:pPr>
        <w:spacing w:after="0" w:line="13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 section below), the Company does not hold or issue derivative financial instruments for trading purposes. The Company does not believe that its exposure to market risk is material to the Company’s financial position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5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or liabilities, as applicable, and added to the value of the Senior Notes, with an aggregate fair value of $4.1 at December 31, 2017.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256"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97" w:lineRule="exact"/>
        <w:rPr>
          <w:sz w:val="20"/>
          <w:szCs w:val="20"/>
          <w:color w:val="auto"/>
        </w:rPr>
      </w:pPr>
    </w:p>
    <w:p>
      <w:pPr>
        <w:jc w:val="both"/>
        <w:ind w:left="66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believes these embedded derivatives had no fair value at December 31, 2017, and 2016. These embedded derivatives also had no impact on the consolidated statements of operations for the years ended December 31, 2017,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Instruments</w:t>
      </w:r>
    </w:p>
    <w:p>
      <w:pPr>
        <w:spacing w:after="0" w:line="25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CASH FLOW INFORMATION</w:t>
      </w:r>
    </w:p>
    <w:p>
      <w:pPr>
        <w:spacing w:after="0" w:line="17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25215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237.6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Surrender of restricted stock awards and performance shares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Assets acquired under capital leases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 INFORMATION</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is a summary of segment information for the years ended December 31, 2017, 2016, and 2015.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w:t>
      </w:r>
    </w:p>
    <w:p>
      <w:pPr>
        <w:spacing w:after="0" w:line="249"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7,170.5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10"/>
              <w:spacing w:after="0"/>
              <w:rPr>
                <w:sz w:val="20"/>
                <w:szCs w:val="20"/>
                <w:color w:val="auto"/>
              </w:rPr>
            </w:pPr>
            <w:r>
              <w:rPr>
                <w:rFonts w:ascii="Arial" w:cs="Arial" w:eastAsia="Arial" w:hAnsi="Arial"/>
                <w:sz w:val="18"/>
                <w:szCs w:val="18"/>
                <w:color w:val="auto"/>
              </w:rPr>
              <w:t>3,037.2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2,306.4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Intercompany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net revenues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1"/>
              </w:rPr>
              <w:t>10,205.9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9,437.2</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Operating Earnings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1,298.6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10"/>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(147.9)</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operating income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1,364.2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1,312.4</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expenses, net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(206.9)</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1,134.9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1,105.5</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1,274.0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733.2</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Less: Net income attributable to noncontrolling interests</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w w:val="96"/>
              </w:rPr>
              <w:t>Net income attributable to Laboratory Corporation of America Holdings</w:t>
            </w:r>
          </w:p>
        </w:tc>
        <w:tc>
          <w:tcPr>
            <w:tcW w:w="340" w:type="dxa"/>
            <w:vAlign w:val="bottom"/>
          </w:tcPr>
          <w:p>
            <w:pPr>
              <w:spacing w:after="0"/>
              <w:rPr>
                <w:sz w:val="22"/>
                <w:szCs w:val="22"/>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760" w:type="dxa"/>
            <w:vAlign w:val="bottom"/>
            <w:gridSpan w:val="4"/>
          </w:tcPr>
          <w:p>
            <w:pPr>
              <w:jc w:val="right"/>
              <w:ind w:right="10"/>
              <w:spacing w:after="0"/>
              <w:rPr>
                <w:sz w:val="20"/>
                <w:szCs w:val="20"/>
                <w:color w:val="auto"/>
              </w:rPr>
            </w:pPr>
            <w:r>
              <w:rPr>
                <w:rFonts w:ascii="Arial" w:cs="Arial" w:eastAsia="Arial" w:hAnsi="Arial"/>
                <w:sz w:val="18"/>
                <w:szCs w:val="18"/>
                <w:color w:val="auto"/>
              </w:rPr>
              <w:t>1,268.2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732.1</w:t>
            </w:r>
          </w:p>
        </w:tc>
        <w:tc>
          <w:tcPr>
            <w:tcW w:w="20" w:type="dxa"/>
            <w:vAlign w:val="bottom"/>
          </w:tcPr>
          <w:p>
            <w:pPr>
              <w:spacing w:after="0"/>
              <w:rPr>
                <w:sz w:val="22"/>
                <w:szCs w:val="22"/>
                <w:color w:val="auto"/>
              </w:rPr>
            </w:pPr>
          </w:p>
        </w:tc>
        <w:tc>
          <w:tcPr>
            <w:tcW w:w="30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304.7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217.4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corporate</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1.2</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523.3</w:t>
            </w:r>
          </w:p>
        </w:tc>
        <w:tc>
          <w:tcPr>
            <w:tcW w:w="4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22"/>
                <w:szCs w:val="22"/>
                <w:color w:val="auto"/>
              </w:rPr>
            </w:pP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9"/>
          </w:tcPr>
          <w:p>
            <w:pPr>
              <w:jc w:val="center"/>
              <w:ind w:right="160"/>
              <w:spacing w:after="0"/>
              <w:rPr>
                <w:sz w:val="20"/>
                <w:szCs w:val="20"/>
                <w:color w:val="auto"/>
              </w:rPr>
            </w:pPr>
            <w:r>
              <w:rPr>
                <w:rFonts w:ascii="Arial" w:cs="Arial" w:eastAsia="Arial" w:hAnsi="Arial"/>
                <w:sz w:val="18"/>
                <w:szCs w:val="18"/>
                <w:color w:val="auto"/>
                <w:w w:val="91"/>
              </w:rPr>
              <w:t>Intercompany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LCD</w:t>
            </w:r>
          </w:p>
        </w:tc>
        <w:tc>
          <w:tcPr>
            <w:tcW w:w="340" w:type="dxa"/>
            <w:vAlign w:val="bottom"/>
          </w:tcPr>
          <w:p>
            <w:pPr>
              <w:spacing w:after="0"/>
              <w:rPr>
                <w:sz w:val="20"/>
                <w:szCs w:val="20"/>
                <w:color w:val="auto"/>
              </w:rPr>
            </w:pPr>
          </w:p>
        </w:tc>
        <w:tc>
          <w:tcPr>
            <w:tcW w:w="780" w:type="dxa"/>
            <w:vAlign w:val="bottom"/>
            <w:gridSpan w:val="5"/>
          </w:tcPr>
          <w:p>
            <w:pPr>
              <w:ind w:left="20"/>
              <w:spacing w:after="0"/>
              <w:rPr>
                <w:sz w:val="20"/>
                <w:szCs w:val="20"/>
                <w:color w:val="auto"/>
              </w:rPr>
            </w:pPr>
            <w:r>
              <w:rPr>
                <w:rFonts w:ascii="Arial" w:cs="Arial" w:eastAsia="Arial" w:hAnsi="Arial"/>
                <w:sz w:val="18"/>
                <w:szCs w:val="18"/>
                <w:color w:val="auto"/>
              </w:rPr>
              <w:t>CDD</w:t>
            </w:r>
          </w:p>
        </w:tc>
        <w:tc>
          <w:tcPr>
            <w:tcW w:w="80" w:type="dxa"/>
            <w:vAlign w:val="bottom"/>
          </w:tcPr>
          <w:p>
            <w:pPr>
              <w:spacing w:after="0"/>
              <w:rPr>
                <w:sz w:val="20"/>
                <w:szCs w:val="20"/>
                <w:color w:val="auto"/>
              </w:rPr>
            </w:pPr>
          </w:p>
        </w:tc>
        <w:tc>
          <w:tcPr>
            <w:tcW w:w="1280" w:type="dxa"/>
            <w:vAlign w:val="bottom"/>
            <w:gridSpan w:val="9"/>
          </w:tcPr>
          <w:p>
            <w:pPr>
              <w:jc w:val="center"/>
              <w:ind w:right="160"/>
              <w:spacing w:after="0"/>
              <w:rPr>
                <w:sz w:val="20"/>
                <w:szCs w:val="20"/>
                <w:color w:val="auto"/>
              </w:rPr>
            </w:pPr>
            <w:r>
              <w:rPr>
                <w:rFonts w:ascii="Arial" w:cs="Arial" w:eastAsia="Arial" w:hAnsi="Arial"/>
                <w:sz w:val="18"/>
                <w:szCs w:val="18"/>
                <w:color w:val="auto"/>
                <w:w w:val="94"/>
              </w:rPr>
              <w:t>Eliminations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Geographic distribution of net revenues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484.4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853.2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3,037.2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w w:val="99"/>
              </w:rPr>
              <w:t>LCD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CDD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4"/>
            <w:vMerge w:val="continue"/>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40" w:type="dxa"/>
            <w:vAlign w:val="bottom"/>
            <w:gridSpan w:val="5"/>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826.2</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3.0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885.9</w:t>
            </w:r>
          </w:p>
        </w:tc>
        <w:tc>
          <w:tcPr>
            <w:tcW w:w="40" w:type="dxa"/>
            <w:vAlign w:val="bottom"/>
          </w:tcPr>
          <w:p>
            <w:pPr>
              <w:spacing w:after="0"/>
              <w:rPr>
                <w:sz w:val="22"/>
                <w:szCs w:val="2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863.0</w:t>
            </w:r>
          </w:p>
        </w:tc>
        <w:tc>
          <w:tcPr>
            <w:tcW w:w="20" w:type="dxa"/>
            <w:vAlign w:val="bottom"/>
          </w:tcPr>
          <w:p>
            <w:pPr>
              <w:spacing w:after="0"/>
              <w:rPr>
                <w:sz w:val="22"/>
                <w:szCs w:val="22"/>
                <w:color w:val="auto"/>
              </w:rPr>
            </w:pPr>
          </w:p>
        </w:tc>
        <w:tc>
          <w:tcPr>
            <w:tcW w:w="3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63"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9019"/>
          </w:cols>
          <w:pgMar w:left="1440" w:top="800" w:right="1440"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21. QUARTERLY DATA (UNAUDITED)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4700" w:type="dxa"/>
            <w:vAlign w:val="bottom"/>
          </w:tcPr>
          <w:p>
            <w:pPr>
              <w:ind w:left="280"/>
              <w:spacing w:after="0"/>
              <w:rPr>
                <w:sz w:val="20"/>
                <w:szCs w:val="20"/>
                <w:color w:val="auto"/>
              </w:rPr>
            </w:pPr>
            <w:r>
              <w:rPr>
                <w:rFonts w:ascii="Arial" w:cs="Arial" w:eastAsia="Arial" w:hAnsi="Arial"/>
                <w:sz w:val="18"/>
                <w:szCs w:val="18"/>
                <w:color w:val="auto"/>
                <w:w w:val="99"/>
              </w:rPr>
              <w:t>The following is a summary of unaudited quarterly data:</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9"/>
              </w:rPr>
              <w:t>Year Ended December 31, 2017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Full</w:t>
            </w: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 xml:space="preserve">Quarter </w:t>
            </w:r>
            <w:r>
              <w:rPr>
                <w:rFonts w:ascii="Arial" w:cs="Arial" w:eastAsia="Arial" w:hAnsi="Arial"/>
                <w:sz w:val="18"/>
                <w:szCs w:val="18"/>
                <w:i w:val="1"/>
                <w:iCs w:val="1"/>
                <w:color w:val="auto"/>
                <w:w w:val="93"/>
              </w:rPr>
              <w:t>(a)</w:t>
            </w: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Year</w:t>
            </w:r>
          </w:p>
        </w:tc>
      </w:tr>
      <w:tr>
        <w:trPr>
          <w:trHeight w:val="34"/>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3,464.0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220" w:hanging="212"/>
        <w:spacing w:after="0"/>
        <w:tabs>
          <w:tab w:leader="none" w:pos="220" w:val="left"/>
        </w:tabs>
        <w:numPr>
          <w:ilvl w:val="0"/>
          <w:numId w:val="47"/>
        </w:numPr>
        <w:rPr>
          <w:rFonts w:ascii="Arial" w:cs="Arial" w:eastAsia="Arial" w:hAnsi="Arial"/>
          <w:sz w:val="14"/>
          <w:szCs w:val="14"/>
          <w:i w:val="1"/>
          <w:iCs w:val="1"/>
          <w:color w:val="auto"/>
        </w:rPr>
      </w:pPr>
      <w:r>
        <w:rPr>
          <w:rFonts w:ascii="Arial" w:cs="Arial" w:eastAsia="Arial" w:hAnsi="Arial"/>
          <w:sz w:val="17"/>
          <w:szCs w:val="17"/>
          <w:color w:val="auto"/>
        </w:rPr>
        <w:t>Net earnings attributable to Laboratory Corporation of America Holdings in the fourth quarter of 2017 includes amounts recorded due to TCJA.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8"/>
          </w:tcPr>
          <w:p>
            <w:pPr>
              <w:jc w:val="center"/>
              <w:ind w:right="320"/>
              <w:spacing w:after="0"/>
              <w:rPr>
                <w:sz w:val="20"/>
                <w:szCs w:val="20"/>
                <w:color w:val="auto"/>
              </w:rPr>
            </w:pPr>
            <w:r>
              <w:rPr>
                <w:rFonts w:ascii="Arial" w:cs="Arial" w:eastAsia="Arial" w:hAnsi="Arial"/>
                <w:sz w:val="18"/>
                <w:szCs w:val="18"/>
                <w:color w:val="auto"/>
                <w:w w:val="89"/>
              </w:rPr>
              <w:t>Year Ended December 31,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30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Full</w:t>
            </w: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Year</w:t>
            </w:r>
          </w:p>
        </w:tc>
      </w:tr>
      <w:tr>
        <w:trPr>
          <w:trHeight w:val="34"/>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3,180.5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125" w:right="2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VALUATION AND QUALIFYING ACCOUNTS AND RESERVES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December 31, 2017, 2016 and 2015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 at</w:t>
            </w: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Additions</w:t>
            </w:r>
          </w:p>
        </w:tc>
        <w:tc>
          <w:tcPr>
            <w:tcW w:w="380" w:type="dxa"/>
            <w:vAlign w:val="bottom"/>
          </w:tcPr>
          <w:p>
            <w:pPr>
              <w:spacing w:after="0"/>
              <w:rPr>
                <w:sz w:val="18"/>
                <w:szCs w:val="18"/>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beginning</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Charged to Costs and</w:t>
            </w:r>
          </w:p>
        </w:tc>
        <w:tc>
          <w:tcPr>
            <w:tcW w:w="38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7"/>
              </w:rPr>
              <w:t>at end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of year</w:t>
            </w: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Expense</w:t>
            </w:r>
          </w:p>
        </w:tc>
        <w:tc>
          <w:tcPr>
            <w:tcW w:w="1820" w:type="dxa"/>
            <w:vAlign w:val="bottom"/>
            <w:gridSpan w:val="3"/>
          </w:tcPr>
          <w:p>
            <w:pPr>
              <w:ind w:left="20"/>
              <w:spacing w:after="0"/>
              <w:rPr>
                <w:sz w:val="20"/>
                <w:szCs w:val="20"/>
                <w:color w:val="auto"/>
              </w:rPr>
            </w:pPr>
            <w:r>
              <w:rPr>
                <w:rFonts w:ascii="Arial" w:cs="Arial" w:eastAsia="Arial" w:hAnsi="Arial"/>
                <w:sz w:val="18"/>
                <w:szCs w:val="18"/>
                <w:color w:val="auto"/>
              </w:rPr>
              <w:t>(Deductions)Additions</w:t>
            </w:r>
          </w:p>
        </w:tc>
        <w:tc>
          <w:tcPr>
            <w:tcW w:w="34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4"/>
              </w:rPr>
              <w:t>of year</w:t>
            </w:r>
          </w:p>
        </w:tc>
        <w:tc>
          <w:tcPr>
            <w:tcW w:w="0" w:type="dxa"/>
            <w:vAlign w:val="bottom"/>
          </w:tcPr>
          <w:p>
            <w:pPr>
              <w:spacing w:after="0"/>
              <w:rPr>
                <w:sz w:val="1"/>
                <w:szCs w:val="1"/>
                <w:color w:val="auto"/>
              </w:rPr>
            </w:pPr>
          </w:p>
        </w:tc>
      </w:tr>
      <w:tr>
        <w:trPr>
          <w:trHeight w:val="34"/>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Year ended December 31, 2017:</w:t>
            </w: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4280" w:hanging="5532"/>
        <w:spacing w:after="0" w:line="559" w:lineRule="auto"/>
        <w:tabs>
          <w:tab w:leader="none" w:pos="2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(Deductions) Additions consists primarily of write-offs of accounts receivable amounts. F-49</w:t>
      </w:r>
    </w:p>
    <w:p>
      <w:pPr>
        <w:sectPr>
          <w:pgSz w:w="11900" w:h="16838" w:orient="portrait"/>
          <w:cols w:equalWidth="0" w:num="1">
            <w:col w:w="11320"/>
          </w:cols>
          <w:pgMar w:left="24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Exhibit 12.1</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COMPUTATION OF RATIOS OF EARNINGS TO FIXED CHARGES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ratio information)</w:t>
      </w:r>
    </w:p>
    <w:p>
      <w:pPr>
        <w:sectPr>
          <w:pgSz w:w="11900" w:h="16838" w:orient="portrait"/>
          <w:cols w:equalWidth="0" w:num="1">
            <w:col w:w="10700"/>
          </w:cols>
          <w:pgMar w:left="280" w:top="28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3" w:lineRule="auto"/>
        <w:rPr>
          <w:sz w:val="20"/>
          <w:szCs w:val="20"/>
          <w:color w:val="auto"/>
        </w:rPr>
      </w:pPr>
      <w:r>
        <w:rPr>
          <w:rFonts w:ascii="Arial" w:cs="Arial" w:eastAsia="Arial" w:hAnsi="Arial"/>
          <w:sz w:val="18"/>
          <w:szCs w:val="18"/>
          <w:color w:val="auto"/>
        </w:rPr>
        <w:t>Income from continuing operations before (a) income tax Equity in the income of investees</w:t>
      </w:r>
    </w:p>
    <w:p>
      <w:pPr>
        <w:spacing w:after="0"/>
        <w:rPr>
          <w:sz w:val="20"/>
          <w:szCs w:val="20"/>
          <w:color w:val="auto"/>
        </w:rPr>
      </w:pPr>
      <w:r>
        <w:rPr>
          <w:rFonts w:ascii="Arial" w:cs="Arial" w:eastAsia="Arial" w:hAnsi="Arial"/>
          <w:sz w:val="18"/>
          <w:szCs w:val="18"/>
          <w:color w:val="auto"/>
        </w:rPr>
        <w:t>Cash distributions received from equity investees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Interest on long-term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short-term debt including</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debt expense</w:t>
      </w:r>
    </w:p>
    <w:p>
      <w:pPr>
        <w:spacing w:after="0" w:line="347" w:lineRule="exact"/>
        <w:rPr>
          <w:sz w:val="20"/>
          <w:szCs w:val="20"/>
          <w:color w:val="auto"/>
        </w:rPr>
      </w:pPr>
    </w:p>
    <w:p>
      <w:pPr>
        <w:jc w:val="both"/>
        <w:ind w:left="180" w:right="1500" w:hanging="67"/>
        <w:spacing w:after="0" w:line="416" w:lineRule="auto"/>
        <w:rPr>
          <w:sz w:val="20"/>
          <w:szCs w:val="20"/>
          <w:color w:val="auto"/>
        </w:rPr>
      </w:pPr>
      <w:r>
        <w:rPr>
          <w:rFonts w:ascii="Arial" w:cs="Arial" w:eastAsia="Arial" w:hAnsi="Arial"/>
          <w:sz w:val="15"/>
          <w:szCs w:val="15"/>
          <w:color w:val="auto"/>
        </w:rPr>
        <w:t>Portion of rental expense as can be demonstrated to be representative of the interest factor (b)</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fixed charges</w:t>
      </w:r>
    </w:p>
    <w:p>
      <w:pPr>
        <w:spacing w:after="0" w:line="360" w:lineRule="exact"/>
        <w:rPr>
          <w:sz w:val="20"/>
          <w:szCs w:val="20"/>
          <w:color w:val="auto"/>
        </w:rPr>
      </w:pPr>
    </w:p>
    <w:p>
      <w:pPr>
        <w:ind w:left="100" w:right="1680" w:hanging="107"/>
        <w:spacing w:after="0" w:line="340" w:lineRule="auto"/>
        <w:rPr>
          <w:sz w:val="20"/>
          <w:szCs w:val="20"/>
          <w:color w:val="auto"/>
        </w:rPr>
      </w:pPr>
      <w:r>
        <w:rPr>
          <w:rFonts w:ascii="Arial" w:cs="Arial" w:eastAsia="Arial" w:hAnsi="Arial"/>
          <w:sz w:val="18"/>
          <w:szCs w:val="18"/>
          <w:color w:val="auto"/>
        </w:rPr>
        <w:t>Earnings before income taxes and fixed charges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Fiscal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3987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0"/>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908.0</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820.6</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726.0</w:t>
            </w:r>
          </w:p>
        </w:tc>
        <w:tc>
          <w:tcPr>
            <w:tcW w:w="2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1,105.5</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1,134.9</w:t>
            </w:r>
          </w:p>
        </w:tc>
      </w:tr>
      <w:tr>
        <w:trPr>
          <w:trHeight w:val="270"/>
        </w:trPr>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903.8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726.1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1,135.4</w:t>
            </w:r>
          </w:p>
        </w:tc>
      </w:tr>
      <w:tr>
        <w:trPr>
          <w:trHeight w:val="1364"/>
        </w:trPr>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1094"/>
        </w:trPr>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7"/>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0"/>
        </w:trPr>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370.6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7"/>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790"/>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1,078.9</w:t>
            </w:r>
          </w:p>
        </w:tc>
        <w:tc>
          <w:tcPr>
            <w:tcW w:w="2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1,004.0</w:t>
            </w:r>
          </w:p>
        </w:tc>
        <w:tc>
          <w:tcPr>
            <w:tcW w:w="2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1,096.7</w:t>
            </w:r>
          </w:p>
        </w:tc>
        <w:tc>
          <w:tcPr>
            <w:tcW w:w="20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1,422.9</w:t>
            </w:r>
          </w:p>
        </w:tc>
        <w:tc>
          <w:tcPr>
            <w:tcW w:w="22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1,475.1</w:t>
            </w:r>
          </w:p>
        </w:tc>
      </w:tr>
      <w:tr>
        <w:trPr>
          <w:trHeight w:val="27"/>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sectPr>
          <w:pgSz w:w="11900" w:h="16838" w:orient="portrait"/>
          <w:cols w:equalWidth="0" w:num="2">
            <w:col w:w="4120" w:space="300"/>
            <w:col w:w="6280"/>
          </w:cols>
          <w:pgMar w:left="280" w:top="283" w:right="91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00"/>
          </w:cols>
          <w:pgMar w:left="280" w:top="283" w:right="919" w:bottom="1440" w:gutter="0" w:footer="0" w:header="0"/>
          <w:type w:val="continuous"/>
        </w:sectPr>
      </w:pPr>
    </w:p>
    <w:bookmarkStart w:id="136" w:name="page137"/>
    <w:bookmarkEnd w:id="136"/>
    <w:p>
      <w:pPr>
        <w:jc w:val="right"/>
        <w:ind w:right="2379"/>
        <w:spacing w:after="0"/>
        <w:tabs>
          <w:tab w:leader="none" w:pos="240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21"/>
          <w:szCs w:val="21"/>
          <w:b w:val="1"/>
          <w:bCs w:val="1"/>
          <w:color w:val="auto"/>
        </w:rPr>
        <w:t>LIST OF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1957285 Ontario Inc. dba Quality Underwriting Services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8165335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8348596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Alpha Medical Laboratory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Bode Cellmark Forensics,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Cellmark Forensics,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International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Curalab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DaVinici/Medicorp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 Gamma Laboratory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DynaLifeDX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DynaLifeDX Infrastructure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ectPr>
          <w:pgSz w:w="11900" w:h="16838" w:orient="portrait"/>
          <w:cols w:equalWidth="0" w:num="1">
            <w:col w:w="9399"/>
          </w:cols>
          <w:pgMar w:left="1060" w:top="585" w:right="1440" w:bottom="942"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GeneScreen,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Testing Centers,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Trans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HHLA Lab-In-An-Envelope,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IDX Pathology,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Belgium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Health System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Luxenbourg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UK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 (LCA)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Lifecodes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Pathology Associates Medical Lab,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Pee Dee Pathology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Pixel by LabCorp</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Princeton Diagnostic Laboratories of America, Inc.</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ReliaGene Technologies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Sequenom Biosciences (India) Pvt. Ltd.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Sequenom Center for Molecular Medicine, LLC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Sequenom,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SW/DL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ectPr>
          <w:pgSz w:w="11900" w:h="16838" w:orient="portrait"/>
          <w:cols w:equalWidth="0" w:num="1">
            <w:col w:w="9399"/>
          </w:cols>
          <w:pgMar w:left="1060" w:top="751" w:right="1440" w:bottom="712"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The Biomarker Factory,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Operating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Group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(Argentina)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(Cayman)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(Cayman)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(Polska)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Asia-Pacific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Austria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Bioanalytical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Brazil Pharmaceutical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Central Laboratory Services Limited Partnership</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Chile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Product Developments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Limited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Partnership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Colombia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CRU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Denmark Aps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Development Services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Hungaria Consultancy Limited Liability Company</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Covance India Pharmaceutical Services Private Limited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Covance International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Japan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Korea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Latin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Luxembourg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Market Access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Mexico Services, S. DE R. L. De C.V.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Neon Luxembourg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New Zealand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ectPr>
          <w:pgSz w:w="11900" w:h="16838" w:orient="portrait"/>
          <w:cols w:equalWidth="0" w:num="1">
            <w:col w:w="9399"/>
          </w:cols>
          <w:pgMar w:left="1060" w:top="751" w:right="1440" w:bottom="699" w:gutter="0" w:footer="0" w:header="0"/>
        </w:sectPr>
      </w:pPr>
    </w:p>
    <w:bookmarkStart w:id="139" w:name="page140"/>
    <w:bookmarkEnd w:id="139"/>
    <w:p>
      <w:pPr>
        <w:spacing w:after="0"/>
        <w:rPr>
          <w:sz w:val="20"/>
          <w:szCs w:val="20"/>
          <w:color w:val="auto"/>
        </w:rPr>
      </w:pPr>
      <w:r>
        <w:rPr>
          <w:rFonts w:ascii="Arial" w:cs="Arial" w:eastAsia="Arial" w:hAnsi="Arial"/>
          <w:sz w:val="15"/>
          <w:szCs w:val="15"/>
          <w:color w:val="auto"/>
        </w:rPr>
        <w:t>Covance Pharmaceutical Research and Development (Beijing) Co., Ltd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Covance Pharmaceutical Research and Development (Shanghai) Co., Ltd.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Products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(Thailand)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Malaysia Sdn. Bhd.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Specialty Pharmacy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Taiwan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Limited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Partnership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Virtual Central Laboratory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CRPP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Global Specimen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IFN Research,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Food Network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Food Network,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Safe Foods International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Covance Charitable Foundation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National Food Laboratory, LLC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Inactive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Genomics Laboratory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Chiltern International Group Limited Operating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GmbH &amp; Co. KG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KK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YH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India Private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International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Ukraine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AB</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Kft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SARL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Sprl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Sro</w:t>
      </w:r>
    </w:p>
    <w:p>
      <w:pPr>
        <w:sectPr>
          <w:pgSz w:w="11900" w:h="16838" w:orient="portrait"/>
          <w:cols w:equalWidth="0" w:num="1">
            <w:col w:w="9399"/>
          </w:cols>
          <w:pgMar w:left="1060" w:top="751" w:right="1440" w:bottom="685"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Chiltern International (Canada)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(Hong Kong)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Clinical Research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Portugal LDA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Spain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Switzerland SARL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Taiwan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Ukraine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Investigacion Clinica Ltda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Klinik Arastirma Organizasyon Limited Sirketi</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 Pesquisa Clinica Ltda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Research International (Pty) Ltd</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Chiltern Pharmaceutical and Technology Consulting (Shanghai) Co. Ltd.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Chiltern Research International (Singapore) Pte.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Havenfern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Nexus Oncology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Pacific Clinical Research India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Australia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Development Group (Holdings) UK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Europe Ltd.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Ockham India Clinical Research and Data Services Private Limited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Ockham Oncology (Germany)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Oncology Kft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Latin America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K.F.T.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NV.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S.L.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Sp. Z 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International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Research Associates, Inc.</w:t>
      </w:r>
    </w:p>
    <w:p>
      <w:pPr>
        <w:sectPr>
          <w:pgSz w:w="11900" w:h="16838" w:orient="portrait"/>
          <w:cols w:equalWidth="0" w:num="1">
            <w:col w:w="9399"/>
          </w:cols>
          <w:pgMar w:left="1060" w:top="751" w:right="1440"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Exhibit 23.1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333-219977) and Forms S-8 (No. 333-102602, No. 333-90764, No. 333-97745, No. 333-150704, No. 333-181107, No. 333-211324 and No. 333-211323) of Laboratory Corporation of America Holdings of our report dated February 27, 2018, relating to the financial statements, financial statement schedule and the effectiveness of internal control over financial reporting, which appears in this Form 10-K.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00"/>
          </w:cols>
          <w:pgMar w:left="240" w:top="108" w:right="2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Exhibit 24.1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420"/>
          </w:cols>
          <w:pgMar w:left="240" w:top="108"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Exhibit 24.2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200" w:lineRule="exact"/>
        <w:rPr>
          <w:sz w:val="20"/>
          <w:szCs w:val="20"/>
          <w:color w:val="auto"/>
        </w:rPr>
      </w:pPr>
    </w:p>
    <w:p>
      <w:pPr>
        <w:spacing w:after="0" w:line="295"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420"/>
          </w:cols>
          <w:pgMar w:left="240" w:top="108"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Exhibit 24.3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 Gary Gilliland, M.D., Ph.D</w:t>
      </w:r>
    </w:p>
    <w:p>
      <w:pPr>
        <w:sectPr>
          <w:pgSz w:w="11900" w:h="16838" w:orient="portrait"/>
          <w:cols w:equalWidth="0" w:num="1">
            <w:col w:w="11420"/>
          </w:cols>
          <w:pgMar w:left="240" w:top="108"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24.4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420"/>
          </w:cols>
          <w:pgMar w:left="240" w:top="108"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Exhibit 24.5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E. Mittelstaedt, Jr.</w:t>
      </w:r>
    </w:p>
    <w:p>
      <w:pPr>
        <w:sectPr>
          <w:pgSz w:w="11900" w:h="16838" w:orient="portrait"/>
          <w:cols w:equalWidth="0" w:num="1">
            <w:col w:w="11420"/>
          </w:cols>
          <w:pgMar w:left="240" w:top="108"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Exhibit 24.6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2017.</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420"/>
          </w:cols>
          <w:pgMar w:left="240" w:top="108"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Exhibit 24.7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Richelle Parham</w:t>
      </w:r>
    </w:p>
    <w:p>
      <w:pPr>
        <w:sectPr>
          <w:pgSz w:w="11900" w:h="16838" w:orient="portrait"/>
          <w:cols w:equalWidth="0" w:num="1">
            <w:col w:w="11420"/>
          </w:cols>
          <w:pgMar w:left="240" w:top="742"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Exhibit 24.8</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Adam H. Schechter</w:t>
      </w:r>
    </w:p>
    <w:p>
      <w:pPr>
        <w:sectPr>
          <w:pgSz w:w="11900" w:h="16838" w:orient="portrait"/>
          <w:cols w:equalWidth="0" w:num="1">
            <w:col w:w="11420"/>
          </w:cols>
          <w:pgMar w:left="240" w:top="108"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Exhibit 24.9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2017,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27th day of February, 2018.</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420"/>
          </w:cols>
          <w:pgMar w:left="240" w:top="108"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2018</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2018</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70" w:lineRule="exact"/>
        <w:rPr>
          <w:sz w:val="20"/>
          <w:szCs w:val="20"/>
          <w:color w:val="auto"/>
        </w:rPr>
      </w:pPr>
    </w:p>
    <w:p>
      <w:pPr>
        <w:ind w:firstLine="656"/>
        <w:spacing w:after="0" w:line="277" w:lineRule="auto"/>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2017, filed on the date hereof with the Securities and Exchange Commission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27,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7"/>
    </w:lvl>
  </w:abstractNum>
  <w:abstractNum w:abstractNumId="20">
    <w:nsid w:val="5072367"/>
    <w:multiLevelType w:val="hybridMultilevel"/>
    <w:lvl w:ilvl="0">
      <w:lvlJc w:val="left"/>
      <w:lvlText w:val="(%1)"/>
      <w:numFmt w:val="lowerLetter"/>
      <w:start w:val="8"/>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2"/>
    </w:lvl>
  </w:abstractNum>
  <w:abstractNum w:abstractNumId="26">
    <w:nsid w:val="5E884ADC"/>
    <w:multiLevelType w:val="hybridMultilevel"/>
    <w:lvl w:ilvl="0">
      <w:lvlJc w:val="left"/>
      <w:lvlText w:val="%1."/>
      <w:numFmt w:val="decimal"/>
      <w:start w:val="36"/>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bullet"/>
      <w:start w:val="1"/>
    </w:lvl>
  </w:abstractNum>
  <w:abstractNum w:abstractNumId="30">
    <w:nsid w:val="153EA438"/>
    <w:multiLevelType w:val="hybridMultilevel"/>
    <w:lvl w:ilvl="0">
      <w:lvlJc w:val="left"/>
      <w:lvlText w:val="2"/>
      <w:numFmt w:val="bullet"/>
      <w:start w:val="1"/>
    </w:lvl>
  </w:abstractNum>
  <w:abstractNum w:abstractNumId="31">
    <w:nsid w:val="3855585C"/>
    <w:multiLevelType w:val="hybridMultilevel"/>
    <w:lvl w:ilvl="0">
      <w:lvlJc w:val="left"/>
      <w:lvlText w:val="3"/>
      <w:numFmt w:val="bullet"/>
      <w:start w:val="1"/>
    </w:lvl>
  </w:abstractNum>
  <w:abstractNum w:abstractNumId="32">
    <w:nsid w:val="70A64E2A"/>
    <w:multiLevelType w:val="hybridMultilevel"/>
    <w:lvl w:ilvl="0">
      <w:lvlJc w:val="left"/>
      <w:lvlText w:val="4"/>
      <w:numFmt w:val="bullet"/>
      <w:start w:val="1"/>
    </w:lvl>
  </w:abstractNum>
  <w:abstractNum w:abstractNumId="33">
    <w:nsid w:val="6A2342EC"/>
    <w:multiLevelType w:val="hybridMultilevel"/>
    <w:lvl w:ilvl="0">
      <w:lvlJc w:val="left"/>
      <w:lvlText w:val="(%1)"/>
      <w:numFmt w:val="lowerLetter"/>
      <w:start w:val="1"/>
    </w:lvl>
    <w:lvl w:ilvl="1">
      <w:lvlJc w:val="left"/>
      <w:lvlText w:val="(%2)"/>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4"/>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decimal"/>
      <w:start w:val="14"/>
    </w:lvl>
  </w:abstractNum>
  <w:abstractNum w:abstractNumId="41">
    <w:nsid w:val="542289EC"/>
    <w:multiLevelType w:val="hybridMultilevel"/>
    <w:lvl w:ilvl="0">
      <w:lvlJc w:val="left"/>
      <w:lvlText w:val="%1."/>
      <w:numFmt w:val="decimal"/>
      <w:start w:val="16"/>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6"/>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73" Type="http://schemas.openxmlformats.org/officeDocument/2006/relationships/image" Target="media/image7.png"/><Relationship Id="rId74" Type="http://schemas.openxmlformats.org/officeDocument/2006/relationships/image" Target="media/image8.png"/><Relationship Id="rId75" Type="http://schemas.openxmlformats.org/officeDocument/2006/relationships/image" Target="media/image9.png"/><Relationship Id="rId76" Type="http://schemas.openxmlformats.org/officeDocument/2006/relationships/image" Target="media/image10.png"/><Relationship Id="rId77" Type="http://schemas.openxmlformats.org/officeDocument/2006/relationships/image" Target="media/image11.png"/><Relationship Id="rId78" Type="http://schemas.openxmlformats.org/officeDocument/2006/relationships/image" Target="media/image12.png"/><Relationship Id="rId79" Type="http://schemas.openxmlformats.org/officeDocument/2006/relationships/image" Target="media/image13.png"/><Relationship Id="rId80" Type="http://schemas.openxmlformats.org/officeDocument/2006/relationships/image" Target="media/image14.png"/><Relationship Id="rId81" Type="http://schemas.openxmlformats.org/officeDocument/2006/relationships/image" Target="media/image15.png"/><Relationship Id="rId82" Type="http://schemas.openxmlformats.org/officeDocument/2006/relationships/image" Target="media/image16.png"/><Relationship Id="rId83" Type="http://schemas.openxmlformats.org/officeDocument/2006/relationships/image" Target="media/image17.png"/><Relationship Id="rId84" Type="http://schemas.openxmlformats.org/officeDocument/2006/relationships/image" Target="media/image18.png"/><Relationship Id="rId85" Type="http://schemas.openxmlformats.org/officeDocument/2006/relationships/image" Target="media/image19.png"/><Relationship Id="rId86" Type="http://schemas.openxmlformats.org/officeDocument/2006/relationships/image" Target="media/image20.png"/><Relationship Id="rId87" Type="http://schemas.openxmlformats.org/officeDocument/2006/relationships/image" Target="media/image21.png"/><Relationship Id="rId88" Type="http://schemas.openxmlformats.org/officeDocument/2006/relationships/image" Target="media/image22.png"/><Relationship Id="rId89" Type="http://schemas.openxmlformats.org/officeDocument/2006/relationships/image" Target="media/image23.png"/><Relationship Id="rId14" Type="http://schemas.openxmlformats.org/officeDocument/2006/relationships/hyperlink" Target="http://www.sec.gov/Archives/edgar/data/920148/000092014810000090/ex_2-1.htm" TargetMode="External"/><Relationship Id="rId15" Type="http://schemas.openxmlformats.org/officeDocument/2006/relationships/hyperlink" Target="http://www.sec.gov/Archives/edgar/data/920148/000119312514394276/d814905dex21.htm" TargetMode="External"/><Relationship Id="rId16" Type="http://schemas.openxmlformats.org/officeDocument/2006/relationships/hyperlink" Target="http://www.sec.gov/Archives/edgar/data/920148/000095010301501450/oct1901_x0301.txt" TargetMode="External"/><Relationship Id="rId17" Type="http://schemas.openxmlformats.org/officeDocument/2006/relationships/hyperlink" Target="http://www.sec.gov/Archives/edgar/data/920148/000092014817000044/exhibit31amendedbylawsfinal.htm" TargetMode="External"/><Relationship Id="rId18" Type="http://schemas.openxmlformats.org/officeDocument/2006/relationships/hyperlink" Target="http://www.sec.gov/Archives/edgar/data/920148/000092014802000015/stockcert.txt" TargetMode="External"/><Relationship Id="rId19" Type="http://schemas.openxmlformats.org/officeDocument/2006/relationships/hyperlink" Target="http://www.sec.gov/Archives/edgar/data/920148/000092014803000015/regrightsagmt.txt" TargetMode="External"/><Relationship Id="rId20" Type="http://schemas.openxmlformats.org/officeDocument/2006/relationships/hyperlink" Target="http://www.sec.gov/Archives/edgar/data/920148/000092014806000213/indenture.htm" TargetMode="External"/><Relationship Id="rId21" Type="http://schemas.openxmlformats.org/officeDocument/2006/relationships/hyperlink" Target="http://www.sec.gov/Archives/edgar/data/920148/000092014810000110/ex_4-1.htm" TargetMode="External"/><Relationship Id="rId22" Type="http://schemas.openxmlformats.org/officeDocument/2006/relationships/hyperlink" Target="http://www.sec.gov/Archives/edgar/data/920148/000092014810000110/ex_4-3.htm" TargetMode="External"/><Relationship Id="rId23" Type="http://schemas.openxmlformats.org/officeDocument/2006/relationships/hyperlink" Target="http://www.sec.gov/Archives/edgar/data/920148/000119312512365977/d401488dex42.htm" TargetMode="External"/><Relationship Id="rId24" Type="http://schemas.openxmlformats.org/officeDocument/2006/relationships/hyperlink" Target="http://www.sec.gov/Archives/edgar/data/920148/000119312512365977/d401488dex43.htm" TargetMode="External"/><Relationship Id="rId25" Type="http://schemas.openxmlformats.org/officeDocument/2006/relationships/hyperlink" Target="http://www.sec.gov/Archives/edgar/data/920148/000119312513422088/d619416dex42.htm" TargetMode="External"/><Relationship Id="rId26" Type="http://schemas.openxmlformats.org/officeDocument/2006/relationships/hyperlink" Target="http://www.sec.gov/Archives/edgar/data/920148/000119312513422088/d619416dex43.htm" TargetMode="External"/><Relationship Id="rId27" Type="http://schemas.openxmlformats.org/officeDocument/2006/relationships/hyperlink" Target="http://www.sec.gov/Archives/edgar/data/920148/000119312515026832/d860928dex42.htm" TargetMode="External"/><Relationship Id="rId28" Type="http://schemas.openxmlformats.org/officeDocument/2006/relationships/hyperlink" Target="http://www.sec.gov/Archives/edgar/data/920148/000119312515026832/d860928dex43.htm" TargetMode="External"/><Relationship Id="rId29" Type="http://schemas.openxmlformats.org/officeDocument/2006/relationships/hyperlink" Target="http://www.sec.gov/Archives/edgar/data/920148/000119312515026832/d860928dex44.htm" TargetMode="External"/><Relationship Id="rId30" Type="http://schemas.openxmlformats.org/officeDocument/2006/relationships/hyperlink" Target="http://www.sec.gov/Archives/edgar/data/920148/000119312515026832/d860928dex45.htm" TargetMode="External"/><Relationship Id="rId31" Type="http://schemas.openxmlformats.org/officeDocument/2006/relationships/hyperlink" Target="http://www.sec.gov/Archives/edgar/data/920148/000119312517264395/d427802dex42.htm" TargetMode="External"/><Relationship Id="rId32" Type="http://schemas.openxmlformats.org/officeDocument/2006/relationships/hyperlink" Target="http://www.sec.gov/Archives/edgar/data/920148/000119312517264395/d427802dex43.htm" TargetMode="External"/><Relationship Id="rId33" Type="http://schemas.openxmlformats.org/officeDocument/2006/relationships/hyperlink" Target="http://www.sec.gov/Archives/edgar/data/920148/000092014804000191/ex10-1_pepplan.htm" TargetMode="External"/><Relationship Id="rId34" Type="http://schemas.openxmlformats.org/officeDocument/2006/relationships/hyperlink" Target="http://www.sec.gov/Archives/edgar/data/920148/000092014804000191/ex10-2_pepamend.htm" TargetMode="External"/><Relationship Id="rId35" Type="http://schemas.openxmlformats.org/officeDocument/2006/relationships/hyperlink" Target="http://www.sec.gov/Archives/edgar/data/920148/000092014805000049/pepamend2_10-4.htm" TargetMode="External"/><Relationship Id="rId36" Type="http://schemas.openxmlformats.org/officeDocument/2006/relationships/hyperlink" Target="http://www.sec.gov/Archives/edgar/data/920148/0000950157-94-000103.txt" TargetMode="External"/><Relationship Id="rId37" Type="http://schemas.openxmlformats.org/officeDocument/2006/relationships/hyperlink" Target="http://www.sec.gov/Archives/edgar/data/920148/000092014804000150/seniorexectranspolicy.txt" TargetMode="External"/><Relationship Id="rId38" Type="http://schemas.openxmlformats.org/officeDocument/2006/relationships/hyperlink" Target="http://www.sec.gov/Archives/edgar/data/920148/0000950103-95-000332.txt" TargetMode="External"/><Relationship Id="rId39" Type="http://schemas.openxmlformats.org/officeDocument/2006/relationships/hyperlink" Target="http://www.sec.gov/Archives/edgar/data/920148/0000950130-97-002717.txt" TargetMode="External"/><Relationship Id="rId40" Type="http://schemas.openxmlformats.org/officeDocument/2006/relationships/hyperlink" Target="http://www.sec.gov/Archives/edgar/data/920148/000095013001500861/ddef14a.txt" TargetMode="External"/><Relationship Id="rId41" Type="http://schemas.openxmlformats.org/officeDocument/2006/relationships/hyperlink" Target="http://www.sec.gov/Archives/edgar/data/920148/0000950130-99-002564.txt" TargetMode="External"/><Relationship Id="rId42" Type="http://schemas.openxmlformats.org/officeDocument/2006/relationships/hyperlink" Target="http://www.sec.gov/Archives/edgar/data/920148/000095010300000693/0000950103-00-000693-0002.txt" TargetMode="External"/><Relationship Id="rId43" Type="http://schemas.openxmlformats.org/officeDocument/2006/relationships/hyperlink" Target="http://www.sec.gov/Archives/edgar/data/920148/000102140802008549/dex41.txt" TargetMode="External"/><Relationship Id="rId44" Type="http://schemas.openxmlformats.org/officeDocument/2006/relationships/hyperlink" Target="http://www.sec.gov/Archives/edgar/data/920148/000092014802000058/ex10_s8.txt" TargetMode="External"/><Relationship Id="rId45" Type="http://schemas.openxmlformats.org/officeDocument/2006/relationships/hyperlink" Target="http://www.sec.gov/Archives/edgar/data/920148/000092014803000011/dianplan1996.txt" TargetMode="External"/><Relationship Id="rId46" Type="http://schemas.openxmlformats.org/officeDocument/2006/relationships/hyperlink" Target="http://www.sec.gov/Archives/edgar/data/920148/000092014803000011/dianplan1999.txt" TargetMode="External"/><Relationship Id="rId47" Type="http://schemas.openxmlformats.org/officeDocument/2006/relationships/hyperlink" Target="http://www.sec.gov/Archives/edgar/data/920148/000092014803000011/dianplan2000.txt" TargetMode="External"/><Relationship Id="rId48" Type="http://schemas.openxmlformats.org/officeDocument/2006/relationships/hyperlink" Target="http://www.sec.gov/Archives/edgar/data/920148/000092014803000011/dianplan2001.txt" TargetMode="External"/><Relationship Id="rId49" Type="http://schemas.openxmlformats.org/officeDocument/2006/relationships/hyperlink" Target="http://www.sec.gov/Archives/edgar/data/920148/000092014803000011/urocorplan1992.txt" TargetMode="External"/><Relationship Id="rId50" Type="http://schemas.openxmlformats.org/officeDocument/2006/relationships/hyperlink" Target="http://www.sec.gov/Archives/edgar/data/920148/000092014805000049/defcomp_ex10-22.htm" TargetMode="External"/><Relationship Id="rId51" Type="http://schemas.openxmlformats.org/officeDocument/2006/relationships/hyperlink" Target="http://www.sec.gov/Archives/edgar/data/920148/000092014805000049/defcompamend_ex10-23.htm" TargetMode="External"/><Relationship Id="rId52" Type="http://schemas.openxmlformats.org/officeDocument/2006/relationships/hyperlink" Target="http://www.sec.gov/Archives/edgar/data/920148/000092014805000161/ex10-8_defcomp.htm" TargetMode="External"/><Relationship Id="rId53" Type="http://schemas.openxmlformats.org/officeDocument/2006/relationships/hyperlink" Target="http://www.sec.gov/Archives/edgar/data/920148/000092014805000161/exhibit10-6.htm" TargetMode="External"/><Relationship Id="rId54" Type="http://schemas.openxmlformats.org/officeDocument/2006/relationships/hyperlink" Target="http://www.sec.gov/Archives/edgar/data/920148/000116923207001103/ex10-28_defcomp.htm" TargetMode="External"/><Relationship Id="rId55" Type="http://schemas.openxmlformats.org/officeDocument/2006/relationships/hyperlink" Target="http://www.sec.gov/Archives/edgar/data/920148/000092014808000071/ex10-34_defcomp.htm" TargetMode="External"/><Relationship Id="rId56" Type="http://schemas.openxmlformats.org/officeDocument/2006/relationships/hyperlink" Target="http://www.sec.gov/Archives/edgar/data/920148/000119312508064635/ddef14a.htm" TargetMode="External"/><Relationship Id="rId57" Type="http://schemas.openxmlformats.org/officeDocument/2006/relationships/hyperlink" Target="http://www.sec.gov/Archives/edgar/data/920148/000092014808000150/exhibit10-2.htm" TargetMode="External"/><Relationship Id="rId58" Type="http://schemas.openxmlformats.org/officeDocument/2006/relationships/hyperlink" Target="http://www.sec.gov/Archives/edgar/data/920148/000092014809000031/ex10_1.htm" TargetMode="External"/><Relationship Id="rId59" Type="http://schemas.openxmlformats.org/officeDocument/2006/relationships/hyperlink" Target="http://www.sec.gov/Archives/edgar/data/920148/000092014809000031/ex10_2.htm" TargetMode="External"/><Relationship Id="rId60" Type="http://schemas.openxmlformats.org/officeDocument/2006/relationships/hyperlink" Target="http://www.sec.gov/Archives/edgar/data/920148/000092014810000040/ex10_1.htm" TargetMode="External"/><Relationship Id="rId61" Type="http://schemas.openxmlformats.org/officeDocument/2006/relationships/hyperlink" Target="http://www.sec.gov/Archives/edgar/data/920148/000092014810000040/ex10_2.htm" TargetMode="External"/><Relationship Id="rId62" Type="http://schemas.openxmlformats.org/officeDocument/2006/relationships/hyperlink" Target="http://www.sec.gov/Archives/edgar/data/920148/000092014812000065/exhibit101toform8-k.htm" TargetMode="External"/><Relationship Id="rId63" Type="http://schemas.openxmlformats.org/officeDocument/2006/relationships/hyperlink" Target="http://www.sec.gov/Archives/edgar/data/920148/000092014815000020/exhibit1039creditagreement.htm" TargetMode="External"/><Relationship Id="rId64" Type="http://schemas.openxmlformats.org/officeDocument/2006/relationships/hyperlink" Target="http://www.sec.gov/Archives/edgar/data/920148/000092014817000112/exhibit103q32017.htm" TargetMode="External"/><Relationship Id="rId65" Type="http://schemas.openxmlformats.org/officeDocument/2006/relationships/hyperlink" Target="http://www.sec.gov/Archives/edgar/data/920148/000092014816000248/exhibit102doc.htm" TargetMode="External"/><Relationship Id="rId66" Type="http://schemas.openxmlformats.org/officeDocument/2006/relationships/hyperlink" Target="http://www.sec.gov/Archives/edgar/data/920148/000092014815000020/exhibit1040.htm" TargetMode="External"/><Relationship Id="rId67" Type="http://schemas.openxmlformats.org/officeDocument/2006/relationships/hyperlink" Target="http://www.sec.gov/Archives/edgar/data/920148/000092014815000057/exhibit106labcorp_bamlxame.htm" TargetMode="External"/><Relationship Id="rId68" Type="http://schemas.openxmlformats.org/officeDocument/2006/relationships/hyperlink" Target="http://www.sec.gov/Archives/edgar/data/920148/000092014816000248/exhibit101doc.htm" TargetMode="External"/><Relationship Id="rId69" Type="http://schemas.openxmlformats.org/officeDocument/2006/relationships/hyperlink" Target="http://www.sec.gov/Archives/edgar/data/920148/000092014817000112/exhibit101q32017.htm" TargetMode="External"/><Relationship Id="rId70" Type="http://schemas.openxmlformats.org/officeDocument/2006/relationships/hyperlink" Target="http://www.sec.gov/Archives/edgar/data/920148/000119312516591935/d169343dex101.htm" TargetMode="External"/><Relationship Id="rId71" Type="http://schemas.openxmlformats.org/officeDocument/2006/relationships/hyperlink" Target="http://www.sec.gov/Archives/edgar/data/920148/000119312516591935/d169343dex102.htm" TargetMode="External"/><Relationship Id="rId72" Type="http://schemas.openxmlformats.org/officeDocument/2006/relationships/hyperlink" Target="http://www.sec.gov/Archives/edgar/data/920148/000092014817000112/exhibit102q3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2019-12-29T00:44:12Z</dcterms:created>
  <dcterms:modified xsi:type="dcterms:W3CDTF">2019-12-29T00:44:12Z</dcterms:modified>
</cp:coreProperties>
</file>