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4" w:lineRule="exact"/>
        <w:rPr>
          <w:sz w:val="24"/>
          <w:szCs w:val="24"/>
          <w:color w:val="auto"/>
        </w:rPr>
      </w:pPr>
    </w:p>
    <w:p>
      <w:pPr>
        <w:ind w:left="3340" w:hanging="198"/>
        <w:spacing w:after="0"/>
        <w:tabs>
          <w:tab w:leader="none" w:pos="3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w:t>
      </w:r>
    </w:p>
    <w:p>
      <w:pPr>
        <w:spacing w:after="0" w:line="26" w:lineRule="exact"/>
        <w:rPr>
          <w:rFonts w:ascii="MS PGothic" w:cs="MS PGothic" w:eastAsia="MS PGothic" w:hAnsi="MS PGothic"/>
          <w:sz w:val="18"/>
          <w:szCs w:val="18"/>
          <w:color w:val="auto"/>
        </w:rPr>
      </w:pPr>
    </w:p>
    <w:p>
      <w:pPr>
        <w:ind w:left="37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OF THE SECURITIES EXCHANGE ACT OF 1934</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30, 2022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 w:lineRule="exact"/>
        <w:rPr>
          <w:sz w:val="24"/>
          <w:szCs w:val="24"/>
          <w:color w:val="auto"/>
        </w:rPr>
      </w:pPr>
    </w:p>
    <w:p>
      <w:pPr>
        <w:ind w:left="3340" w:hanging="207"/>
        <w:spacing w:after="0"/>
        <w:tabs>
          <w:tab w:leader="none" w:pos="3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w:t>
      </w:r>
    </w:p>
    <w:p>
      <w:pPr>
        <w:spacing w:after="0" w:line="12" w:lineRule="exact"/>
        <w:rPr>
          <w:rFonts w:ascii="MS PGothic" w:cs="MS PGothic" w:eastAsia="MS PGothic" w:hAnsi="MS PGothic"/>
          <w:sz w:val="18"/>
          <w:szCs w:val="18"/>
          <w:color w:val="auto"/>
        </w:rPr>
      </w:pPr>
    </w:p>
    <w:p>
      <w:pPr>
        <w:ind w:left="37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OF THE SECURITIES EXCHANGE ACT OF 1934</w:t>
      </w:r>
    </w:p>
    <w:p>
      <w:pPr>
        <w:spacing w:after="0" w:line="93"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1-11353</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LABORATORY CORPORATION OF AMERICA HOLDINGS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1880" w:type="dxa"/>
            <w:vAlign w:val="bottom"/>
          </w:tcPr>
          <w:p>
            <w:pPr>
              <w:spacing w:after="0"/>
              <w:rPr>
                <w:sz w:val="20"/>
                <w:szCs w:val="20"/>
                <w:color w:val="auto"/>
              </w:rPr>
            </w:pPr>
          </w:p>
        </w:tc>
        <w:tc>
          <w:tcPr>
            <w:tcW w:w="3780" w:type="dxa"/>
            <w:vAlign w:val="bottom"/>
            <w:gridSpan w:val="4"/>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13-3757370</w:t>
            </w:r>
          </w:p>
        </w:tc>
        <w:tc>
          <w:tcPr>
            <w:tcW w:w="20" w:type="dxa"/>
            <w:vAlign w:val="bottom"/>
          </w:tcPr>
          <w:p>
            <w:pPr>
              <w:spacing w:after="0"/>
              <w:rPr>
                <w:sz w:val="20"/>
                <w:szCs w:val="20"/>
                <w:color w:val="auto"/>
              </w:rPr>
            </w:pPr>
          </w:p>
        </w:tc>
      </w:tr>
      <w:tr>
        <w:trPr>
          <w:trHeight w:val="232"/>
        </w:trPr>
        <w:tc>
          <w:tcPr>
            <w:tcW w:w="55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334"/>
        </w:trPr>
        <w:tc>
          <w:tcPr>
            <w:tcW w:w="1880" w:type="dxa"/>
            <w:vAlign w:val="bottom"/>
          </w:tcPr>
          <w:p>
            <w:pPr>
              <w:spacing w:after="0"/>
              <w:rPr>
                <w:sz w:val="24"/>
                <w:szCs w:val="24"/>
                <w:color w:val="auto"/>
              </w:rPr>
            </w:pPr>
          </w:p>
        </w:tc>
        <w:tc>
          <w:tcPr>
            <w:tcW w:w="3780" w:type="dxa"/>
            <w:vAlign w:val="bottom"/>
            <w:gridSpan w:val="4"/>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358 South Main Street</w:t>
            </w: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18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Burlington,</w:t>
            </w:r>
          </w:p>
        </w:tc>
        <w:tc>
          <w:tcPr>
            <w:tcW w:w="3780" w:type="dxa"/>
            <w:vAlign w:val="bottom"/>
            <w:gridSpan w:val="4"/>
          </w:tcPr>
          <w:p>
            <w:pPr>
              <w:ind w:left="168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27215</w:t>
            </w:r>
          </w:p>
        </w:tc>
        <w:tc>
          <w:tcPr>
            <w:tcW w:w="20" w:type="dxa"/>
            <w:vAlign w:val="bottom"/>
          </w:tcPr>
          <w:p>
            <w:pPr>
              <w:spacing w:after="0"/>
              <w:rPr>
                <w:sz w:val="20"/>
                <w:szCs w:val="20"/>
                <w:color w:val="auto"/>
              </w:rPr>
            </w:pPr>
          </w:p>
        </w:tc>
      </w:tr>
      <w:tr>
        <w:trPr>
          <w:trHeight w:val="232"/>
        </w:trPr>
        <w:tc>
          <w:tcPr>
            <w:tcW w:w="55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bl>
    <w:p>
      <w:pPr>
        <w:spacing w:after="0" w:line="307" w:lineRule="exact"/>
        <w:rPr>
          <w:sz w:val="24"/>
          <w:szCs w:val="24"/>
          <w:color w:val="auto"/>
        </w:rPr>
      </w:pPr>
    </w:p>
    <w:p>
      <w:pPr>
        <w:ind w:right="3220" w:firstLine="3225"/>
        <w:spacing w:after="0" w:line="402" w:lineRule="auto"/>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336-229-1127</w:t>
      </w:r>
      <w:r>
        <w:rPr>
          <w:rFonts w:ascii="Times New Roman" w:cs="Times New Roman" w:eastAsia="Times New Roman" w:hAnsi="Times New Roman"/>
          <w:sz w:val="18"/>
          <w:szCs w:val="18"/>
          <w:color w:val="auto"/>
        </w:rPr>
        <w:t xml:space="preserve"> Securities registered pursuant to Section 12(b) of the Exchange Act.</w:t>
      </w:r>
    </w:p>
    <w:p>
      <w:pPr>
        <w:sectPr>
          <w:pgSz w:w="11900" w:h="16838" w:orient="portrait"/>
          <w:cols w:equalWidth="0" w:num="1">
            <w:col w:w="11240"/>
          </w:cols>
          <w:pgMar w:left="320" w:top="972" w:right="339" w:bottom="1440" w:gutter="0" w:footer="0" w:header="0"/>
        </w:sectPr>
      </w:pPr>
    </w:p>
    <w:p>
      <w:pPr>
        <w:spacing w:after="0" w:line="80" w:lineRule="exact"/>
        <w:rPr>
          <w:sz w:val="24"/>
          <w:szCs w:val="24"/>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w:t>
      </w:r>
    </w:p>
    <w:p>
      <w:pPr>
        <w:spacing w:after="0" w:line="27" w:lineRule="exact"/>
        <w:rPr>
          <w:sz w:val="24"/>
          <w:szCs w:val="24"/>
          <w:color w:val="auto"/>
        </w:rPr>
      </w:pPr>
    </w:p>
    <w:p>
      <w:pPr>
        <w:spacing w:after="0"/>
        <w:tabs>
          <w:tab w:leader="none" w:pos="2640" w:val="left"/>
        </w:tabs>
        <w:rPr>
          <w:sz w:val="20"/>
          <w:szCs w:val="20"/>
          <w:color w:val="auto"/>
        </w:rPr>
      </w:pPr>
      <w:r>
        <w:rPr>
          <w:rFonts w:ascii="Times New Roman" w:cs="Times New Roman" w:eastAsia="Times New Roman" w:hAnsi="Times New Roman"/>
          <w:sz w:val="18"/>
          <w:szCs w:val="18"/>
          <w:color w:val="auto"/>
        </w:rPr>
        <w:t>Common Stock, $0.10 par value</w:t>
      </w:r>
      <w:r>
        <w:rPr>
          <w:sz w:val="20"/>
          <w:szCs w:val="20"/>
          <w:color w:val="auto"/>
        </w:rPr>
        <w:tab/>
      </w:r>
      <w:r>
        <w:rPr>
          <w:rFonts w:ascii="Times New Roman" w:cs="Times New Roman" w:eastAsia="Times New Roman" w:hAnsi="Times New Roman"/>
          <w:sz w:val="18"/>
          <w:szCs w:val="18"/>
          <w:color w:val="auto"/>
        </w:rPr>
        <w:t>LH</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2">
            <w:col w:w="3180" w:space="420"/>
            <w:col w:w="7640"/>
          </w:cols>
          <w:pgMar w:left="320" w:top="972" w:right="339" w:bottom="1440" w:gutter="0" w:footer="0" w:header="0"/>
          <w:type w:val="continuous"/>
        </w:sectPr>
      </w:pPr>
    </w:p>
    <w:p>
      <w:pPr>
        <w:spacing w:after="0" w:line="27"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3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3" w:lineRule="exact"/>
        <w:rPr>
          <w:sz w:val="24"/>
          <w:szCs w:val="24"/>
          <w:color w:val="auto"/>
        </w:rPr>
      </w:pPr>
    </w:p>
    <w:p>
      <w:pPr>
        <w:ind w:right="120"/>
        <w:spacing w:after="0" w:line="22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issuer's common stock is 88.6 million shares as of October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553085</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020"/>
        </w:trPr>
        <w:tc>
          <w:tcPr>
            <w:tcW w:w="5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5"/>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93"/>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9"/>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7"/>
              </w:rPr>
              <w:t>PART I. FINANCIAL INFORMATION</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2"/>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 (unaudited)</w:t>
            </w:r>
          </w:p>
        </w:tc>
        <w:tc>
          <w:tcPr>
            <w:tcW w:w="5860" w:type="dxa"/>
            <w:vAlign w:val="bottom"/>
            <w:gridSpan w:val="10"/>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3"/>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w:t>
            </w:r>
          </w:p>
        </w:tc>
        <w:tc>
          <w:tcPr>
            <w:tcW w:w="5320" w:type="dxa"/>
            <w:vAlign w:val="bottom"/>
            <w:gridSpan w:val="9"/>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40" w:type="dxa"/>
            <w:vAlign w:val="bottom"/>
          </w:tcPr>
          <w:p>
            <w:pPr>
              <w:spacing w:after="0"/>
              <w:rPr>
                <w:sz w:val="24"/>
                <w:szCs w:val="24"/>
                <w:color w:val="auto"/>
              </w:rPr>
            </w:pP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September 30, 2022 and December 31, 2021</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Operations</w:t>
            </w:r>
          </w:p>
        </w:tc>
        <w:tc>
          <w:tcPr>
            <w:tcW w:w="4600" w:type="dxa"/>
            <w:vAlign w:val="bottom"/>
            <w:gridSpan w:val="8"/>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40" w:type="dxa"/>
            <w:vAlign w:val="bottom"/>
          </w:tcPr>
          <w:p>
            <w:pPr>
              <w:spacing w:after="0"/>
              <w:rPr>
                <w:sz w:val="24"/>
                <w:szCs w:val="24"/>
                <w:color w:val="auto"/>
              </w:rPr>
            </w:pP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Three and nine months ended September 30, 2022 and 2021</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Earnings</w:t>
            </w:r>
          </w:p>
        </w:tc>
        <w:tc>
          <w:tcPr>
            <w:tcW w:w="2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Three and nine months ended September 30, 2022 and 2021</w:t>
            </w:r>
          </w:p>
        </w:tc>
        <w:tc>
          <w:tcPr>
            <w:tcW w:w="3600" w:type="dxa"/>
            <w:vAlign w:val="bottom"/>
            <w:gridSpan w:val="4"/>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39"/>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Changes in Shareholders’ Equity</w:t>
            </w:r>
          </w:p>
        </w:tc>
        <w:tc>
          <w:tcPr>
            <w:tcW w:w="3040" w:type="dxa"/>
            <w:vAlign w:val="bottom"/>
            <w:gridSpan w:val="2"/>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40" w:type="dxa"/>
            <w:vAlign w:val="bottom"/>
          </w:tcPr>
          <w:p>
            <w:pPr>
              <w:spacing w:after="0"/>
              <w:rPr>
                <w:sz w:val="24"/>
                <w:szCs w:val="24"/>
                <w:color w:val="auto"/>
              </w:rPr>
            </w:pP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Three and nine months ended September 30, 2022 and 2021</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Nine months ended September 30, 2022 and 2021</w:t>
            </w:r>
          </w:p>
        </w:tc>
        <w:tc>
          <w:tcPr>
            <w:tcW w:w="4560" w:type="dxa"/>
            <w:vAlign w:val="bottom"/>
            <w:gridSpan w:val="7"/>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Notes to Unaudited Condensed Consolidated Financial Statements</w:t>
            </w:r>
          </w:p>
        </w:tc>
        <w:tc>
          <w:tcPr>
            <w:tcW w:w="3480" w:type="dxa"/>
            <w:vAlign w:val="bottom"/>
            <w:gridSpan w:val="3"/>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40" w:type="dxa"/>
            <w:vAlign w:val="bottom"/>
          </w:tcPr>
          <w:p>
            <w:pPr>
              <w:spacing w:after="0"/>
              <w:rPr>
                <w:sz w:val="24"/>
                <w:szCs w:val="24"/>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184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5"/>
          </w:tcPr>
          <w:p>
            <w:pPr>
              <w:spacing w:after="0"/>
              <w:rPr>
                <w:sz w:val="24"/>
                <w:szCs w:val="24"/>
                <w:color w:val="auto"/>
              </w:rPr>
            </w:pPr>
          </w:p>
        </w:tc>
        <w:tc>
          <w:tcPr>
            <w:tcW w:w="184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960" w:type="dxa"/>
            <w:vAlign w:val="bottom"/>
            <w:gridSpan w:val="6"/>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40" w:type="dxa"/>
            <w:vAlign w:val="bottom"/>
          </w:tcPr>
          <w:p>
            <w:pPr>
              <w:spacing w:after="0"/>
              <w:rPr>
                <w:sz w:val="24"/>
                <w:szCs w:val="24"/>
                <w:color w:val="auto"/>
              </w:rPr>
            </w:pPr>
          </w:p>
        </w:tc>
      </w:tr>
      <w:tr>
        <w:trPr>
          <w:trHeight w:val="567"/>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9"/>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7"/>
              </w:rPr>
              <w:t>PART II. OTHER INFORMATION</w:t>
            </w:r>
          </w:p>
        </w:tc>
        <w:tc>
          <w:tcPr>
            <w:tcW w:w="1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52"/>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4"/>
                <w:szCs w:val="24"/>
                <w:color w:val="auto"/>
              </w:rPr>
            </w:pPr>
          </w:p>
        </w:tc>
        <w:tc>
          <w:tcPr>
            <w:tcW w:w="6920" w:type="dxa"/>
            <w:vAlign w:val="bottom"/>
            <w:gridSpan w:val="12"/>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3920" w:type="dxa"/>
            <w:vAlign w:val="bottom"/>
            <w:gridSpan w:val="5"/>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0" w:type="dxa"/>
            <w:vAlign w:val="bottom"/>
            <w:tcBorders>
              <w:left w:val="single" w:sz="8" w:color="0000FF"/>
            </w:tcBorders>
            <w:gridSpan w:val="7"/>
            <w:shd w:val="clear" w:color="auto" w:fill="0000FF"/>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0"/>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4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920" w:type="dxa"/>
            <w:vAlign w:val="bottom"/>
            <w:gridSpan w:val="5"/>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920" w:type="dxa"/>
            <w:vAlign w:val="bottom"/>
            <w:gridSpan w:val="1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4"/>
                <w:szCs w:val="24"/>
                <w:color w:val="auto"/>
              </w:rPr>
            </w:pPr>
          </w:p>
        </w:tc>
        <w:tc>
          <w:tcPr>
            <w:tcW w:w="6920" w:type="dxa"/>
            <w:vAlign w:val="bottom"/>
            <w:gridSpan w:val="12"/>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40" w:type="dxa"/>
            <w:vAlign w:val="bottom"/>
          </w:tcPr>
          <w:p>
            <w:pPr>
              <w:spacing w:after="0"/>
              <w:rPr>
                <w:sz w:val="24"/>
                <w:szCs w:val="24"/>
                <w:color w:val="auto"/>
              </w:rPr>
            </w:pPr>
          </w:p>
        </w:tc>
      </w:tr>
      <w:tr>
        <w:trPr>
          <w:trHeight w:val="860"/>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140" w:type="dxa"/>
            <w:vAlign w:val="bottom"/>
            <w:gridSpan w:val="11"/>
          </w:tcPr>
          <w:p>
            <w:pPr>
              <w:jc w:val="center"/>
              <w:ind w:left="3931"/>
              <w:spacing w:after="0"/>
              <w:rPr>
                <w:sz w:val="20"/>
                <w:szCs w:val="20"/>
                <w:color w:val="auto"/>
              </w:rPr>
            </w:pPr>
            <w:r>
              <w:rPr>
                <w:rFonts w:ascii="Times New Roman" w:cs="Times New Roman" w:eastAsia="Times New Roman" w:hAnsi="Times New Roman"/>
                <w:sz w:val="18"/>
                <w:szCs w:val="18"/>
                <w:color w:val="auto"/>
                <w:w w:val="88"/>
              </w:rPr>
              <w:t>1</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5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7"/>
                <w:szCs w:val="17"/>
                <w:color w:val="auto"/>
              </w:rPr>
            </w:pPr>
          </w:p>
        </w:tc>
        <w:tc>
          <w:tcPr>
            <w:tcW w:w="14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7"/>
        </w:trPr>
        <w:tc>
          <w:tcPr>
            <w:tcW w:w="79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7"/>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r>
      <w:tr>
        <w:trPr>
          <w:trHeight w:val="227"/>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2,261.5</w:t>
            </w:r>
          </w:p>
        </w:tc>
      </w:tr>
      <w:tr>
        <w:trPr>
          <w:trHeight w:val="227"/>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services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r>
      <w:tr>
        <w:trPr>
          <w:trHeight w:val="227"/>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Supplies inventory</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227"/>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r>
      <w:tr>
        <w:trPr>
          <w:trHeight w:val="220"/>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5,330.5</w:t>
            </w: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2,815.4</w:t>
            </w: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7,958.9</w:t>
            </w: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3,735.5</w:t>
            </w: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venture partnerships and equity method investments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w:t>
            </w:r>
          </w:p>
        </w:tc>
      </w:tr>
      <w:tr>
        <w:trPr>
          <w:trHeight w:val="25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20,385.4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7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7"/>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w:t>
            </w:r>
          </w:p>
        </w:tc>
      </w:tr>
      <w:tr>
        <w:trPr>
          <w:trHeight w:val="227"/>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w:t>
            </w:r>
          </w:p>
        </w:tc>
      </w:tr>
      <w:tr>
        <w:trPr>
          <w:trHeight w:val="227"/>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r>
      <w:tr>
        <w:trPr>
          <w:trHeight w:val="227"/>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r>
      <w:tr>
        <w:trPr>
          <w:trHeight w:val="227"/>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7"/>
        </w:trPr>
        <w:tc>
          <w:tcPr>
            <w:tcW w:w="7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2,782.9</w:t>
            </w: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5,416.5</w:t>
            </w: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r>
      <w:tr>
        <w:trPr>
          <w:trHeight w:val="22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w:t>
            </w:r>
          </w:p>
        </w:tc>
      </w:tr>
      <w:tr>
        <w:trPr>
          <w:trHeight w:val="22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10,091.4</w:t>
            </w: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73"/>
        </w:trPr>
        <w:tc>
          <w:tcPr>
            <w:tcW w:w="7940" w:type="dxa"/>
            <w:vAlign w:val="bottom"/>
            <w:shd w:val="clear" w:color="auto" w:fill="CCEEFF"/>
          </w:tcPr>
          <w:p>
            <w:pPr>
              <w:ind w:left="140"/>
              <w:spacing w:after="0" w:line="173" w:lineRule="exact"/>
              <w:rPr>
                <w:sz w:val="20"/>
                <w:szCs w:val="20"/>
                <w:color w:val="auto"/>
              </w:rPr>
            </w:pPr>
            <w:r>
              <w:rPr>
                <w:rFonts w:ascii="Times New Roman" w:cs="Times New Roman" w:eastAsia="Times New Roman" w:hAnsi="Times New Roman"/>
                <w:sz w:val="18"/>
                <w:szCs w:val="18"/>
                <w:color w:val="auto"/>
              </w:rPr>
              <w:t>Common stock, 89.6 and 93.1 shares outstanding at September 30, 2022, and December 31, 2021,</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7"/>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10,456.8</w:t>
            </w:r>
          </w:p>
        </w:tc>
      </w:tr>
      <w:tr>
        <w:trPr>
          <w:trHeight w:val="23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33"/>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10,273.4</w:t>
            </w: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19,826.0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20,385.4</w:t>
            </w:r>
          </w:p>
        </w:tc>
      </w:tr>
      <w:tr>
        <w:trPr>
          <w:trHeight w:val="20"/>
        </w:trPr>
        <w:tc>
          <w:tcPr>
            <w:tcW w:w="7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759"/>
        </w:trPr>
        <w:tc>
          <w:tcPr>
            <w:tcW w:w="560" w:type="dxa"/>
            <w:vAlign w:val="bottom"/>
            <w:tcBorders>
              <w:top w:val="single" w:sz="8" w:color="0000FF"/>
            </w:tcBorders>
          </w:tcPr>
          <w:p>
            <w:pPr>
              <w:spacing w:after="0"/>
              <w:rPr>
                <w:sz w:val="24"/>
                <w:szCs w:val="24"/>
                <w:color w:val="auto"/>
              </w:rPr>
            </w:pPr>
          </w:p>
        </w:tc>
        <w:tc>
          <w:tcPr>
            <w:tcW w:w="8440" w:type="dxa"/>
            <w:vAlign w:val="bottom"/>
            <w:gridSpan w:val="7"/>
          </w:tcPr>
          <w:p>
            <w:pPr>
              <w:jc w:val="center"/>
              <w:ind w:left="1591"/>
              <w:spacing w:after="0"/>
              <w:rPr>
                <w:sz w:val="20"/>
                <w:szCs w:val="20"/>
                <w:color w:val="auto"/>
              </w:rPr>
            </w:pPr>
            <w:r>
              <w:rPr>
                <w:rFonts w:ascii="Times New Roman" w:cs="Times New Roman" w:eastAsia="Times New Roman" w:hAnsi="Times New Roman"/>
                <w:sz w:val="18"/>
                <w:szCs w:val="18"/>
                <w:b w:val="1"/>
                <w:bCs w:val="1"/>
                <w:color w:val="auto"/>
                <w:w w:val="98"/>
              </w:rPr>
              <w:t>LABORATORY CORPORATION OF AMERICA HOLDINGS AND SUBSIDIARIES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3"/>
        </w:trPr>
        <w:tc>
          <w:tcPr>
            <w:tcW w:w="560" w:type="dxa"/>
            <w:vAlign w:val="bottom"/>
          </w:tcPr>
          <w:p>
            <w:pPr>
              <w:spacing w:after="0"/>
              <w:rPr>
                <w:sz w:val="18"/>
                <w:szCs w:val="18"/>
                <w:color w:val="auto"/>
              </w:rPr>
            </w:pPr>
          </w:p>
        </w:tc>
        <w:tc>
          <w:tcPr>
            <w:tcW w:w="8440" w:type="dxa"/>
            <w:vAlign w:val="bottom"/>
            <w:gridSpan w:val="7"/>
          </w:tcPr>
          <w:p>
            <w:pPr>
              <w:jc w:val="center"/>
              <w:ind w:left="1591"/>
              <w:spacing w:after="0"/>
              <w:rPr>
                <w:sz w:val="20"/>
                <w:szCs w:val="20"/>
                <w:color w:val="auto"/>
              </w:rPr>
            </w:pPr>
            <w:r>
              <w:rPr>
                <w:rFonts w:ascii="Times New Roman" w:cs="Times New Roman" w:eastAsia="Times New Roman" w:hAnsi="Times New Roman"/>
                <w:sz w:val="18"/>
                <w:szCs w:val="18"/>
                <w:b w:val="1"/>
                <w:bCs w:val="1"/>
                <w:color w:val="auto"/>
                <w:w w:val="97"/>
              </w:rPr>
              <w:t>CONDENSED CONSOLIDATED STATEMENTS OF OPERATIONS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6400" w:type="dxa"/>
            <w:vAlign w:val="bottom"/>
            <w:gridSpan w:val="2"/>
          </w:tcPr>
          <w:p>
            <w:pPr>
              <w:jc w:val="center"/>
              <w:ind w:left="3651"/>
              <w:spacing w:after="0"/>
              <w:rPr>
                <w:sz w:val="20"/>
                <w:szCs w:val="20"/>
                <w:color w:val="auto"/>
              </w:rPr>
            </w:pPr>
            <w:r>
              <w:rPr>
                <w:rFonts w:ascii="Times New Roman" w:cs="Times New Roman" w:eastAsia="Times New Roman" w:hAnsi="Times New Roman"/>
                <w:sz w:val="18"/>
                <w:szCs w:val="18"/>
                <w:b w:val="1"/>
                <w:bCs w:val="1"/>
                <w:color w:val="auto"/>
                <w:w w:val="98"/>
              </w:rPr>
              <w:t>(in millions, except per share data)</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6100" w:type="dxa"/>
            <w:vAlign w:val="bottom"/>
          </w:tcPr>
          <w:p>
            <w:pPr>
              <w:jc w:val="center"/>
              <w:ind w:left="393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9"/>
        </w:trPr>
        <w:tc>
          <w:tcPr>
            <w:tcW w:w="5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2000" w:type="dxa"/>
            <w:vAlign w:val="bottom"/>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56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Pr>
          <w:p>
            <w:pPr>
              <w:spacing w:after="0"/>
              <w:rPr>
                <w:sz w:val="20"/>
                <w:szCs w:val="20"/>
                <w:color w:val="auto"/>
              </w:rPr>
            </w:pPr>
          </w:p>
        </w:tc>
        <w:tc>
          <w:tcPr>
            <w:tcW w:w="20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4"/>
        </w:trPr>
        <w:tc>
          <w:tcPr>
            <w:tcW w:w="560" w:type="dxa"/>
            <w:vAlign w:val="bottom"/>
            <w:tcBorders>
              <w:bottom w:val="single" w:sz="8" w:color="CCEEFF"/>
            </w:tcBorders>
          </w:tcPr>
          <w:p>
            <w:pPr>
              <w:spacing w:after="0"/>
              <w:rPr>
                <w:sz w:val="20"/>
                <w:szCs w:val="20"/>
                <w:color w:val="auto"/>
              </w:rPr>
            </w:pPr>
          </w:p>
        </w:tc>
        <w:tc>
          <w:tcPr>
            <w:tcW w:w="6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12,064.8</w:t>
            </w:r>
          </w:p>
        </w:tc>
      </w:tr>
      <w:tr>
        <w:trPr>
          <w:trHeight w:val="227"/>
        </w:trPr>
        <w:tc>
          <w:tcPr>
            <w:tcW w:w="6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7,815.5</w:t>
            </w:r>
          </w:p>
        </w:tc>
      </w:tr>
      <w:tr>
        <w:trPr>
          <w:trHeight w:val="22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w:t>
            </w:r>
          </w:p>
        </w:tc>
      </w:tr>
      <w:tr>
        <w:trPr>
          <w:trHeight w:val="227"/>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1,408.4</w:t>
            </w:r>
          </w:p>
        </w:tc>
      </w:tr>
      <w:tr>
        <w:trPr>
          <w:trHeight w:val="227"/>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27"/>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1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2,528.9</w:t>
            </w:r>
          </w:p>
        </w:tc>
      </w:tr>
      <w:tr>
        <w:trPr>
          <w:trHeight w:val="227"/>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7"/>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27"/>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method income, net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7"/>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7"/>
        </w:trPr>
        <w:tc>
          <w:tcPr>
            <w:tcW w:w="6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1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w:t>
            </w:r>
          </w:p>
        </w:tc>
      </w:tr>
      <w:tr>
        <w:trPr>
          <w:trHeight w:val="247"/>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r>
      <w:tr>
        <w:trPr>
          <w:trHeight w:val="21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w:t>
            </w:r>
          </w:p>
        </w:tc>
      </w:tr>
      <w:tr>
        <w:trPr>
          <w:trHeight w:val="233"/>
        </w:trPr>
        <w:tc>
          <w:tcPr>
            <w:tcW w:w="6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3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7"/>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Laboratory Corporation of America Holdings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1,824.3</w:t>
            </w: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0"/>
        </w:trPr>
        <w:tc>
          <w:tcPr>
            <w:tcW w:w="560" w:type="dxa"/>
            <w:vAlign w:val="bottom"/>
            <w:shd w:val="clear" w:color="auto" w:fill="CCEEFF"/>
          </w:tcPr>
          <w:p>
            <w:pPr>
              <w:spacing w:after="0"/>
              <w:rPr>
                <w:sz w:val="15"/>
                <w:szCs w:val="15"/>
                <w:color w:val="auto"/>
              </w:rPr>
            </w:pPr>
          </w:p>
        </w:tc>
        <w:tc>
          <w:tcPr>
            <w:tcW w:w="6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27"/>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27"/>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759"/>
        </w:trPr>
        <w:tc>
          <w:tcPr>
            <w:tcW w:w="560" w:type="dxa"/>
            <w:vAlign w:val="bottom"/>
            <w:tcBorders>
              <w:top w:val="single" w:sz="8" w:color="0000FF"/>
            </w:tcBorders>
          </w:tcPr>
          <w:p>
            <w:pPr>
              <w:spacing w:after="0"/>
              <w:rPr>
                <w:sz w:val="24"/>
                <w:szCs w:val="24"/>
                <w:color w:val="auto"/>
              </w:rPr>
            </w:pPr>
          </w:p>
        </w:tc>
        <w:tc>
          <w:tcPr>
            <w:tcW w:w="8600" w:type="dxa"/>
            <w:vAlign w:val="bottom"/>
            <w:gridSpan w:val="7"/>
          </w:tcPr>
          <w:p>
            <w:pPr>
              <w:jc w:val="center"/>
              <w:ind w:left="1431"/>
              <w:spacing w:after="0"/>
              <w:rPr>
                <w:sz w:val="20"/>
                <w:szCs w:val="20"/>
                <w:color w:val="auto"/>
              </w:rPr>
            </w:pPr>
            <w:r>
              <w:rPr>
                <w:rFonts w:ascii="Times New Roman" w:cs="Times New Roman" w:eastAsia="Times New Roman" w:hAnsi="Times New Roman"/>
                <w:sz w:val="18"/>
                <w:szCs w:val="18"/>
                <w:b w:val="1"/>
                <w:bCs w:val="1"/>
                <w:color w:val="auto"/>
                <w:w w:val="98"/>
              </w:rPr>
              <w:t>LABORATORY CORPORATION OF AMERICA HOLDINGS AND SUBSIDIARIES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3"/>
        </w:trPr>
        <w:tc>
          <w:tcPr>
            <w:tcW w:w="560" w:type="dxa"/>
            <w:vAlign w:val="bottom"/>
          </w:tcPr>
          <w:p>
            <w:pPr>
              <w:spacing w:after="0"/>
              <w:rPr>
                <w:sz w:val="18"/>
                <w:szCs w:val="18"/>
                <w:color w:val="auto"/>
              </w:rPr>
            </w:pPr>
          </w:p>
        </w:tc>
        <w:tc>
          <w:tcPr>
            <w:tcW w:w="8600" w:type="dxa"/>
            <w:vAlign w:val="bottom"/>
            <w:gridSpan w:val="7"/>
          </w:tcPr>
          <w:p>
            <w:pPr>
              <w:jc w:val="center"/>
              <w:ind w:left="143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COMPREHENSIVE EARNINGS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6480" w:type="dxa"/>
            <w:vAlign w:val="bottom"/>
            <w:gridSpan w:val="2"/>
          </w:tcPr>
          <w:p>
            <w:pPr>
              <w:jc w:val="center"/>
              <w:ind w:left="3571"/>
              <w:spacing w:after="0"/>
              <w:rPr>
                <w:sz w:val="20"/>
                <w:szCs w:val="20"/>
                <w:color w:val="auto"/>
              </w:rPr>
            </w:pPr>
            <w:r>
              <w:rPr>
                <w:rFonts w:ascii="Times New Roman" w:cs="Times New Roman" w:eastAsia="Times New Roman" w:hAnsi="Times New Roman"/>
                <w:sz w:val="18"/>
                <w:szCs w:val="18"/>
                <w:b w:val="1"/>
                <w:bCs w:val="1"/>
                <w:color w:val="auto"/>
                <w:w w:val="98"/>
              </w:rPr>
              <w:t>(in millions, except per share data)</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6280" w:type="dxa"/>
            <w:vAlign w:val="bottom"/>
          </w:tcPr>
          <w:p>
            <w:pPr>
              <w:jc w:val="center"/>
              <w:ind w:left="375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9"/>
        </w:trPr>
        <w:tc>
          <w:tcPr>
            <w:tcW w:w="5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1880" w:type="dxa"/>
            <w:vAlign w:val="bottom"/>
            <w:gridSpan w:val="4"/>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5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880" w:type="dxa"/>
            <w:vAlign w:val="bottom"/>
            <w:gridSpan w:val="4"/>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3"/>
        </w:trPr>
        <w:tc>
          <w:tcPr>
            <w:tcW w:w="560" w:type="dxa"/>
            <w:vAlign w:val="bottom"/>
            <w:tcBorders>
              <w:bottom w:val="single" w:sz="8" w:color="CCEEFF"/>
            </w:tcBorders>
          </w:tcPr>
          <w:p>
            <w:pPr>
              <w:spacing w:after="0"/>
              <w:rPr>
                <w:sz w:val="20"/>
                <w:szCs w:val="20"/>
                <w:color w:val="auto"/>
              </w:rPr>
            </w:pPr>
          </w:p>
        </w:tc>
        <w:tc>
          <w:tcPr>
            <w:tcW w:w="62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7"/>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w:t>
            </w:r>
          </w:p>
        </w:tc>
      </w:tr>
      <w:tr>
        <w:trPr>
          <w:trHeight w:val="227"/>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2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3"/>
        </w:trPr>
        <w:tc>
          <w:tcPr>
            <w:tcW w:w="6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27"/>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 related to items of comprehensive earnings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3"/>
        </w:trPr>
        <w:tc>
          <w:tcPr>
            <w:tcW w:w="6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(loss), net of tax</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27"/>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w:t>
            </w:r>
          </w:p>
        </w:tc>
      </w:tr>
      <w:tr>
        <w:trPr>
          <w:trHeight w:val="233"/>
        </w:trPr>
        <w:tc>
          <w:tcPr>
            <w:tcW w:w="6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2"/>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Laboratory Corporation of America Holdings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1,715.3</w:t>
            </w: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3"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rPr>
              <w:t>Additional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Accumulated</w:t>
            </w:r>
          </w:p>
        </w:tc>
        <w:tc>
          <w:tcPr>
            <w:tcW w:w="120" w:type="dxa"/>
            <w:vAlign w:val="bottom"/>
          </w:tcPr>
          <w:p>
            <w:pPr>
              <w:spacing w:after="0"/>
              <w:rPr>
                <w:sz w:val="12"/>
                <w:szCs w:val="12"/>
                <w:color w:val="auto"/>
              </w:rPr>
            </w:pPr>
          </w:p>
        </w:tc>
        <w:tc>
          <w:tcPr>
            <w:tcW w:w="94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color w:val="auto"/>
              </w:rPr>
              <w:t>Common</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Retained</w:t>
            </w: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rPr>
              <w:t>Paid-in</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color w:val="auto"/>
              </w:rPr>
              <w:t>Comprehensive</w:t>
            </w:r>
          </w:p>
        </w:tc>
        <w:tc>
          <w:tcPr>
            <w:tcW w:w="120" w:type="dxa"/>
            <w:vAlign w:val="bottom"/>
          </w:tcPr>
          <w:p>
            <w:pPr>
              <w:spacing w:after="0"/>
              <w:rPr>
                <w:sz w:val="11"/>
                <w:szCs w:val="11"/>
                <w:color w:val="auto"/>
              </w:rPr>
            </w:pPr>
          </w:p>
        </w:tc>
        <w:tc>
          <w:tcPr>
            <w:tcW w:w="940" w:type="dxa"/>
            <w:vAlign w:val="bottom"/>
          </w:tcPr>
          <w:p>
            <w:pPr>
              <w:jc w:val="center"/>
              <w:ind w:right="49"/>
              <w:spacing w:after="0" w:line="133" w:lineRule="exact"/>
              <w:rPr>
                <w:sz w:val="20"/>
                <w:szCs w:val="20"/>
                <w:color w:val="auto"/>
              </w:rPr>
            </w:pPr>
            <w:r>
              <w:rPr>
                <w:rFonts w:ascii="Times New Roman" w:cs="Times New Roman" w:eastAsia="Times New Roman" w:hAnsi="Times New Roman"/>
                <w:sz w:val="13"/>
                <w:szCs w:val="13"/>
                <w:color w:val="auto"/>
              </w:rPr>
              <w:t>Shareholders’</w:t>
            </w:r>
          </w:p>
        </w:tc>
        <w:tc>
          <w:tcPr>
            <w:tcW w:w="0" w:type="dxa"/>
            <w:vAlign w:val="bottom"/>
          </w:tcPr>
          <w:p>
            <w:pPr>
              <w:spacing w:after="0"/>
              <w:rPr>
                <w:sz w:val="1"/>
                <w:szCs w:val="1"/>
                <w:color w:val="auto"/>
              </w:rPr>
            </w:pPr>
          </w:p>
        </w:tc>
      </w:tr>
      <w:tr>
        <w:trPr>
          <w:trHeight w:val="193"/>
        </w:trPr>
        <w:tc>
          <w:tcPr>
            <w:tcW w:w="5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Stock</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Capital</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Earnings</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Earnings (Loss)</w:t>
            </w:r>
          </w:p>
        </w:tc>
        <w:tc>
          <w:tcPr>
            <w:tcW w:w="120" w:type="dxa"/>
            <w:vAlign w:val="bottom"/>
          </w:tcPr>
          <w:p>
            <w:pPr>
              <w:spacing w:after="0"/>
              <w:rPr>
                <w:sz w:val="16"/>
                <w:szCs w:val="16"/>
                <w:color w:val="auto"/>
              </w:rPr>
            </w:pPr>
          </w:p>
        </w:tc>
        <w:tc>
          <w:tcPr>
            <w:tcW w:w="940" w:type="dxa"/>
            <w:vAlign w:val="bottom"/>
          </w:tcPr>
          <w:p>
            <w:pPr>
              <w:jc w:val="center"/>
              <w:ind w:right="49"/>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200"/>
        </w:trPr>
        <w:tc>
          <w:tcPr>
            <w:tcW w:w="5560" w:type="dxa"/>
            <w:vAlign w:val="bottom"/>
            <w:tcBorders>
              <w:top w:val="single" w:sz="8" w:color="CCEEFF"/>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4"/>
                <w:szCs w:val="14"/>
                <w:b w:val="1"/>
                <w:bCs w:val="1"/>
                <w:color w:val="auto"/>
              </w:rPr>
              <w:t>BALANCE AT DECEMBER 31, 2020</w:t>
            </w:r>
            <w:r>
              <w:rPr>
                <w:rFonts w:ascii="Times New Roman" w:cs="Times New Roman" w:eastAsia="Times New Roman" w:hAnsi="Times New Roman"/>
                <w:sz w:val="18"/>
                <w:szCs w:val="18"/>
                <w:b w:val="1"/>
                <w:bCs w:val="1"/>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9,479.2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9,436.6</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Laboratory Corporation of America Holdings</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0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200"/>
        </w:trPr>
        <w:tc>
          <w:tcPr>
            <w:tcW w:w="5560" w:type="dxa"/>
            <w:vAlign w:val="bottom"/>
          </w:tcPr>
          <w:p>
            <w:pPr>
              <w:ind w:left="20"/>
              <w:spacing w:after="0" w:line="200" w:lineRule="exact"/>
              <w:rPr>
                <w:sz w:val="20"/>
                <w:szCs w:val="20"/>
                <w:color w:val="auto"/>
              </w:rPr>
            </w:pPr>
            <w:r>
              <w:rPr>
                <w:rFonts w:ascii="Times New Roman" w:cs="Times New Roman" w:eastAsia="Times New Roman" w:hAnsi="Times New Roman"/>
                <w:sz w:val="14"/>
                <w:szCs w:val="14"/>
                <w:b w:val="1"/>
                <w:bCs w:val="1"/>
                <w:color w:val="auto"/>
              </w:rPr>
              <w:t>BALANCE AT MARCH 31, 2021</w:t>
            </w:r>
            <w:r>
              <w:rPr>
                <w:rFonts w:ascii="Times New Roman" w:cs="Times New Roman" w:eastAsia="Times New Roman" w:hAnsi="Times New Roman"/>
                <w:sz w:val="18"/>
                <w:szCs w:val="18"/>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10,248.8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10,098.4</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Laboratory Corporation of America Holdings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467.4</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93"/>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225"/>
        </w:trPr>
        <w:tc>
          <w:tcPr>
            <w:tcW w:w="5560" w:type="dxa"/>
            <w:vAlign w:val="bottom"/>
            <w:tcBorders>
              <w:top w:val="single" w:sz="8" w:color="CCEEFF"/>
              <w:bottom w:val="single" w:sz="8" w:color="CCEEFF"/>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4"/>
                <w:szCs w:val="14"/>
                <w:b w:val="1"/>
                <w:bCs w:val="1"/>
                <w:color w:val="auto"/>
              </w:rPr>
              <w:t>BALANCE AT JUNE 30, 2021</w:t>
            </w:r>
            <w:r>
              <w:rPr>
                <w:rFonts w:ascii="Times New Roman" w:cs="Times New Roman" w:eastAsia="Times New Roman" w:hAnsi="Times New Roman"/>
                <w:sz w:val="18"/>
                <w:szCs w:val="18"/>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10,322.0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Laboratory Corporation of America Holdings</w:t>
            </w: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560" w:type="dxa"/>
            <w:vAlign w:val="bottom"/>
            <w:tcBorders>
              <w:top w:val="single" w:sz="8" w:color="CCEEFF"/>
            </w:tcBorders>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587.3</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193"/>
        </w:trPr>
        <w:tc>
          <w:tcPr>
            <w:tcW w:w="5560" w:type="dxa"/>
            <w:vAlign w:val="bottom"/>
          </w:tcPr>
          <w:p>
            <w:pPr>
              <w:ind w:left="20"/>
              <w:spacing w:after="0" w:line="194" w:lineRule="exact"/>
              <w:rPr>
                <w:sz w:val="20"/>
                <w:szCs w:val="20"/>
                <w:color w:val="auto"/>
              </w:rPr>
            </w:pPr>
            <w:r>
              <w:rPr>
                <w:rFonts w:ascii="Times New Roman" w:cs="Times New Roman" w:eastAsia="Times New Roman" w:hAnsi="Times New Roman"/>
                <w:sz w:val="14"/>
                <w:szCs w:val="14"/>
                <w:b w:val="1"/>
                <w:bCs w:val="1"/>
                <w:color w:val="auto"/>
              </w:rPr>
              <w:t>BALANCE AT SEPTEMBER 30, 2021</w:t>
            </w:r>
            <w:r>
              <w:rPr>
                <w:rFonts w:ascii="Times New Roman" w:cs="Times New Roman" w:eastAsia="Times New Roman" w:hAnsi="Times New Roman"/>
                <w:sz w:val="18"/>
                <w:szCs w:val="18"/>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10,863.5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10,601.4</w:t>
            </w:r>
          </w:p>
        </w:tc>
        <w:tc>
          <w:tcPr>
            <w:tcW w:w="0" w:type="dxa"/>
            <w:vAlign w:val="bottom"/>
          </w:tcPr>
          <w:p>
            <w:pPr>
              <w:spacing w:after="0"/>
              <w:rPr>
                <w:sz w:val="1"/>
                <w:szCs w:val="1"/>
                <w:color w:val="auto"/>
              </w:rPr>
            </w:pPr>
          </w:p>
        </w:tc>
      </w:tr>
      <w:tr>
        <w:trPr>
          <w:trHeight w:val="85"/>
        </w:trPr>
        <w:tc>
          <w:tcPr>
            <w:tcW w:w="556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5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tcPr>
          <w:p>
            <w:pPr>
              <w:jc w:val="right"/>
              <w:ind w:right="9"/>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10,456.8</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10,273.4</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Laboratory Corporation of America Holdings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0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0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10,948.4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10,721.1</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Laboratory Corporation of America Holdings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93"/>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10,897.9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10,400.7</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Laboratory Corporation of America Holdings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93"/>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10,845.0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10,092.2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right="100" w:firstLine="7"/>
        <w:spacing w:after="0" w:line="216" w:lineRule="auto"/>
        <w:tabs>
          <w:tab w:leader="none" w:pos="61" w:val="left"/>
        </w:tabs>
        <w:numPr>
          <w:ilvl w:val="0"/>
          <w:numId w:val="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Retained earnings and total shareholders’ equity as of March 31, 2021, June 30, 2021 and September 30, 2021, have been revised for the correction previously reported in the 2021 Annual Report on Form 10-K, and retained earnings and total equity as of December 31, 2020, March 31, 2021 and June 30, 2021 have been corrected from amounts previously reported in the Quarterly Report on Form 10-Q for the quarterly period ended June 30,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000"/>
          </w:cols>
          <w:pgMar w:left="320" w:top="121" w:right="57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INDEX</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59"/>
        </w:trPr>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360" w:type="dxa"/>
            <w:vAlign w:val="bottom"/>
            <w:gridSpan w:val="2"/>
          </w:tcPr>
          <w:p>
            <w:pPr>
              <w:jc w:val="center"/>
              <w:ind w:left="1671"/>
              <w:spacing w:after="0"/>
              <w:rPr>
                <w:sz w:val="20"/>
                <w:szCs w:val="20"/>
                <w:color w:val="auto"/>
              </w:rPr>
            </w:pPr>
            <w:r>
              <w:rPr>
                <w:rFonts w:ascii="Times New Roman" w:cs="Times New Roman" w:eastAsia="Times New Roman" w:hAnsi="Times New Roman"/>
                <w:sz w:val="18"/>
                <w:szCs w:val="18"/>
                <w:b w:val="1"/>
                <w:bCs w:val="1"/>
                <w:color w:val="auto"/>
                <w:w w:val="98"/>
              </w:rPr>
              <w:t>LABORATORY CORPORATION OF AMERICA HOLDINGS AND SUBSIDIARIES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900" w:type="dxa"/>
            <w:vAlign w:val="bottom"/>
          </w:tcPr>
          <w:p>
            <w:pPr>
              <w:jc w:val="center"/>
              <w:ind w:left="215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CASH FLOWS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900" w:type="dxa"/>
            <w:vAlign w:val="bottom"/>
          </w:tcPr>
          <w:p>
            <w:pPr>
              <w:jc w:val="center"/>
              <w:ind w:left="2131"/>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00" w:type="dxa"/>
            <w:vAlign w:val="bottom"/>
          </w:tcPr>
          <w:p>
            <w:pPr>
              <w:jc w:val="center"/>
              <w:ind w:left="213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6"/>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33"/>
        </w:trPr>
        <w:tc>
          <w:tcPr>
            <w:tcW w:w="40" w:type="dxa"/>
            <w:vAlign w:val="bottom"/>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79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 expense</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assets and liabilities (net of effects of acquisitions and divestitures):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unbilled services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supplies inventory</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prepaid expenses and other</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unearned revenue</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33"/>
        </w:trPr>
        <w:tc>
          <w:tcPr>
            <w:tcW w:w="40" w:type="dxa"/>
            <w:vAlign w:val="bottom"/>
          </w:tcPr>
          <w:p>
            <w:pPr>
              <w:spacing w:after="0"/>
              <w:rPr>
                <w:sz w:val="20"/>
                <w:szCs w:val="20"/>
                <w:color w:val="auto"/>
              </w:rPr>
            </w:pPr>
          </w:p>
        </w:tc>
        <w:tc>
          <w:tcPr>
            <w:tcW w:w="8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accrued expenses and other</w:t>
            </w:r>
          </w:p>
        </w:tc>
        <w:tc>
          <w:tcPr>
            <w:tcW w:w="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3"/>
        </w:trPr>
        <w:tc>
          <w:tcPr>
            <w:tcW w:w="40" w:type="dxa"/>
            <w:vAlign w:val="bottom"/>
          </w:tcPr>
          <w:p>
            <w:pPr>
              <w:spacing w:after="0"/>
              <w:rPr>
                <w:sz w:val="20"/>
                <w:szCs w:val="20"/>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2,412.1</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4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or distribution of investments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exit from swaps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3"/>
        </w:trPr>
        <w:tc>
          <w:tcPr>
            <w:tcW w:w="40" w:type="dxa"/>
            <w:vAlign w:val="bottom"/>
          </w:tcPr>
          <w:p>
            <w:pPr>
              <w:spacing w:after="0"/>
              <w:rPr>
                <w:sz w:val="20"/>
                <w:szCs w:val="20"/>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w:t>
            </w:r>
          </w:p>
        </w:tc>
      </w:tr>
      <w:tr>
        <w:trPr>
          <w:trHeight w:val="247"/>
        </w:trPr>
        <w:tc>
          <w:tcPr>
            <w:tcW w:w="40" w:type="dxa"/>
            <w:vAlign w:val="bottom"/>
          </w:tcPr>
          <w:p>
            <w:pPr>
              <w:spacing w:after="0"/>
              <w:rPr>
                <w:sz w:val="21"/>
                <w:szCs w:val="21"/>
                <w:color w:val="auto"/>
              </w:rPr>
            </w:pPr>
          </w:p>
        </w:tc>
        <w:tc>
          <w:tcPr>
            <w:tcW w:w="8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r>
      <w:tr>
        <w:trPr>
          <w:trHeight w:val="213"/>
        </w:trPr>
        <w:tc>
          <w:tcPr>
            <w:tcW w:w="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senior note offerings</w:t>
            </w: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on senior notes</w:t>
            </w:r>
          </w:p>
        </w:tc>
        <w:tc>
          <w:tcPr>
            <w:tcW w:w="4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term loan</w:t>
            </w: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share settlement tax payments from issuance of stock to employees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stock to employees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r>
      <w:tr>
        <w:trPr>
          <w:trHeight w:val="233"/>
        </w:trPr>
        <w:tc>
          <w:tcPr>
            <w:tcW w:w="40" w:type="dxa"/>
            <w:vAlign w:val="bottom"/>
          </w:tcPr>
          <w:p>
            <w:pPr>
              <w:spacing w:after="0"/>
              <w:rPr>
                <w:sz w:val="20"/>
                <w:szCs w:val="20"/>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w:t>
            </w:r>
          </w:p>
        </w:tc>
      </w:tr>
      <w:tr>
        <w:trPr>
          <w:trHeight w:val="233"/>
        </w:trPr>
        <w:tc>
          <w:tcPr>
            <w:tcW w:w="40" w:type="dxa"/>
            <w:vAlign w:val="bottom"/>
          </w:tcPr>
          <w:p>
            <w:pPr>
              <w:spacing w:after="0"/>
              <w:rPr>
                <w:sz w:val="20"/>
                <w:szCs w:val="20"/>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r>
      <w:tr>
        <w:trPr>
          <w:trHeight w:val="227"/>
        </w:trPr>
        <w:tc>
          <w:tcPr>
            <w:tcW w:w="40" w:type="dxa"/>
            <w:vAlign w:val="bottom"/>
          </w:tcPr>
          <w:p>
            <w:pPr>
              <w:spacing w:after="0"/>
              <w:rPr>
                <w:sz w:val="19"/>
                <w:szCs w:val="19"/>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1,320.8</w:t>
            </w:r>
          </w:p>
        </w:tc>
      </w:tr>
      <w:tr>
        <w:trPr>
          <w:trHeight w:val="245"/>
        </w:trPr>
        <w:tc>
          <w:tcPr>
            <w:tcW w:w="40" w:type="dxa"/>
            <w:vAlign w:val="bottom"/>
          </w:tcPr>
          <w:p>
            <w:pPr>
              <w:spacing w:after="0"/>
              <w:rPr>
                <w:sz w:val="20"/>
                <w:szCs w:val="20"/>
                <w:color w:val="auto"/>
              </w:rPr>
            </w:pPr>
          </w:p>
        </w:tc>
        <w:tc>
          <w:tcPr>
            <w:tcW w:w="8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2,036.5</w:t>
            </w:r>
          </w:p>
        </w:tc>
      </w:tr>
      <w:tr>
        <w:trPr>
          <w:trHeight w:val="20"/>
        </w:trPr>
        <w:tc>
          <w:tcPr>
            <w:tcW w:w="4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FINANCIAL STATEMENT PRESENTATION</w:t>
      </w:r>
    </w:p>
    <w:p>
      <w:pPr>
        <w:spacing w:after="0" w:line="128" w:lineRule="exact"/>
        <w:rPr>
          <w:sz w:val="20"/>
          <w:szCs w:val="20"/>
          <w:color w:val="auto"/>
        </w:rPr>
      </w:pPr>
    </w:p>
    <w:p>
      <w:pPr>
        <w:jc w:val="both"/>
        <w:ind w:firstLine="280"/>
        <w:spacing w:after="0" w:line="233" w:lineRule="auto"/>
        <w:rPr>
          <w:sz w:val="20"/>
          <w:szCs w:val="20"/>
          <w:color w:val="auto"/>
        </w:rPr>
      </w:pPr>
      <w:r>
        <w:rPr>
          <w:rFonts w:ascii="Times New Roman" w:cs="Times New Roman" w:eastAsia="Times New Roman" w:hAnsi="Times New Roman"/>
          <w:sz w:val="18"/>
          <w:szCs w:val="18"/>
          <w:color w:val="auto"/>
        </w:rPr>
        <w:t>Laboratory Corporation of America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(Labcorp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 the Company) is a leading global life sciences company that provides vital information to help doctors, hospitals, pharmaceutical companies, researchers, and patients make clear and confident decisions. By leveraging its strong diagnostics and drug development capabilities, the Company provides insights and accelerates innovations to improve health and improve lives.</w:t>
      </w:r>
    </w:p>
    <w:p>
      <w:pPr>
        <w:spacing w:after="0" w:line="114"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Company reports its business in two segments, Labcorp Diagnostics (Dx) and Labcorp Drug Development (DD). For further financial information about these segments, see Note 11 (Business Segment Information) to the Condensed Consolidated Financial Statements. During the three months ended September 30, 2022, Dx and DD contributed approximately 61% and 39%, respectively, of revenues to the Company. During the nine months ended September 30, 2022, Dx and DD contributed approximately 61% and 39%, respectively, of revenues to the Company.</w:t>
      </w:r>
    </w:p>
    <w:p>
      <w:pPr>
        <w:spacing w:after="0" w:line="86"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July 28, 2022, the Company announced that its board of directors authorized the Company to pursue a spin-off of its wholly owned Clinical Development business, which includes parts of its DD segment focused on providing Phase I-IV clinical trial management, market access, and technology solutions to pharmaceutical and biotechnology organizations. The planned spin-off will result in two independent, publicly traded companies. The spin-off is intended to be a tax-free transaction to the Company and its stockholders for United States (U.S.) federal income tax purposes and is expected to be effected through a dividend of the Clinical Development business’ shares to the Company's shareholders. The Company anticipates that, consistent with any applicable legal and tax requirements, there will be ongoing transitional and commercial arrangements to provide for a seamless delivery of services to the customers and other stakeholders of the independent companies following the spin-off. The Company is targeting completion of the spin-off with an accelerated timeframe of mid-2023. The spin-off will be subject to the satisfaction of certain customary conditions, including, among others, the receipt of final approval by the Company's board of directors, the receipt of appropriate assurances regarding the tax-free nature of the separation, and the effectiveness of any required filings with the U.S. Securities and Exchange Commission (SEC).</w:t>
      </w:r>
    </w:p>
    <w:p>
      <w:pPr>
        <w:spacing w:after="0" w:line="96" w:lineRule="exact"/>
        <w:rPr>
          <w:sz w:val="20"/>
          <w:szCs w:val="20"/>
          <w:color w:val="auto"/>
        </w:rPr>
      </w:pPr>
    </w:p>
    <w:p>
      <w:pPr>
        <w:jc w:val="both"/>
        <w:ind w:firstLine="280"/>
        <w:spacing w:after="0" w:line="25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significant variable interest entities or special purpose entities whose financial results are not included in the condensed consolidated financial statements.</w:t>
      </w:r>
    </w:p>
    <w:p>
      <w:pPr>
        <w:spacing w:after="0" w:line="105"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 (loss).”</w:t>
      </w:r>
    </w:p>
    <w:p>
      <w:pPr>
        <w:spacing w:after="0" w:line="84"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w:t>
      </w:r>
    </w:p>
    <w:p>
      <w:pPr>
        <w:spacing w:after="0" w:line="86"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and notes are presented in accordance with the rules and regulations of the SEC and do not contain certain information included in the Company’s fiscal year 2021 Annual Report on Form 10-K (Annual Report). Therefore, these interim statements should be read in conjunction with the consolidated financial statements and notes thereto contained in the Company’s Annual Report.</w:t>
      </w:r>
    </w:p>
    <w:p>
      <w:pPr>
        <w:spacing w:after="0" w:line="1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Recently Adopted Accounting Guidance</w:t>
      </w:r>
    </w:p>
    <w:p>
      <w:pPr>
        <w:spacing w:after="0" w:line="62"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 new accounting standard, Accounting Standards Update 2021-08, to improve the accounting for acquired revenue contracts with customers in a business combination. The Company early adopted this standard effective January 1, 2022. The adoption of this standard did not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right="8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3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Company's revenues by segment and by payers/customer groups for the three and nine months ended September 30, 2022, and 2021, were as follows:</w:t>
      </w:r>
    </w:p>
    <w:p>
      <w:pPr>
        <w:spacing w:after="0" w:line="14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860" w:type="dxa"/>
            <w:vAlign w:val="bottom"/>
            <w:tcBorders>
              <w:right w:val="single" w:sz="8" w:color="auto"/>
            </w:tcBorders>
          </w:tcPr>
          <w:p>
            <w:pPr>
              <w:spacing w:after="0"/>
              <w:rPr>
                <w:sz w:val="17"/>
                <w:szCs w:val="17"/>
                <w:color w:val="auto"/>
              </w:rPr>
            </w:pPr>
          </w:p>
        </w:tc>
        <w:tc>
          <w:tcPr>
            <w:tcW w:w="4140" w:type="dxa"/>
            <w:vAlign w:val="bottom"/>
            <w:tcBorders>
              <w:top w:val="single" w:sz="8" w:color="auto"/>
              <w:bottom w:val="single" w:sz="8" w:color="auto"/>
              <w:right w:val="single" w:sz="8" w:color="auto"/>
            </w:tcBorders>
            <w:gridSpan w:val="7"/>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2022</w:t>
            </w:r>
          </w:p>
        </w:tc>
        <w:tc>
          <w:tcPr>
            <w:tcW w:w="120" w:type="dxa"/>
            <w:vAlign w:val="bottom"/>
            <w:tcBorders>
              <w:right w:val="single" w:sz="8" w:color="auto"/>
            </w:tcBorders>
          </w:tcPr>
          <w:p>
            <w:pPr>
              <w:spacing w:after="0"/>
              <w:rPr>
                <w:sz w:val="17"/>
                <w:szCs w:val="17"/>
                <w:color w:val="auto"/>
              </w:rPr>
            </w:pPr>
          </w:p>
        </w:tc>
        <w:tc>
          <w:tcPr>
            <w:tcW w:w="3980" w:type="dxa"/>
            <w:vAlign w:val="bottom"/>
            <w:tcBorders>
              <w:top w:val="single" w:sz="8" w:color="auto"/>
              <w:bottom w:val="single" w:sz="8" w:color="auto"/>
            </w:tcBorders>
            <w:gridSpan w:val="7"/>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2021</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2"/>
        </w:trPr>
        <w:tc>
          <w:tcPr>
            <w:tcW w:w="2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6"/>
                <w:szCs w:val="16"/>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Pr>
          <w:p>
            <w:pPr>
              <w:spacing w:after="0"/>
              <w:rPr>
                <w:sz w:val="16"/>
                <w:szCs w:val="16"/>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8"/>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Third party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6"/>
                <w:szCs w:val="16"/>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80" w:type="dxa"/>
            <w:vAlign w:val="bottom"/>
          </w:tcPr>
          <w:p>
            <w:pPr>
              <w:spacing w:after="0"/>
              <w:rPr>
                <w:sz w:val="16"/>
                <w:szCs w:val="16"/>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860" w:type="dxa"/>
            <w:vAlign w:val="bottom"/>
            <w:tcBorders>
              <w:right w:val="single" w:sz="8" w:color="auto"/>
            </w:tcBorders>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Pharmaceutical, biotechnology and medical</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tcBorders>
              <w:right w:val="single" w:sz="8" w:color="auto"/>
            </w:tcBorders>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1"/>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companies</w:t>
            </w: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860" w:type="dxa"/>
            <w:vAlign w:val="bottom"/>
            <w:tcBorders>
              <w:right w:val="single" w:sz="8" w:color="auto"/>
            </w:tcBorders>
          </w:tcPr>
          <w:p>
            <w:pPr>
              <w:spacing w:after="0"/>
              <w:rPr>
                <w:sz w:val="17"/>
                <w:szCs w:val="17"/>
                <w:color w:val="auto"/>
              </w:rPr>
            </w:pPr>
          </w:p>
        </w:tc>
        <w:tc>
          <w:tcPr>
            <w:tcW w:w="4140" w:type="dxa"/>
            <w:vAlign w:val="bottom"/>
            <w:tcBorders>
              <w:top w:val="single" w:sz="8" w:color="auto"/>
              <w:bottom w:val="single" w:sz="8" w:color="auto"/>
              <w:right w:val="single" w:sz="8" w:color="auto"/>
            </w:tcBorders>
            <w:gridSpan w:val="7"/>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2022</w:t>
            </w:r>
          </w:p>
        </w:tc>
        <w:tc>
          <w:tcPr>
            <w:tcW w:w="120" w:type="dxa"/>
            <w:vAlign w:val="bottom"/>
            <w:tcBorders>
              <w:right w:val="single" w:sz="8" w:color="auto"/>
            </w:tcBorders>
          </w:tcPr>
          <w:p>
            <w:pPr>
              <w:spacing w:after="0"/>
              <w:rPr>
                <w:sz w:val="17"/>
                <w:szCs w:val="17"/>
                <w:color w:val="auto"/>
              </w:rPr>
            </w:pPr>
          </w:p>
        </w:tc>
        <w:tc>
          <w:tcPr>
            <w:tcW w:w="3980" w:type="dxa"/>
            <w:vAlign w:val="bottom"/>
            <w:tcBorders>
              <w:top w:val="single" w:sz="8" w:color="auto"/>
              <w:bottom w:val="single" w:sz="8" w:color="auto"/>
            </w:tcBorders>
            <w:gridSpan w:val="7"/>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2021</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2"/>
        </w:trPr>
        <w:tc>
          <w:tcPr>
            <w:tcW w:w="2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6"/>
                <w:szCs w:val="16"/>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Pr>
          <w:p>
            <w:pPr>
              <w:spacing w:after="0"/>
              <w:rPr>
                <w:sz w:val="16"/>
                <w:szCs w:val="16"/>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8"/>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Third party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6"/>
                <w:szCs w:val="16"/>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80" w:type="dxa"/>
            <w:vAlign w:val="bottom"/>
          </w:tcPr>
          <w:p>
            <w:pPr>
              <w:spacing w:after="0"/>
              <w:rPr>
                <w:sz w:val="16"/>
                <w:szCs w:val="16"/>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860" w:type="dxa"/>
            <w:vAlign w:val="bottom"/>
            <w:tcBorders>
              <w:right w:val="single" w:sz="8" w:color="auto"/>
            </w:tcBorders>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Pharmaceutical, biotechnology and medical</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tcBorders>
              <w:right w:val="single" w:sz="8" w:color="auto"/>
            </w:tcBorders>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5"/>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companies</w:t>
            </w: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100" w:firstLine="240"/>
        <w:spacing w:after="0" w:line="268" w:lineRule="auto"/>
        <w:rPr>
          <w:sz w:val="20"/>
          <w:szCs w:val="20"/>
          <w:color w:val="auto"/>
        </w:rPr>
      </w:pPr>
      <w:r>
        <w:rPr>
          <w:rFonts w:ascii="Times New Roman" w:cs="Times New Roman" w:eastAsia="Times New Roman" w:hAnsi="Times New Roman"/>
          <w:sz w:val="18"/>
          <w:szCs w:val="18"/>
          <w:color w:val="auto"/>
        </w:rPr>
        <w:t>Revenues in the U.S. were $2,791.8 (77.4%) and $3,352.7 (82.5%) for the three months ended September 30, 2022, and 2021, respectively, and for the nine months ended September 30, 2022, and 2021, were $8,649.3 (77.2%) and $9,926.7 (82.3%), respectively.</w:t>
      </w:r>
    </w:p>
    <w:p>
      <w:pPr>
        <w:ind w:left="300" w:hanging="293"/>
        <w:spacing w:after="0"/>
        <w:tabs>
          <w:tab w:leader="none" w:pos="30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Contract costs</w:t>
      </w:r>
    </w:p>
    <w:p>
      <w:pPr>
        <w:spacing w:after="0" w:line="130" w:lineRule="exact"/>
        <w:rPr>
          <w:rFonts w:ascii="Times New Roman" w:cs="Times New Roman" w:eastAsia="Times New Roman" w:hAnsi="Times New Roman"/>
          <w:sz w:val="18"/>
          <w:szCs w:val="18"/>
          <w:b w:val="1"/>
          <w:bCs w:val="1"/>
          <w:i w:val="1"/>
          <w:iCs w:val="1"/>
          <w:color w:val="auto"/>
        </w:rPr>
      </w:pPr>
    </w:p>
    <w:p>
      <w:pPr>
        <w:ind w:right="100" w:firstLine="240"/>
        <w:spacing w:after="0" w:line="27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DD incurs costs to fulfill contracts with customers. Contract fulfillment costs include software implementation costs and setup costs for certain market access solutions.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Pr>
          <w:p>
            <w:pPr>
              <w:spacing w:after="0"/>
              <w:rPr>
                <w:sz w:val="20"/>
                <w:szCs w:val="20"/>
                <w:color w:val="auto"/>
              </w:rPr>
            </w:pPr>
          </w:p>
        </w:tc>
        <w:tc>
          <w:tcPr>
            <w:tcW w:w="18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0"/>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commission assets</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7"/>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45"/>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Amortization related to sales commission assets and associated payroll taxes for the three months ended September 30, 2022, and 2021, was $9.3 and $7.1, respectively, and for the nine months ended September 30, 2022, and 2021, was $25.3 and $20.4, respectively. Amortization related to deferred contract fulfillment costs for the three months ended September 30, 2022, and 2021, was $3.1 and $3.5, respectively, and was $9.1 and $10.0, respectively, for the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Unbilled Services and Unearned Revenue</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unbilled services, and unearned revenue from contracts with customers: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Pr>
          <w:p>
            <w:pPr>
              <w:spacing w:after="0"/>
              <w:rPr>
                <w:sz w:val="20"/>
                <w:szCs w:val="20"/>
                <w:color w:val="auto"/>
              </w:rPr>
            </w:pPr>
          </w:p>
        </w:tc>
        <w:tc>
          <w:tcPr>
            <w:tcW w:w="1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accounts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w:t>
            </w: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DD accounts receivable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DD allowance for doubtful accounts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2,261.5</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0"/>
        </w:trPr>
        <w:tc>
          <w:tcPr>
            <w:tcW w:w="7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unbilled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 for unbilled services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0"/>
        </w:trPr>
        <w:tc>
          <w:tcPr>
            <w:tcW w:w="7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spacing w:after="0"/>
              <w:rPr>
                <w:sz w:val="15"/>
                <w:szCs w:val="15"/>
                <w:color w:val="auto"/>
              </w:rPr>
            </w:pP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Revenues recognized during the period that were included in the unearned revenue balance at the beginning of the period were $277.9 and $267.6 for the nine months ended September 30, 2022, and 2021,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Rollforward</w:t>
      </w:r>
    </w:p>
    <w:p>
      <w:pPr>
        <w:spacing w:after="0" w:line="6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Company estimates future expected losses on accounts receivable, unbilled services and notes receivable over the remaining collection period of the instrument. The rollforward for the allowance for credit losses for the nine months ended September 30, 2022,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1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Unbilled</w:t>
            </w: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Note and Other</w:t>
            </w:r>
          </w:p>
        </w:tc>
        <w:tc>
          <w:tcPr>
            <w:tcW w:w="240" w:type="dxa"/>
            <w:vAlign w:val="bottom"/>
          </w:tcPr>
          <w:p>
            <w:pPr>
              <w:spacing w:after="0"/>
              <w:rPr>
                <w:sz w:val="17"/>
                <w:szCs w:val="17"/>
                <w:color w:val="auto"/>
              </w:rPr>
            </w:pPr>
          </w:p>
        </w:tc>
        <w:tc>
          <w:tcPr>
            <w:tcW w:w="94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6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Receivables</w:t>
            </w:r>
          </w:p>
        </w:tc>
        <w:tc>
          <w:tcPr>
            <w:tcW w:w="2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credit loss expense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write offs</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Under Long-Term Contracts</w:t>
      </w:r>
    </w:p>
    <w:p>
      <w:pPr>
        <w:spacing w:after="0" w:line="6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Long-term contracts at the Company consist primarily of fully managed clinical studies within DD. The amount of existing performance obligations unsatisfied under such long-term contracts were $6,005.7 and $5,412.8 as of September 30, 2022, and 2021, respectively. The Company expects to recognize revenue over the remaining contract term of the individual projects, with contract terms generally ranging from 1 to 8 years.</w:t>
      </w:r>
    </w:p>
    <w:p>
      <w:pPr>
        <w:spacing w:after="0" w:line="8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Within DD, revenues of $6.6 and $10.1 were recognized during the three months ended September 30, 2022 and 2021, respectively, and revenues of $75.8 and $38.9 were recognized during the nine months ended September 30, 2022 and 2021, respectively, from performance obligations that were satisfied in previous periods. This revenue primarily relates to adjustments related to changes in scope in full service clinical studies, and to a lesser extent, changes in estimates.</w:t>
      </w:r>
    </w:p>
    <w:p>
      <w:pPr>
        <w:spacing w:after="0" w:line="8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BUSINESS ACQUISITIONS</w:t>
      </w:r>
    </w:p>
    <w:p>
      <w:pPr>
        <w:spacing w:after="0" w:line="14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acquired several businesses and related assets for approximately $1,013.6 in cash. The purchase consideration for these acquisitions has been allocated under the acquisition method of accounting to the estimated fair market value of the net assets acquired, including approximately $407.4 in identifiable intangible assets and a residual amount of non-tax deductible goodwill of approximately $571.3. The amortization periods for intangible assets acquired from the businesses range from 5 to 23 years for customer relationships, non-compete agreements, technology, and trade names. These acquisitions were made primarily to complement and accelerate the Company’s existing liquid biopsy capabilities and expand the Company’s clinical laboratory services. The preliminary valuation of acquired assets and assumed liabilities, include the following: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Preliminary Personal</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160" w:type="dxa"/>
            <w:vAlign w:val="bottom"/>
          </w:tcPr>
          <w:p>
            <w:pPr>
              <w:spacing w:after="0"/>
              <w:rPr>
                <w:sz w:val="16"/>
                <w:szCs w:val="16"/>
                <w:color w:val="auto"/>
              </w:rPr>
            </w:pPr>
          </w:p>
        </w:tc>
        <w:tc>
          <w:tcPr>
            <w:tcW w:w="16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Amounts Acquired</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Preliminary</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center"/>
              <w:ind w:right="73"/>
              <w:spacing w:after="0" w:line="160" w:lineRule="exact"/>
              <w:rPr>
                <w:sz w:val="20"/>
                <w:szCs w:val="20"/>
                <w:color w:val="auto"/>
              </w:rPr>
            </w:pPr>
            <w:r>
              <w:rPr>
                <w:rFonts w:ascii="Times New Roman" w:cs="Times New Roman" w:eastAsia="Times New Roman" w:hAnsi="Times New Roman"/>
                <w:sz w:val="16"/>
                <w:szCs w:val="16"/>
                <w:b w:val="1"/>
                <w:bCs w:val="1"/>
                <w:color w:val="auto"/>
                <w:w w:val="99"/>
              </w:rPr>
              <w:t>During Nine Months</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5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Genome Diagnostics</w:t>
            </w:r>
          </w:p>
        </w:tc>
        <w:tc>
          <w:tcPr>
            <w:tcW w:w="24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Other Acquisitions</w:t>
            </w:r>
          </w:p>
        </w:tc>
        <w:tc>
          <w:tcPr>
            <w:tcW w:w="180" w:type="dxa"/>
            <w:vAlign w:val="bottom"/>
          </w:tcPr>
          <w:p>
            <w:pPr>
              <w:spacing w:after="0"/>
              <w:rPr>
                <w:sz w:val="13"/>
                <w:szCs w:val="13"/>
                <w:color w:val="auto"/>
              </w:rPr>
            </w:pPr>
          </w:p>
        </w:tc>
        <w:tc>
          <w:tcPr>
            <w:tcW w:w="1180" w:type="dxa"/>
            <w:vAlign w:val="bottom"/>
          </w:tcPr>
          <w:p>
            <w:pPr>
              <w:jc w:val="center"/>
              <w:ind w:right="52"/>
              <w:spacing w:after="0" w:line="160" w:lineRule="exact"/>
              <w:rPr>
                <w:sz w:val="20"/>
                <w:szCs w:val="20"/>
                <w:color w:val="auto"/>
              </w:rPr>
            </w:pPr>
            <w:r>
              <w:rPr>
                <w:rFonts w:ascii="Times New Roman" w:cs="Times New Roman" w:eastAsia="Times New Roman" w:hAnsi="Times New Roman"/>
                <w:sz w:val="16"/>
                <w:szCs w:val="16"/>
                <w:b w:val="1"/>
                <w:bCs w:val="1"/>
                <w:color w:val="auto"/>
                <w:w w:val="96"/>
              </w:rPr>
              <w:t>Period</w:t>
            </w:r>
          </w:p>
        </w:tc>
        <w:tc>
          <w:tcPr>
            <w:tcW w:w="160" w:type="dxa"/>
            <w:vAlign w:val="bottom"/>
          </w:tcPr>
          <w:p>
            <w:pPr>
              <w:spacing w:after="0"/>
              <w:rPr>
                <w:sz w:val="13"/>
                <w:szCs w:val="13"/>
                <w:color w:val="auto"/>
              </w:rPr>
            </w:pPr>
          </w:p>
        </w:tc>
        <w:tc>
          <w:tcPr>
            <w:tcW w:w="1680" w:type="dxa"/>
            <w:vAlign w:val="bottom"/>
          </w:tcPr>
          <w:p>
            <w:pPr>
              <w:jc w:val="center"/>
              <w:ind w:right="53"/>
              <w:spacing w:after="0" w:line="160" w:lineRule="exact"/>
              <w:rPr>
                <w:sz w:val="20"/>
                <w:szCs w:val="20"/>
                <w:color w:val="auto"/>
              </w:rPr>
            </w:pPr>
            <w:r>
              <w:rPr>
                <w:rFonts w:ascii="Times New Roman" w:cs="Times New Roman" w:eastAsia="Times New Roman" w:hAnsi="Times New Roman"/>
                <w:sz w:val="16"/>
                <w:szCs w:val="16"/>
                <w:b w:val="1"/>
                <w:bCs w:val="1"/>
                <w:color w:val="auto"/>
                <w:w w:val="99"/>
              </w:rPr>
              <w:t>Ended September 30,</w:t>
            </w:r>
          </w:p>
        </w:tc>
        <w:tc>
          <w:tcPr>
            <w:tcW w:w="0" w:type="dxa"/>
            <w:vAlign w:val="bottom"/>
          </w:tcPr>
          <w:p>
            <w:pPr>
              <w:spacing w:after="0"/>
              <w:rPr>
                <w:sz w:val="1"/>
                <w:szCs w:val="1"/>
                <w:color w:val="auto"/>
              </w:rPr>
            </w:pPr>
          </w:p>
        </w:tc>
      </w:tr>
      <w:tr>
        <w:trPr>
          <w:trHeight w:val="207"/>
        </w:trPr>
        <w:tc>
          <w:tcPr>
            <w:tcW w:w="30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Inc.</w:t>
            </w: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Ascension Healthcare</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2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7"/>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7"/>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7"/>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0" w:type="dxa"/>
            <w:vAlign w:val="bottom"/>
          </w:tcPr>
          <w:p>
            <w:pPr>
              <w:spacing w:after="0"/>
              <w:rPr>
                <w:sz w:val="1"/>
                <w:szCs w:val="1"/>
                <w:color w:val="auto"/>
              </w:rPr>
            </w:pPr>
          </w:p>
        </w:tc>
      </w:tr>
      <w:tr>
        <w:trPr>
          <w:trHeight w:val="227"/>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0" w:type="dxa"/>
            <w:vAlign w:val="bottom"/>
          </w:tcPr>
          <w:p>
            <w:pPr>
              <w:spacing w:after="0"/>
              <w:rPr>
                <w:sz w:val="1"/>
                <w:szCs w:val="1"/>
                <w:color w:val="auto"/>
              </w:rPr>
            </w:pPr>
          </w:p>
        </w:tc>
      </w:tr>
      <w:tr>
        <w:trPr>
          <w:trHeight w:val="22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0"/>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0" w:type="dxa"/>
            <w:vAlign w:val="bottom"/>
          </w:tcPr>
          <w:p>
            <w:pPr>
              <w:spacing w:after="0"/>
              <w:rPr>
                <w:sz w:val="1"/>
                <w:szCs w:val="1"/>
                <w:color w:val="auto"/>
              </w:rPr>
            </w:pPr>
          </w:p>
        </w:tc>
      </w:tr>
      <w:tr>
        <w:trPr>
          <w:trHeight w:val="22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7"/>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7"/>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7"/>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purchase price allocation for several transactions are still preliminary and subject to change. The areas of the purchase price allocation that are not yet finalized relate primarily to contingent purchase price valuation, intangible assets, goodwill, and the impact of finalizing deferred taxes. Accordingly, adjustments may be made as additional information is obtained about the facts and circumstances that existed as of the valuation date. Any adjustments will be recorded in the period in which they are identified.</w:t>
      </w:r>
    </w:p>
    <w:p>
      <w:pPr>
        <w:spacing w:after="0" w:line="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During the nine months ended September 30, 2021, the Company acquired a business and related assets for approximately $326.0 in cash. The purchase consideration for the acquisition in the nine months ended September 30, 2021, has been allocated under the acquisition method of accounting to the estimated fair market value of the net assets acquired, including approximately $142.5 in identifiable intangible assets and a residual amount of non-tax deductible goodwill of approximately $219.2. The amortization periods for intangible assets acquired from the business range from 5 to 15 years for customer relationships, non-compete agreements, technology and trade names. The acquisition was made primarily to expand the Company's services for hospitals and health system laboratories. The excess of the fair value of the consideration conveyed over the fair value of the net assets acquired was recorded as goodwill. The goodwill reflects the Company's expectations to utilize the acquired business' workforce and established relationships and the benefits of being able to leverage operational efficiencies with favorable growth opportunities in these markets.</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Had the Company's total 2021 and 2022 acquisitions been completed as of January 1, 2021, the Company's pro forma results would have been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020" w:type="dxa"/>
            <w:vAlign w:val="bottom"/>
            <w:gridSpan w:val="3"/>
          </w:tcPr>
          <w:p>
            <w:pPr>
              <w:jc w:val="right"/>
              <w:ind w:right="331"/>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6"/>
        </w:trPr>
        <w:tc>
          <w:tcPr>
            <w:tcW w:w="6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2020" w:type="dxa"/>
            <w:vAlign w:val="bottom"/>
            <w:gridSpan w:val="3"/>
          </w:tcPr>
          <w:p>
            <w:pPr>
              <w:jc w:val="right"/>
              <w:ind w:right="531"/>
              <w:spacing w:after="0"/>
              <w:rPr>
                <w:sz w:val="20"/>
                <w:szCs w:val="20"/>
                <w:color w:val="auto"/>
              </w:rPr>
            </w:pPr>
            <w:r>
              <w:rPr>
                <w:rFonts w:ascii="Times New Roman" w:cs="Times New Roman" w:eastAsia="Times New Roman" w:hAnsi="Times New Roman"/>
                <w:sz w:val="18"/>
                <w:szCs w:val="18"/>
                <w:color w:val="auto"/>
              </w:rPr>
              <w:t>September 30,</w:t>
            </w:r>
          </w:p>
        </w:tc>
      </w:tr>
      <w:tr>
        <w:trPr>
          <w:trHeight w:val="230"/>
        </w:trPr>
        <w:tc>
          <w:tcPr>
            <w:tcW w:w="66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3,754.1</w:t>
            </w: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11,663.8</w:t>
            </w: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12,104.1</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Laboratory Corporation of America Holdings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1,811.1</w:t>
            </w:r>
          </w:p>
        </w:tc>
      </w:tr>
    </w:tbl>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8"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presented. Potentially dilutive common shares result primarily from the Company’s outstanding stock options, restricted stock awards, restricted stock units, and performance share awards.</w:t>
      </w:r>
    </w:p>
    <w:p>
      <w:pPr>
        <w:spacing w:after="0" w:line="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represents a reconciliation of basic earnings per share to diluted earnings per share: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9"/>
          </w:tcPr>
          <w:p>
            <w:pPr>
              <w:jc w:val="right"/>
              <w:ind w:right="227"/>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9"/>
          </w:tcPr>
          <w:p>
            <w:pPr>
              <w:jc w:val="right"/>
              <w:ind w:right="327"/>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Earnings</w:t>
            </w:r>
          </w:p>
        </w:tc>
        <w:tc>
          <w:tcPr>
            <w:tcW w:w="60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1"/>
                <w:szCs w:val="11"/>
                <w:color w:val="auto"/>
              </w:rPr>
            </w:pPr>
          </w:p>
        </w:tc>
        <w:tc>
          <w:tcPr>
            <w:tcW w:w="7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color w:val="auto"/>
              </w:rPr>
              <w:t>Per Share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60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49"/>
              <w:spacing w:after="0" w:line="137" w:lineRule="exact"/>
              <w:rPr>
                <w:sz w:val="20"/>
                <w:szCs w:val="20"/>
                <w:color w:val="auto"/>
              </w:rPr>
            </w:pPr>
            <w:r>
              <w:rPr>
                <w:rFonts w:ascii="Times New Roman" w:cs="Times New Roman" w:eastAsia="Times New Roman" w:hAnsi="Times New Roman"/>
                <w:sz w:val="14"/>
                <w:szCs w:val="14"/>
                <w:color w:val="auto"/>
              </w:rPr>
              <w:t>Per Share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Per Share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60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1"/>
                <w:szCs w:val="11"/>
                <w:color w:val="auto"/>
              </w:rPr>
            </w:pPr>
          </w:p>
        </w:tc>
        <w:tc>
          <w:tcPr>
            <w:tcW w:w="720" w:type="dxa"/>
            <w:vAlign w:val="bottom"/>
            <w:gridSpan w:val="2"/>
          </w:tcPr>
          <w:p>
            <w:pPr>
              <w:jc w:val="right"/>
              <w:ind w:right="9"/>
              <w:spacing w:after="0" w:line="137" w:lineRule="exact"/>
              <w:rPr>
                <w:sz w:val="20"/>
                <w:szCs w:val="20"/>
                <w:color w:val="auto"/>
              </w:rPr>
            </w:pPr>
            <w:r>
              <w:rPr>
                <w:rFonts w:ascii="Times New Roman" w:cs="Times New Roman" w:eastAsia="Times New Roman" w:hAnsi="Times New Roman"/>
                <w:sz w:val="14"/>
                <w:szCs w:val="14"/>
                <w:color w:val="auto"/>
              </w:rPr>
              <w:t>Per Share</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180"/>
        </w:trPr>
        <w:tc>
          <w:tcPr>
            <w:tcW w:w="1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587.3</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1,203.0</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1,824.3</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0" w:type="dxa"/>
            <w:vAlign w:val="bottom"/>
          </w:tcPr>
          <w:p>
            <w:pPr>
              <w:spacing w:after="0"/>
              <w:rPr>
                <w:sz w:val="1"/>
                <w:szCs w:val="1"/>
                <w:color w:val="auto"/>
              </w:rPr>
            </w:pPr>
          </w:p>
        </w:tc>
      </w:tr>
      <w:tr>
        <w:trPr>
          <w:trHeight w:val="145"/>
        </w:trPr>
        <w:tc>
          <w:tcPr>
            <w:tcW w:w="16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Dilutive effect of</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employee stock options</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awards</w:t>
            </w: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680" w:type="dxa"/>
            <w:vAlign w:val="bottom"/>
          </w:tcPr>
          <w:p>
            <w:pPr>
              <w:ind w:left="140"/>
              <w:spacing w:after="0" w:line="137" w:lineRule="exact"/>
              <w:rPr>
                <w:sz w:val="20"/>
                <w:szCs w:val="20"/>
                <w:color w:val="auto"/>
              </w:rPr>
            </w:pPr>
            <w:r>
              <w:rPr>
                <w:rFonts w:ascii="Times New Roman" w:cs="Times New Roman" w:eastAsia="Times New Roman" w:hAnsi="Times New Roman"/>
                <w:sz w:val="14"/>
                <w:szCs w:val="14"/>
                <w:color w:val="auto"/>
              </w:rPr>
              <w:t>Net earnings including</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68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impact of dilutive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587.3</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1,203.0</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1,824.3</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0" w:type="dxa"/>
            <w:vAlign w:val="bottom"/>
          </w:tcPr>
          <w:p>
            <w:pPr>
              <w:spacing w:after="0"/>
              <w:rPr>
                <w:sz w:val="1"/>
                <w:szCs w:val="1"/>
                <w:color w:val="auto"/>
              </w:rPr>
            </w:pPr>
          </w:p>
        </w:tc>
      </w:tr>
      <w:tr>
        <w:trPr>
          <w:trHeight w:val="174"/>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1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earnings per share represent the potential dilution that could occur if securities or other contracts to issue common stock were exercised or converted into common stock. These potential shares include dilutive stock options and unissued restricted stock awards. The following table summarizes the potential common shares not included in the computation of diluted earnings per share because their impact would have been antidilutive: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60" w:type="dxa"/>
            <w:vAlign w:val="bottom"/>
            <w:tcBorders>
              <w:bottom w:val="single" w:sz="8" w:color="auto"/>
            </w:tcBorders>
          </w:tcPr>
          <w:p>
            <w:pPr>
              <w:spacing w:after="0"/>
              <w:rPr>
                <w:sz w:val="20"/>
                <w:szCs w:val="20"/>
                <w:color w:val="auto"/>
              </w:rPr>
            </w:pPr>
          </w:p>
        </w:tc>
      </w:tr>
      <w:tr>
        <w:trPr>
          <w:trHeight w:val="233"/>
        </w:trPr>
        <w:tc>
          <w:tcPr>
            <w:tcW w:w="432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2022</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2022</w:t>
            </w:r>
          </w:p>
        </w:tc>
        <w:tc>
          <w:tcPr>
            <w:tcW w:w="1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Pr>
          <w:p>
            <w:pPr>
              <w:spacing w:after="0"/>
              <w:rPr>
                <w:sz w:val="20"/>
                <w:szCs w:val="20"/>
                <w:color w:val="auto"/>
              </w:rPr>
            </w:pPr>
          </w:p>
        </w:tc>
      </w:tr>
      <w:tr>
        <w:trPr>
          <w:trHeight w:val="227"/>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11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nine months ended September 30, 2022,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Dx</w:t>
            </w:r>
          </w:p>
        </w:tc>
        <w:tc>
          <w:tcPr>
            <w:tcW w:w="320" w:type="dxa"/>
            <w:vAlign w:val="bottom"/>
          </w:tcPr>
          <w:p>
            <w:pPr>
              <w:spacing w:after="0"/>
              <w:rPr>
                <w:sz w:val="19"/>
                <w:szCs w:val="19"/>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DD</w:t>
            </w:r>
          </w:p>
        </w:tc>
        <w:tc>
          <w:tcPr>
            <w:tcW w:w="280" w:type="dxa"/>
            <w:vAlign w:val="bottom"/>
          </w:tcPr>
          <w:p>
            <w:pPr>
              <w:spacing w:after="0"/>
              <w:rPr>
                <w:sz w:val="19"/>
                <w:szCs w:val="19"/>
                <w:color w:val="auto"/>
              </w:rPr>
            </w:pPr>
          </w:p>
        </w:tc>
        <w:tc>
          <w:tcPr>
            <w:tcW w:w="10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r>
      <w:tr>
        <w:trPr>
          <w:trHeight w:val="227"/>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7,958.9</w:t>
            </w:r>
          </w:p>
        </w:tc>
      </w:tr>
      <w:tr>
        <w:trPr>
          <w:trHeight w:val="227"/>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w:t>
            </w:r>
          </w:p>
        </w:tc>
      </w:tr>
      <w:tr>
        <w:trPr>
          <w:trHeight w:val="233"/>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 and other adjustments to goodwill</w:t>
            </w: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27"/>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8,217.6</w:t>
            </w:r>
          </w:p>
        </w:tc>
      </w:tr>
      <w:tr>
        <w:trPr>
          <w:trHeight w:val="20"/>
        </w:trPr>
        <w:tc>
          <w:tcPr>
            <w:tcW w:w="7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at least annually or whenever events or changes in circumstances indicate that the carrying amount of such assets may not be recoverable. The Company recognizes an impairment charge for the amount by which the reporting unit's carrying amount exceeds its fair value.</w:t>
      </w:r>
    </w:p>
    <w:p>
      <w:pPr>
        <w:spacing w:after="0" w:line="8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Although the Company believes that the current assumptions and estimates used in its goodwill analysis are reasonable, supportable, and appropriate, the Company's business could be impacted by unfavorable changes, including those that impact the existing assumptions used in the impairment analysis. Various factors could reasonably be expected to unfavorably impact existing assumptions: primarily a worsening economic environment and protracted economic downturn and related impacts, including delays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w:t>
      </w:r>
    </w:p>
    <w:p>
      <w:pPr>
        <w:spacing w:after="0" w:line="90"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will continue to monitor the financial performance of, and assumptions for, its reporting units. A significant increase in the discount rate, decrease in the revenue and terminal growth rates, decreased operating margin, or substantial reductions in end markets and volume assumptions, could have a negative impact on the estimated fair value of the reporting units. A future impairment charge for goodwill or intangible assets could have a material effect on the Company's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identifiable intangible assets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December 31, 2021</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73"/>
        </w:trPr>
        <w:tc>
          <w:tcPr>
            <w:tcW w:w="3380" w:type="dxa"/>
            <w:vAlign w:val="bottom"/>
          </w:tcPr>
          <w:p>
            <w:pPr>
              <w:spacing w:after="0"/>
              <w:rPr>
                <w:sz w:val="15"/>
                <w:szCs w:val="15"/>
                <w:color w:val="auto"/>
              </w:rPr>
            </w:pPr>
          </w:p>
        </w:tc>
        <w:tc>
          <w:tcPr>
            <w:tcW w:w="116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8"/>
                <w:szCs w:val="18"/>
                <w:color w:val="auto"/>
                <w:w w:val="99"/>
              </w:rPr>
              <w:t>Gross 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80"/>
              <w:spacing w:after="0" w:line="173" w:lineRule="exact"/>
              <w:rPr>
                <w:sz w:val="20"/>
                <w:szCs w:val="20"/>
                <w:color w:val="auto"/>
              </w:rPr>
            </w:pPr>
            <w:r>
              <w:rPr>
                <w:rFonts w:ascii="Times New Roman" w:cs="Times New Roman" w:eastAsia="Times New Roman" w:hAnsi="Times New Roman"/>
                <w:sz w:val="18"/>
                <w:szCs w:val="18"/>
                <w:color w:val="auto"/>
                <w:w w:val="99"/>
              </w:rPr>
              <w:t>Accumulated</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8"/>
                <w:szCs w:val="18"/>
                <w:color w:val="auto"/>
                <w:w w:val="99"/>
              </w:rPr>
              <w:t>Gross Carrying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60"/>
              <w:spacing w:after="0" w:line="173" w:lineRule="exact"/>
              <w:rPr>
                <w:sz w:val="20"/>
                <w:szCs w:val="20"/>
                <w:color w:val="auto"/>
              </w:rPr>
            </w:pPr>
            <w:r>
              <w:rPr>
                <w:rFonts w:ascii="Times New Roman" w:cs="Times New Roman" w:eastAsia="Times New Roman" w:hAnsi="Times New Roman"/>
                <w:sz w:val="18"/>
                <w:szCs w:val="18"/>
                <w:color w:val="auto"/>
              </w:rPr>
              <w:t>Accumulated</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7"/>
        </w:trPr>
        <w:tc>
          <w:tcPr>
            <w:tcW w:w="3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Amortization</w:t>
            </w:r>
          </w:p>
        </w:tc>
        <w:tc>
          <w:tcPr>
            <w:tcW w:w="260" w:type="dxa"/>
            <w:vAlign w:val="bottom"/>
          </w:tcPr>
          <w:p>
            <w:pPr>
              <w:spacing w:after="0"/>
              <w:rPr>
                <w:sz w:val="21"/>
                <w:szCs w:val="21"/>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1"/>
                <w:szCs w:val="21"/>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Net</w:t>
            </w:r>
          </w:p>
        </w:tc>
      </w:tr>
      <w:tr>
        <w:trPr>
          <w:trHeight w:val="227"/>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2,973.9</w:t>
            </w: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licenses and technology</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r>
      <w:tr>
        <w:trPr>
          <w:trHeight w:val="22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use right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licenses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r>
      <w:tr>
        <w:trPr>
          <w:trHeight w:val="22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0"/>
        </w:trPr>
        <w:tc>
          <w:tcPr>
            <w:tcW w:w="3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3,735.5</w:t>
            </w:r>
          </w:p>
        </w:tc>
      </w:tr>
      <w:tr>
        <w:trPr>
          <w:trHeight w:val="20"/>
        </w:trPr>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for the three and nine months ended September 30, 2022, and 2021, was $65.2 and $92.2 and $198.7 and $276.7, respectively. The amortization expense for the net carrying amount of intangible assets is estimated to be $58.6 for the remainder of fiscal 2022, $264.4 in fiscal 2023, $258.9 in fiscal 2024, $244.2 in fiscal 2025, $234.5 in fiscal 2026, and $2,194.2 thereafter.</w:t>
      </w:r>
    </w:p>
    <w:p>
      <w:pPr>
        <w:spacing w:after="0" w:line="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Short-term borrowings and the current portion of long-term debt at September 30, 2022, and December 31, 2021,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2022</w:t>
            </w:r>
          </w:p>
        </w:tc>
        <w:tc>
          <w:tcPr>
            <w:tcW w:w="220" w:type="dxa"/>
            <w:vAlign w:val="bottom"/>
          </w:tcPr>
          <w:p>
            <w:pPr>
              <w:spacing w:after="0"/>
              <w:rPr>
                <w:sz w:val="19"/>
                <w:szCs w:val="19"/>
                <w:color w:val="auto"/>
              </w:rPr>
            </w:pPr>
          </w:p>
        </w:tc>
        <w:tc>
          <w:tcPr>
            <w:tcW w:w="18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33"/>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Long-term debt at September 30, 2022, and December 31, 2021, consisted of the following:</w:t>
            </w: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2022</w:t>
            </w:r>
          </w:p>
        </w:tc>
        <w:tc>
          <w:tcPr>
            <w:tcW w:w="220" w:type="dxa"/>
            <w:vAlign w:val="bottom"/>
          </w:tcPr>
          <w:p>
            <w:pPr>
              <w:spacing w:after="0"/>
              <w:rPr>
                <w:sz w:val="24"/>
                <w:szCs w:val="24"/>
                <w:color w:val="auto"/>
              </w:rPr>
            </w:pPr>
          </w:p>
        </w:tc>
        <w:tc>
          <w:tcPr>
            <w:tcW w:w="18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27"/>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senior notes due 2023</w:t>
            </w:r>
          </w:p>
        </w:tc>
        <w:tc>
          <w:tcPr>
            <w:tcW w:w="20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3.25% senior notes due 2024</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2.30% senior notes due 2024</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1.55% senior notes due 2026</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2027</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 senior notes due 2029</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2.70% senior notes due 2031</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4.70% senior notes due 2045</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20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5,416.5</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6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On May 26, 2021, the Company issued new senior notes representing $1,000.0 in debt securities and consisting of $500.0 aggregate principal amount of 1.55% senior notes due 2026 and $500.0 aggregate principal amount of 2.70% senior notes due 2031. Interest on these notes is payable semi-annually in arrears on June 1 and December 1 of each year. Net proceeds from the offering of these notes were $989.4 after deducting underwriting discounts and other expenses of the offering. The net proceeds were used, along with cash on hand, to redeem, prior to maturity, the Company's outstanding 3.20% senior notes due February 1, 2022 and 3.75% senior notes due August 23, 2022.</w:t>
      </w:r>
    </w:p>
    <w:p>
      <w:pPr>
        <w:spacing w:after="0" w:line="9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fixed-to-variable interest rate swap agreements for its 2.70% senior notes due 2031 with an aggregate notional amount of $500.0 and variable interest rates based on three-month LIBOR plus 1.0706% to hedge against changes in the fair value of a portion of the Company's long-term debt. These interest rate swaps are included in other long-term liabilities and deducted from the value of the senior notes with an aggregate fair value of $82.5 at September 30,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6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Company maintains a senior revolving credit facility, which was amended and restated on April 30, 2021. It consists of a five-year facility in the principal amount of up to $1,000.0, with the option of increasing the facility by up to an additional $500.0,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Company is required to pay a facility fee on the aggregate commitments under the revolving credit facility, at a per annum rate ranging from 0.10% to 0.23%, depending on the Company's debt ratings. The revolving credit facility is permitted to be used for general corporate purposes, including working capital, capital expenditures, funding of share repurchases and certain other payments, acquisitions, and other investments. The revolving credit facility also provides for the issuance of letters of credit without a reduction of the availability of borrowings under the facility. There were no balances outstanding on the Company's current revolving credit facility as of September 30, 2022 and December 31, 2021. As of September 30, 2022, the effective interest rate on the revolving credit facility was 4.14%. The credit facility expires on April 30, 2026.</w:t>
      </w:r>
    </w:p>
    <w:p>
      <w:pPr>
        <w:spacing w:after="0" w:line="110"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Under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the revolving credit facility at September 30, 2022, and expects that it will remain in compliance with its existing debt covenants for the next twelve months.</w:t>
      </w:r>
    </w:p>
    <w:p>
      <w:pPr>
        <w:spacing w:after="0" w:line="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were $79.8 in outstanding letters of credit as of September 30, 2022.</w:t>
      </w:r>
    </w:p>
    <w:p>
      <w:pPr>
        <w:spacing w:after="0" w:line="1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PREFERRED STOCK AND COMMON SHAREHOLDERS’ EQUITY</w:t>
      </w:r>
    </w:p>
    <w:p>
      <w:pPr>
        <w:spacing w:after="0" w:line="128"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Company is authorized to issue up to 265.0 shares of common stock, par value $0.10 per share. The Company is authorized to issue up to 30.0 shares of preferred stock, par value $0.10 per share. There were no preferred shares outstanding as of September 30, 2022, and December 31, 2021.</w:t>
      </w:r>
    </w:p>
    <w:p>
      <w:pPr>
        <w:sectPr>
          <w:pgSz w:w="11900" w:h="16838" w:orient="portrait"/>
          <w:cols w:equalWidth="0" w:num="1">
            <w:col w:w="11240"/>
          </w:cols>
          <w:pgMar w:left="320" w:top="121" w:right="339" w:bottom="1440" w:gutter="0" w:footer="0" w:header="0"/>
        </w:sectPr>
      </w:pPr>
    </w:p>
    <w:p>
      <w:pPr>
        <w:spacing w:after="0" w:line="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changes in common shares issued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183515</wp:posOffset>
            </wp:positionV>
            <wp:extent cx="7134225" cy="160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at December 31, 2021</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Shares repurchased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at September 30, 2022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and Outstanding</w:t>
      </w:r>
    </w:p>
    <w:p>
      <w:pPr>
        <w:spacing w:after="0" w:line="4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93.1</w:t>
      </w:r>
    </w:p>
    <w:p>
      <w:pPr>
        <w:spacing w:after="0" w:line="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0.6</w:t>
      </w:r>
    </w:p>
    <w:p>
      <w:pPr>
        <w:spacing w:after="0" w:line="2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12065</wp:posOffset>
            </wp:positionV>
            <wp:extent cx="1692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spacing w:after="0" w:line="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15875</wp:posOffset>
            </wp:positionV>
            <wp:extent cx="16922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9227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41275</wp:posOffset>
            </wp:positionV>
            <wp:extent cx="16922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8360" w:space="720"/>
            <w:col w:w="2160"/>
          </w:cols>
          <w:pgMar w:left="320" w:top="121" w:right="339" w:bottom="1440" w:gutter="0" w:footer="0" w:header="0"/>
          <w:type w:val="continuous"/>
        </w:sectPr>
      </w:pPr>
    </w:p>
    <w:p>
      <w:pPr>
        <w:jc w:val="both"/>
        <w:ind w:firstLine="240"/>
        <w:spacing w:after="0" w:line="270" w:lineRule="auto"/>
        <w:rPr>
          <w:sz w:val="20"/>
          <w:szCs w:val="20"/>
          <w:color w:val="auto"/>
        </w:rPr>
      </w:pPr>
      <w:r>
        <w:rPr>
          <w:rFonts w:ascii="Times New Roman" w:cs="Times New Roman" w:eastAsia="Times New Roman" w:hAnsi="Times New Roman"/>
          <w:sz w:val="17"/>
          <w:szCs w:val="17"/>
          <w:color w:val="auto"/>
        </w:rPr>
        <w:t>During the fourth quarter of 2021, the Company commenced an Accelerated Share Repurchase (ASR) program. At inception, the Company paid $1,000.0 and received 2.7 shares based on a calculation using 80% of the shares calculated at the price at the inception of the ASR agreements with two different banks, Goldman Sachs &amp; Co. LLC (Goldman Sachs) and Barclays Bank PLC (Barclays). The initial shares received under the ASR were removed from the outstanding share count in 2021. In March 2022, the Company received 0.6 shares of its common stock, arising from a partial acceleration with Barclays and a final settlement from Goldman Sachs, based on the average daily volume weighted average price per share of $277.40. In April 2022, the Company received 0.2 shares of its common stock for final settlement from Barclays based on the average volume-weighted average price per share of $275.51.</w:t>
      </w:r>
    </w:p>
    <w:p>
      <w:pPr>
        <w:spacing w:after="0" w:line="93"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Additionally, during the nine months ended September 30, 2022, the Company purchased 3.3 shares of its common stock at an average price of $240.57 for a total cost of $800.0. As of September 30, 2022, the Company had outstanding authorization from the board of directors to purchase up to $831.5 of the Company's common stock. The repurchase authorization has no expiration.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6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the nine months ended September 30, 2022, the Company paid $131.6 in common stock dividends. On October 12, 2022, the Company announced a cash dividend of $0.72 per share of common stock for the fourth quarter, or approximately $64.9 in the aggregate. The dividend will be payable on December 9, 2022, to stockholders of record of all issued and outstanding shares of common stock as of the close of business on November 17, 2022. The declaration and payment of any future dividends will be at the discretion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Earnings (Loss)</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accumulated other comprehensive earnings (loss)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Foreign Currency</w:t>
            </w: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Net Benefit Plan</w:t>
            </w:r>
          </w:p>
        </w:tc>
        <w:tc>
          <w:tcPr>
            <w:tcW w:w="180" w:type="dxa"/>
            <w:vAlign w:val="bottom"/>
          </w:tcPr>
          <w:p>
            <w:pPr>
              <w:spacing w:after="0"/>
              <w:rPr>
                <w:sz w:val="16"/>
                <w:szCs w:val="16"/>
                <w:color w:val="auto"/>
              </w:rPr>
            </w:pPr>
          </w:p>
        </w:tc>
        <w:tc>
          <w:tcPr>
            <w:tcW w:w="15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Accumulated Other</w:t>
            </w:r>
          </w:p>
        </w:tc>
        <w:tc>
          <w:tcPr>
            <w:tcW w:w="0" w:type="dxa"/>
            <w:vAlign w:val="bottom"/>
          </w:tcPr>
          <w:p>
            <w:pPr>
              <w:spacing w:after="0"/>
              <w:rPr>
                <w:sz w:val="1"/>
                <w:szCs w:val="1"/>
                <w:color w:val="auto"/>
              </w:rPr>
            </w:pPr>
          </w:p>
        </w:tc>
      </w:tr>
      <w:tr>
        <w:trPr>
          <w:trHeight w:val="160"/>
        </w:trPr>
        <w:tc>
          <w:tcPr>
            <w:tcW w:w="6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color w:val="auto"/>
              </w:rPr>
              <w:t>Translation</w:t>
            </w:r>
          </w:p>
        </w:tc>
        <w:tc>
          <w:tcPr>
            <w:tcW w:w="1280" w:type="dxa"/>
            <w:vAlign w:val="bottom"/>
            <w:gridSpan w:val="3"/>
            <w:vMerge w:val="continue"/>
          </w:tcPr>
          <w:p>
            <w:pPr>
              <w:spacing w:after="0"/>
              <w:rPr>
                <w:sz w:val="13"/>
                <w:szCs w:val="13"/>
                <w:color w:val="auto"/>
              </w:rPr>
            </w:pPr>
          </w:p>
        </w:tc>
        <w:tc>
          <w:tcPr>
            <w:tcW w:w="17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Comprehensive Earnings</w:t>
            </w:r>
          </w:p>
        </w:tc>
        <w:tc>
          <w:tcPr>
            <w:tcW w:w="0" w:type="dxa"/>
            <w:vAlign w:val="bottom"/>
          </w:tcPr>
          <w:p>
            <w:pPr>
              <w:spacing w:after="0"/>
              <w:rPr>
                <w:sz w:val="1"/>
                <w:szCs w:val="1"/>
                <w:color w:val="auto"/>
              </w:rPr>
            </w:pPr>
          </w:p>
        </w:tc>
      </w:tr>
      <w:tr>
        <w:trPr>
          <w:trHeight w:val="220"/>
        </w:trPr>
        <w:tc>
          <w:tcPr>
            <w:tcW w:w="6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9"/>
                <w:szCs w:val="19"/>
                <w:color w:val="auto"/>
              </w:rPr>
            </w:pPr>
          </w:p>
        </w:tc>
        <w:tc>
          <w:tcPr>
            <w:tcW w:w="15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w w:val="97"/>
              </w:rPr>
              <w:t>(Loss)</w:t>
            </w:r>
          </w:p>
        </w:tc>
        <w:tc>
          <w:tcPr>
            <w:tcW w:w="0" w:type="dxa"/>
            <w:vAlign w:val="bottom"/>
          </w:tcPr>
          <w:p>
            <w:pPr>
              <w:spacing w:after="0"/>
              <w:rPr>
                <w:sz w:val="1"/>
                <w:szCs w:val="1"/>
                <w:color w:val="auto"/>
              </w:rPr>
            </w:pPr>
          </w:p>
        </w:tc>
      </w:tr>
      <w:tr>
        <w:trPr>
          <w:trHeight w:val="227"/>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 adjustments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0" w:type="dxa"/>
            <w:vAlign w:val="bottom"/>
          </w:tcPr>
          <w:p>
            <w:pPr>
              <w:spacing w:after="0"/>
              <w:rPr>
                <w:sz w:val="1"/>
                <w:szCs w:val="1"/>
                <w:color w:val="auto"/>
              </w:rPr>
            </w:pPr>
          </w:p>
        </w:tc>
      </w:tr>
      <w:tr>
        <w:trPr>
          <w:trHeight w:val="22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65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28" w:lineRule="exact"/>
        <w:rPr>
          <w:sz w:val="20"/>
          <w:szCs w:val="20"/>
          <w:color w:val="auto"/>
        </w:rPr>
      </w:pPr>
    </w:p>
    <w:p>
      <w:pPr>
        <w:jc w:val="both"/>
        <w:ind w:firstLine="280"/>
        <w:spacing w:after="0" w:line="251" w:lineRule="auto"/>
        <w:rPr>
          <w:sz w:val="20"/>
          <w:szCs w:val="20"/>
          <w:color w:val="auto"/>
        </w:rPr>
      </w:pPr>
      <w:r>
        <w:rPr>
          <w:rFonts w:ascii="Times New Roman" w:cs="Times New Roman" w:eastAsia="Times New Roman" w:hAnsi="Times New Roman"/>
          <w:sz w:val="18"/>
          <w:szCs w:val="18"/>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 related disputes; securities and corporate law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92"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 xml:space="preserve">The Company also is named from time to time in suits brought under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 Such claims are an inevitable part of doing business in the healthcare field today.</w:t>
      </w:r>
    </w:p>
    <w:p>
      <w:pPr>
        <w:spacing w:after="0" w:line="102" w:lineRule="exact"/>
        <w:rPr>
          <w:sz w:val="20"/>
          <w:szCs w:val="20"/>
          <w:color w:val="auto"/>
        </w:rPr>
      </w:pPr>
    </w:p>
    <w:p>
      <w:pPr>
        <w:jc w:val="both"/>
        <w:ind w:firstLine="280"/>
        <w:spacing w:after="0" w:line="253"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9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estimable, and it does not believe they will have a material adverse effect on the Company's financial statements.</w:t>
      </w:r>
    </w:p>
    <w:p>
      <w:pPr>
        <w:spacing w:after="0" w:line="9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 xml:space="preserve">As previously reported, the Company responded to an October 2007 subpoena from the U.S. Department of Health &amp; Human Services Office of Inspector General's regional office in New York. On August 17, 2011, the U.S. District Court for the Southern District of New York unsealed a False Claims Act lawsuit, </w:t>
      </w:r>
      <w:r>
        <w:rPr>
          <w:rFonts w:ascii="Times New Roman" w:cs="Times New Roman" w:eastAsia="Times New Roman" w:hAnsi="Times New Roman"/>
          <w:sz w:val="18"/>
          <w:szCs w:val="18"/>
          <w:i w:val="1"/>
          <w:iCs w:val="1"/>
          <w:color w:val="auto"/>
        </w:rPr>
        <w:t>United States of America ex rel. NPT Associates v. Laboratory Corporation of America Holdings</w:t>
      </w:r>
      <w:r>
        <w:rPr>
          <w:rFonts w:ascii="Times New Roman" w:cs="Times New Roman" w:eastAsia="Times New Roman" w:hAnsi="Times New Roman"/>
          <w:sz w:val="18"/>
          <w:szCs w:val="18"/>
          <w:color w:val="auto"/>
        </w:rPr>
        <w:t>, which alleges that the Company offered UnitedHealthcare kickbacks in the form</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of discounts in return for Medicare business. The Plaintiff's Third Amended Complaint further alleges that the Company's billing practices violated the False Claims Acts of 14 states and the District of Columbia. The lawsuit seeks actual and treble damages and civil penalties for each alleged false claim, as well as recovery of costs, attorney's fees, and legal expenses.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reviewed the amended complaint. The Court granted the motion and vacated the briefing dates. Plaintiff then filed the Amended Complaint under seal. On August 24, 2021, the U.S. government filed a notice indicating that it did not intend to intervene in the matter. On October 27, 2021, the Fourth Amended Complaint was unsealed. The Fourth Amended Complaint is similar to the Third Amended Complaint in that it alleges that the Company offered UnitedHealthcare kickbacks in the form of discounts in return for Medicare and Medicaid business, and it further alleges that the Company unlawfully charged Medicare amounts substantially in excess of its alleged usual charges. Similar to the Third Amended Complaint, the Fourth Amended Complaint alleges violations of the federal False Claims Act and the False Claims Act of 14 states and the District of Columbia. On February 3, 2022, the Company filed a Motion to Dismiss all claims. On August 29, 2022, the Court entered an order granting the Motion to Dismiss and declining to exercise supplemental jurisdiction over the state law claims. Should the Plaintiff seek an appeal, the Company will vigorously defend the lawsuit.</w:t>
      </w:r>
    </w:p>
    <w:p>
      <w:pPr>
        <w:spacing w:after="0" w:line="114" w:lineRule="exact"/>
        <w:rPr>
          <w:sz w:val="20"/>
          <w:szCs w:val="20"/>
          <w:color w:val="auto"/>
        </w:rPr>
      </w:pPr>
    </w:p>
    <w:p>
      <w:pPr>
        <w:jc w:val="both"/>
        <w:ind w:firstLine="280"/>
        <w:spacing w:after="0" w:line="244" w:lineRule="auto"/>
        <w:rPr>
          <w:sz w:val="20"/>
          <w:szCs w:val="20"/>
          <w:color w:val="auto"/>
        </w:rPr>
      </w:pPr>
      <w:r>
        <w:rPr>
          <w:rFonts w:ascii="Times New Roman" w:cs="Times New Roman" w:eastAsia="Times New Roman" w:hAnsi="Times New Roman"/>
          <w:sz w:val="18"/>
          <w:szCs w:val="18"/>
          <w:color w:val="auto"/>
        </w:rPr>
        <w:t xml:space="preserve">In addition, the Company has received various other subpoenas since 2007 related to Medicaid billing. In October 2009, the Company received a subpoena from the State of Michigan Department of Attorney General seeking documents related to its billing to Michigan Medicaid. The Company cooperated with this request.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Petition was pending under seal in the District Court, 250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Judicial District, Travis County, Texas, and that the State of Texas had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 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The Company will vigorously defend the lawsuit.</w:t>
      </w:r>
    </w:p>
    <w:p>
      <w:pPr>
        <w:spacing w:after="0" w:line="9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On August 31, 2015, the Company was served with a putative class action lawsuit, </w:t>
      </w:r>
      <w:r>
        <w:rPr>
          <w:rFonts w:ascii="Times New Roman" w:cs="Times New Roman" w:eastAsia="Times New Roman" w:hAnsi="Times New Roman"/>
          <w:sz w:val="18"/>
          <w:szCs w:val="18"/>
          <w:i w:val="1"/>
          <w:iCs w:val="1"/>
          <w:color w:val="auto"/>
        </w:rPr>
        <w:t>Patty Davis v. Laboratory Corporation of America, et al.</w:t>
      </w:r>
      <w:r>
        <w:rPr>
          <w:rFonts w:ascii="Times New Roman" w:cs="Times New Roman" w:eastAsia="Times New Roman" w:hAnsi="Times New Roman"/>
          <w:sz w:val="18"/>
          <w:szCs w:val="18"/>
          <w:color w:val="auto"/>
        </w:rPr>
        <w:t>,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 October 16, 2019, the Florida Second District Court of Appeal reversed the Circuit Court’s dismissal, but certified a controlling issue of Florida law to the Florida Supreme Court. On February 17, 2020, the Florida Supreme Court accepted jurisdiction of the lawsuit. The Court held oral arguments on December 9, 2020. On May 26, 2022, the Florida Supreme Court issued an opinion approving the result of the Florida Second District Court of Appeal in favor of the Plaintiff. The Company will vigorously defend the lawsuit.</w:t>
      </w:r>
    </w:p>
    <w:p>
      <w:pPr>
        <w:spacing w:after="0" w:line="93"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 xml:space="preserve">In December 2014, the Company received a Civil Investigative Demand issued pursuant to the U.S. False Claims Act from the U.S. Attorney's Office for South Carolina, which requested information regarding alleged remuneration and services provided by the Company to physicians who also received draw and processing/handling fees from competitor laboratories Health Diagnostic Laboratory, Inc. (HDL) and Singulex, Inc. (Singulex). The Company cooperated with the request. On April 4, 2018, the U.S. District Court for the District of South Carolina, Beaufort Division, unsealed a False Claims Act lawsuit, </w:t>
      </w:r>
      <w:r>
        <w:rPr>
          <w:rFonts w:ascii="Times New Roman" w:cs="Times New Roman" w:eastAsia="Times New Roman" w:hAnsi="Times New Roman"/>
          <w:sz w:val="18"/>
          <w:szCs w:val="18"/>
          <w:i w:val="1"/>
          <w:iCs w:val="1"/>
          <w:color w:val="auto"/>
        </w:rPr>
        <w:t>United States of America ex rel. Scarlett Lutz, et al. v. Laboratory Corporation of America Holdings</w:t>
      </w:r>
      <w:r>
        <w:rPr>
          <w:rFonts w:ascii="Times New Roman" w:cs="Times New Roman" w:eastAsia="Times New Roman" w:hAnsi="Times New Roman"/>
          <w:sz w:val="18"/>
          <w:szCs w:val="18"/>
          <w:color w:val="auto"/>
        </w:rPr>
        <w:t>, which alleges that the Company's financial relationships with referring physicians violate federal and state anti-kickback statutes. The Plaintiffs' Fourth Amended Complaint further alleges that the Company conspired with HDL and Singulex in violation of the Federal False Claims Act and the California and Illinois insurance fraud prevention acts by facilitating HDL's and Singulex's offers of illegal inducements to physicians and the referral of patients to HDL and Singulex for laboratory testing. The lawsuit seeks actual and treble damages and civil penalties for each alleged false claim, as well as recovery of costs, attorney's fees, and legal expenses. Neither the U.S. government nor any state government has intervened in the lawsuit. The Company filed a Motion to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Dismiss seeking the dismissal of the claims asserted under the California and Illinois insurance fraud prevention statutes, the conspiracy claim, the reverse False Claims Act claim, and all claims based on the theory that the Company performed medically unnecessary testing. On January 16, 2019, the Court entered an order granting in part and denying in part the Motion to Dismiss. The Court dismissed the Plaintiffs' claims based on the theory that the Company performed medically unnecessary testing, the claims asserted under the California and Illinois insurance fraud prevention statutes, and the reverse False Claims Act claim. The Court denied the Motion to Dismiss as to the conspiracy claim. On March 12, 2021, the Company filed a Motion for Summary Judgment related to all remaining claims. On June 16, 2021, the Court denied the Company’s Motion for Summary Judgment. The lawsuit is scheduled for trial beginning January 9, 2023. The Company will vigorously defend the lawsuit.</w:t>
      </w:r>
    </w:p>
    <w:p>
      <w:pPr>
        <w:spacing w:after="0" w:line="10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7"/>
          <w:szCs w:val="17"/>
          <w:color w:val="auto"/>
        </w:rPr>
        <w:t xml:space="preserve">On March 10, 2017, the Company was served with a putative class action lawsuit, </w:t>
      </w:r>
      <w:r>
        <w:rPr>
          <w:rFonts w:ascii="Times New Roman" w:cs="Times New Roman" w:eastAsia="Times New Roman" w:hAnsi="Times New Roman"/>
          <w:sz w:val="17"/>
          <w:szCs w:val="17"/>
          <w:i w:val="1"/>
          <w:iCs w:val="1"/>
          <w:color w:val="auto"/>
        </w:rPr>
        <w:t>Victoria Bouffard, et al. v. Laboratory Corporation of America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Holdings</w:t>
      </w:r>
      <w:r>
        <w:rPr>
          <w:rFonts w:ascii="Times New Roman" w:cs="Times New Roman" w:eastAsia="Times New Roman" w:hAnsi="Times New Roman"/>
          <w:sz w:val="17"/>
          <w:szCs w:val="17"/>
          <w:color w:val="auto"/>
        </w:rPr>
        <w:t>, filed in the U.S. District Court for the Middle District of North Carolina. The complaint alleges that the Company's patient list prices unlawfully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exceed the rates negotiated for the same services with private and public health insurers in violation of various state consumer protection laws. The lawsuit also alleges breach of implied contract or quasi-contract, unjust enrichment, and fraud. The lawsuit seeks statutory, exemplary, and punitive damages, injunctive relief, and recovery of attorney's fees and costs. In May 2017, the Company filed a Motion to Dismiss Plaintiffs' Complaint and Strike Class Allegations; the Motion to Dismiss was granted in March 2018 without prejudice. On October 10, 2017, a second putative class action lawsuit, </w:t>
      </w:r>
      <w:r>
        <w:rPr>
          <w:rFonts w:ascii="Times New Roman" w:cs="Times New Roman" w:eastAsia="Times New Roman" w:hAnsi="Times New Roman"/>
          <w:sz w:val="17"/>
          <w:szCs w:val="17"/>
          <w:i w:val="1"/>
          <w:iCs w:val="1"/>
          <w:color w:val="auto"/>
        </w:rPr>
        <w:t>Sheryl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Anderson, et al. v. Laboratory Corporation of America Holdings</w:t>
      </w:r>
      <w:r>
        <w:rPr>
          <w:rFonts w:ascii="Times New Roman" w:cs="Times New Roman" w:eastAsia="Times New Roman" w:hAnsi="Times New Roman"/>
          <w:sz w:val="17"/>
          <w:szCs w:val="17"/>
          <w:color w:val="auto"/>
        </w:rPr>
        <w:t>, was filed in the U.S. District Court for the Middle District of North Carolina. The complaint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contained similar allegations and sought similar relief to the </w:t>
      </w:r>
      <w:r>
        <w:rPr>
          <w:rFonts w:ascii="Times New Roman" w:cs="Times New Roman" w:eastAsia="Times New Roman" w:hAnsi="Times New Roman"/>
          <w:sz w:val="17"/>
          <w:szCs w:val="17"/>
          <w:i w:val="1"/>
          <w:iCs w:val="1"/>
          <w:color w:val="auto"/>
        </w:rPr>
        <w:t>Bouffard</w:t>
      </w:r>
      <w:r>
        <w:rPr>
          <w:rFonts w:ascii="Times New Roman" w:cs="Times New Roman" w:eastAsia="Times New Roman" w:hAnsi="Times New Roman"/>
          <w:sz w:val="17"/>
          <w:szCs w:val="17"/>
          <w:color w:val="auto"/>
        </w:rPr>
        <w:t xml:space="preserve"> complaint, and added additional counts regarding state consumer protection laws. On August 10, 2018, the Plaintiffs filed an Amended Complaint, which consolidated the </w:t>
      </w:r>
      <w:r>
        <w:rPr>
          <w:rFonts w:ascii="Times New Roman" w:cs="Times New Roman" w:eastAsia="Times New Roman" w:hAnsi="Times New Roman"/>
          <w:sz w:val="17"/>
          <w:szCs w:val="17"/>
          <w:i w:val="1"/>
          <w:iCs w:val="1"/>
          <w:color w:val="auto"/>
        </w:rPr>
        <w:t>Bouffard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Anderson</w:t>
      </w:r>
      <w:r>
        <w:rPr>
          <w:rFonts w:ascii="Times New Roman" w:cs="Times New Roman" w:eastAsia="Times New Roman" w:hAnsi="Times New Roman"/>
          <w:sz w:val="17"/>
          <w:szCs w:val="17"/>
          <w:color w:val="auto"/>
        </w:rPr>
        <w:t xml:space="preserve"> actions. On September 10, 2018, the Company filed a Motion to Dismiss Plaintiffs' Amended Complaint and Strike Class Allegations. On August 16, 2019, the Court entered an order granting in part and denying in part the Motion to Dismiss the Amended Complaint, and denying the Motion to Strike the Class Allegations. On August 26, 2021, Plaintiffs filed a Motion for Class Certification. On December 29, 2021, a related lawsuit, </w:t>
      </w:r>
      <w:r>
        <w:rPr>
          <w:rFonts w:ascii="Times New Roman" w:cs="Times New Roman" w:eastAsia="Times New Roman" w:hAnsi="Times New Roman"/>
          <w:sz w:val="17"/>
          <w:szCs w:val="17"/>
          <w:i w:val="1"/>
          <w:iCs w:val="1"/>
          <w:color w:val="auto"/>
        </w:rPr>
        <w:t>Nathaniel J. Nolan, et al. v. Laboratory Corporation of America Holdings</w:t>
      </w:r>
      <w:r>
        <w:rPr>
          <w:rFonts w:ascii="Times New Roman" w:cs="Times New Roman" w:eastAsia="Times New Roman" w:hAnsi="Times New Roman"/>
          <w:sz w:val="17"/>
          <w:szCs w:val="17"/>
          <w:color w:val="auto"/>
        </w:rPr>
        <w:t>, was filed in the U.S. District Court for the Middle District of North Carolina. The complaint alleges that the Company's patient acknowledgement of estimated financial responsibility form is misleading. The lawsuit seeks a declaratory judgement under the consumer protection laws of Nevada and Florida that the form is materially misleading and deceptive, an injunction barring the use of the form, damages on behalf of an alleged class, and attorney's fees and expenses. On February 28, 2022, the Company filed a Motion to Dismiss all claims. The Company will vigorously defend the lawsuits.</w:t>
      </w:r>
    </w:p>
    <w:p>
      <w:pPr>
        <w:spacing w:after="0" w:line="93"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is cooperating with the DOJ.</w:t>
      </w:r>
    </w:p>
    <w:p>
      <w:pPr>
        <w:spacing w:after="0" w:line="84" w:lineRule="exact"/>
        <w:rPr>
          <w:sz w:val="20"/>
          <w:szCs w:val="20"/>
          <w:color w:val="auto"/>
        </w:rPr>
      </w:pPr>
    </w:p>
    <w:p>
      <w:pPr>
        <w:jc w:val="both"/>
        <w:ind w:firstLine="280"/>
        <w:spacing w:after="0" w:line="249" w:lineRule="auto"/>
        <w:rPr>
          <w:sz w:val="20"/>
          <w:szCs w:val="20"/>
          <w:color w:val="auto"/>
        </w:rPr>
      </w:pPr>
      <w:r>
        <w:rPr>
          <w:rFonts w:ascii="Times New Roman" w:cs="Times New Roman" w:eastAsia="Times New Roman" w:hAnsi="Times New Roman"/>
          <w:sz w:val="18"/>
          <w:szCs w:val="18"/>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11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Twenty-three putative class action lawsuits were filed against the Company related to the AMCA Incident in various U.S. District Courts. Numerous similar lawsuits have been filed against other health care providers who used AMCA. These lawsuits were consolidated into a multidistrict litigation in the District of New Jersey. On November 15, 2019, the Plaintiffs filed a Consolidated Class Action Complaint in the U.S. District Court of New Jersey. On January 22, 2020, the Company filed Motions to Dismiss all claims. The consolidated Complaint generally alleged that the Company did not adequately protect its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December 16, 2021, the Court granted in part and denied in part the Company's Motion to Dismiss. On March 31, 2022, the Plaintiffs filed an Amended Complaint alleging claims for negligence, negligence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breach of confidence, invasion of privacy, and various state statutory claims, including a claim under the California Confidentiality of Medical Information Act. The Company filed a Motion to Dismiss certain claims of the Amended Complaint. The Company will vigorously defend the remaining claims in the multi-district litigation.</w:t>
      </w:r>
    </w:p>
    <w:p>
      <w:pPr>
        <w:spacing w:after="0" w:line="10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The Company was served with a shareholder derivative lawsuit, </w:t>
      </w:r>
      <w:r>
        <w:rPr>
          <w:rFonts w:ascii="Times New Roman" w:cs="Times New Roman" w:eastAsia="Times New Roman" w:hAnsi="Times New Roman"/>
          <w:sz w:val="18"/>
          <w:szCs w:val="18"/>
          <w:i w:val="1"/>
          <w:iCs w:val="1"/>
          <w:color w:val="auto"/>
        </w:rPr>
        <w:t>Raymond Eugenio, Derivatively on Behalf of Nominal Defendant, Laboratory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of America Holdings v. Lance Berberian, et al.</w:t>
      </w:r>
      <w:r>
        <w:rPr>
          <w:rFonts w:ascii="Times New Roman" w:cs="Times New Roman" w:eastAsia="Times New Roman" w:hAnsi="Times New Roman"/>
          <w:sz w:val="18"/>
          <w:szCs w:val="18"/>
          <w:color w:val="auto"/>
        </w:rPr>
        <w:t>, filed in the Court of Chancery of the State of Delaware on April 23, 2020. The complaint asserts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lawsuit will be vigorously defended.</w:t>
      </w:r>
    </w:p>
    <w:p>
      <w:pPr>
        <w:spacing w:after="0" w:line="96"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Certain governmental entities have requested information from the Company related to the AMCA Incident. The Company received a request for information from the Office for Civil Rights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84" w:lineRule="exact"/>
        <w:rPr>
          <w:sz w:val="20"/>
          <w:szCs w:val="20"/>
          <w:color w:val="auto"/>
        </w:rPr>
      </w:pPr>
    </w:p>
    <w:p>
      <w:pPr>
        <w:jc w:val="both"/>
        <w:ind w:firstLine="280"/>
        <w:spacing w:after="0" w:line="251" w:lineRule="auto"/>
        <w:rPr>
          <w:sz w:val="20"/>
          <w:szCs w:val="20"/>
          <w:color w:val="auto"/>
        </w:rPr>
      </w:pPr>
      <w:r>
        <w:rPr>
          <w:rFonts w:ascii="Times New Roman" w:cs="Times New Roman" w:eastAsia="Times New Roman" w:hAnsi="Times New Roman"/>
          <w:sz w:val="18"/>
          <w:szCs w:val="18"/>
          <w:color w:val="auto"/>
        </w:rPr>
        <w:t xml:space="preserve">On January 31, 2020, the Company was served with a putative class action lawsuit, </w:t>
      </w:r>
      <w:r>
        <w:rPr>
          <w:rFonts w:ascii="Times New Roman" w:cs="Times New Roman" w:eastAsia="Times New Roman" w:hAnsi="Times New Roman"/>
          <w:sz w:val="18"/>
          <w:szCs w:val="18"/>
          <w:i w:val="1"/>
          <w:iCs w:val="1"/>
          <w:color w:val="auto"/>
        </w:rPr>
        <w:t>Luke Davis and Julian Vargas, et al.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Holdings</w:t>
      </w:r>
      <w:r>
        <w:rPr>
          <w:rFonts w:ascii="Times New Roman" w:cs="Times New Roman" w:eastAsia="Times New Roman" w:hAnsi="Times New Roman"/>
          <w:sz w:val="18"/>
          <w:szCs w:val="18"/>
          <w:color w:val="auto"/>
        </w:rPr>
        <w:t>, filed in the U.S. District Court for the Central District of California. The lawsuit alleges that visually impaired patients are unable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Ninth Circuit Court of Appeals. On September 22, 2022, the Ninth Circuit Court of Appeals granted the Company's Petition for Permission to Appeal the Order Granting Class Certification. The Company will vigorously defend the lawsuit.</w:t>
      </w:r>
    </w:p>
    <w:p>
      <w:pPr>
        <w:spacing w:after="0" w:line="10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On October 16, 2020, Ravgen Inc. filed a patent infringement lawsuit, </w:t>
      </w:r>
      <w:r>
        <w:rPr>
          <w:rFonts w:ascii="Times New Roman" w:cs="Times New Roman" w:eastAsia="Times New Roman" w:hAnsi="Times New Roman"/>
          <w:sz w:val="18"/>
          <w:szCs w:val="18"/>
          <w:i w:val="1"/>
          <w:iCs w:val="1"/>
          <w:color w:val="auto"/>
        </w:rPr>
        <w:t>Ravgen Inc. v. Laboratory Corporation of America Holdings</w:t>
      </w:r>
      <w:r>
        <w:rPr>
          <w:rFonts w:ascii="Times New Roman" w:cs="Times New Roman" w:eastAsia="Times New Roman" w:hAnsi="Times New Roman"/>
          <w:sz w:val="18"/>
          <w:szCs w:val="18"/>
          <w:color w:val="auto"/>
        </w:rPr>
        <w:t>, in the U.S. District Court for the Western District of Texas, alleging infringement of two Ravgen-owned U.S. patents. The lawsuit seeks monetary damages, enhancement of those damages for willfulness, and recovery of attorney’s fees and costs. On September 28, 2022, a jury rendered a verdict in favor of the Plaintiff on the remaining patent at issue, finding that the Company willfully infringed Ravgen's patent, and awarded damages of $272 million. Plaintiff has filed post-trial motions seeking enhanced damages of up to $817 million based on the finding of willfulness, as well as attorney's fees and costs. The Company strongly disagrees with the verdict, based on a number of legal factors, and will vigorously defend the lawsuit through the appeal process. The Company has also instituted proceedings before the Patent Trial and Appeal Board of the U.S. Patent and Trademark Office challenging the validity of the Ravgen patent at issue in the trial, with a decision on validity expected in November 2022.</w:t>
      </w:r>
    </w:p>
    <w:p>
      <w:pPr>
        <w:spacing w:after="0" w:line="9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On May 14, 2020, the Company was served with a putative class action lawsuit, </w:t>
      </w:r>
      <w:r>
        <w:rPr>
          <w:rFonts w:ascii="Times New Roman" w:cs="Times New Roman" w:eastAsia="Times New Roman" w:hAnsi="Times New Roman"/>
          <w:sz w:val="18"/>
          <w:szCs w:val="18"/>
          <w:i w:val="1"/>
          <w:iCs w:val="1"/>
          <w:color w:val="auto"/>
        </w:rPr>
        <w:t>Jose Bermejo v. Laboratory Corporation of America (Bermejo I)</w:t>
      </w:r>
      <w:r>
        <w:rPr>
          <w:rFonts w:ascii="Times New Roman" w:cs="Times New Roman" w:eastAsia="Times New Roman" w:hAnsi="Times New Roman"/>
          <w:sz w:val="18"/>
          <w:szCs w:val="18"/>
          <w:color w:val="auto"/>
        </w:rPr>
        <w:t xml:space="preserve"> filed in the Superior Court of California, County of Los Angeles Central District, alleging that certain non-exempt California-based employees were not properly compensated for driving time or properly paid wages upon termination of employment. The Plaintiff asserts these actions violate various California Labor Code provisions and Section 17200 of the Business and Professional Code. The lawsuit seeks monetary damages, civil penalties, and recovery of attorney’s fees and costs. On June 15, 2020, the lawsuit was removed to the U.S. District Court for the Central District of California. On June 16, 2020, the Company was served with a Private Attorney General Act lawsuit by the same plaintiff in </w:t>
      </w:r>
      <w:r>
        <w:rPr>
          <w:rFonts w:ascii="Times New Roman" w:cs="Times New Roman" w:eastAsia="Times New Roman" w:hAnsi="Times New Roman"/>
          <w:sz w:val="18"/>
          <w:szCs w:val="18"/>
          <w:i w:val="1"/>
          <w:iCs w:val="1"/>
          <w:color w:val="auto"/>
        </w:rPr>
        <w:t>Jose Bermejo v. Laboratory Corporation of America (Bermejo II),</w:t>
      </w:r>
      <w:r>
        <w:rPr>
          <w:rFonts w:ascii="Times New Roman" w:cs="Times New Roman" w:eastAsia="Times New Roman" w:hAnsi="Times New Roman"/>
          <w:sz w:val="18"/>
          <w:szCs w:val="18"/>
          <w:color w:val="auto"/>
        </w:rPr>
        <w:t xml:space="preserve"> filed in the Superior Court of California, County of Los Angeles Central District, alleging that certain Company practices violated California Labor Code penalty provisions related to unpaid and minimum wages, unpaid overtime, unpaid meal and rest break premiums, untimely payment of wages following separation of employment,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4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failure to maintain accurate pay records, and non-reimbursement of business expenses. The second lawsuit seeks to recover civil penalties and recovery of attorney's fees and costs. On October 28, 2020, the court issued an order staying proceedings in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pending resolution of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The second lawsuit seeks to recover civil penalties and recovery of attorney's fees and costs. On February 24, 2022, the parties entered into a Memorandum of Understanding of the terms of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subject to court approval. If approved, the settlement will also resolve the </w:t>
      </w:r>
      <w:r>
        <w:rPr>
          <w:rFonts w:ascii="Times New Roman" w:cs="Times New Roman" w:eastAsia="Times New Roman" w:hAnsi="Times New Roman"/>
          <w:sz w:val="18"/>
          <w:szCs w:val="18"/>
          <w:i w:val="1"/>
          <w:iCs w:val="1"/>
          <w:color w:val="auto"/>
        </w:rPr>
        <w:t>Becker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Poole</w:t>
      </w:r>
      <w:r>
        <w:rPr>
          <w:rFonts w:ascii="Times New Roman" w:cs="Times New Roman" w:eastAsia="Times New Roman" w:hAnsi="Times New Roman"/>
          <w:sz w:val="18"/>
          <w:szCs w:val="18"/>
          <w:color w:val="auto"/>
        </w:rPr>
        <w:t xml:space="preserve"> lawsuits discussed below.</w:t>
      </w:r>
    </w:p>
    <w:p>
      <w:pPr>
        <w:spacing w:after="0" w:line="89"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 xml:space="preserve">On June 14, 2021, a single plaintiff filed a Private Attorney General Act lawsuit, </w:t>
      </w:r>
      <w:r>
        <w:rPr>
          <w:rFonts w:ascii="Times New Roman" w:cs="Times New Roman" w:eastAsia="Times New Roman" w:hAnsi="Times New Roman"/>
          <w:sz w:val="18"/>
          <w:szCs w:val="18"/>
          <w:i w:val="1"/>
          <w:iCs w:val="1"/>
          <w:color w:val="auto"/>
        </w:rPr>
        <w:t>Becker v. Laboratory Corporation of America,</w:t>
      </w:r>
      <w:r>
        <w:rPr>
          <w:rFonts w:ascii="Times New Roman" w:cs="Times New Roman" w:eastAsia="Times New Roman" w:hAnsi="Times New Roman"/>
          <w:sz w:val="18"/>
          <w:szCs w:val="18"/>
          <w:color w:val="auto"/>
        </w:rPr>
        <w:t xml:space="preserve"> in the Superior Court of California, County of Orange, alleging various violations of the California Labor Code, including that the Plaintiff was not properly compensated for work and overtime hours, not properly paid meal and rest break premiums, not reimbursed for certain business-related expenses, and received inaccurate wage statements. The lawsuit seeks monetary damages, civil penalties, and recovery of attorney’s fees and costs.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if approved by the court, will resolve the </w:t>
      </w:r>
      <w:r>
        <w:rPr>
          <w:rFonts w:ascii="Times New Roman" w:cs="Times New Roman" w:eastAsia="Times New Roman" w:hAnsi="Times New Roman"/>
          <w:sz w:val="18"/>
          <w:szCs w:val="18"/>
          <w:i w:val="1"/>
          <w:iCs w:val="1"/>
          <w:color w:val="auto"/>
        </w:rPr>
        <w:t>Becker</w:t>
      </w:r>
      <w:r>
        <w:rPr>
          <w:rFonts w:ascii="Times New Roman" w:cs="Times New Roman" w:eastAsia="Times New Roman" w:hAnsi="Times New Roman"/>
          <w:sz w:val="18"/>
          <w:szCs w:val="18"/>
          <w:color w:val="auto"/>
        </w:rPr>
        <w:t xml:space="preserve"> lawsuit.</w:t>
      </w:r>
    </w:p>
    <w:p>
      <w:pPr>
        <w:spacing w:after="0" w:line="100"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 xml:space="preserve">On November 23, 2021, the Company was served with a single plaintiff Private Attorney General Act lawsuit, </w:t>
      </w:r>
      <w:r>
        <w:rPr>
          <w:rFonts w:ascii="Times New Roman" w:cs="Times New Roman" w:eastAsia="Times New Roman" w:hAnsi="Times New Roman"/>
          <w:sz w:val="18"/>
          <w:szCs w:val="18"/>
          <w:i w:val="1"/>
          <w:iCs w:val="1"/>
          <w:color w:val="auto"/>
        </w:rPr>
        <w:t>Poole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w:t>
      </w:r>
      <w:r>
        <w:rPr>
          <w:rFonts w:ascii="Times New Roman" w:cs="Times New Roman" w:eastAsia="Times New Roman" w:hAnsi="Times New Roman"/>
          <w:sz w:val="18"/>
          <w:szCs w:val="18"/>
          <w:color w:val="auto"/>
        </w:rPr>
        <w:t>, filed in the Superior Court of California, County of Kern, alleging various violations of the California Labor Code, including that Plaintiff was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properly paid wages owed, not properly paid meal and rest break premiums, not reimbursed for certain business related expenses, and other allegations including the untimely payment of wages and receipt of inaccurate wage statements. The lawsuit seeks monetary damages, civil penalties, and recovery of attorney's fees and costs. The case was removed to the U.S. District Court for the Eastern District of California.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w:t>
      </w:r>
      <w:r>
        <w:rPr>
          <w:rFonts w:ascii="Times New Roman" w:cs="Times New Roman" w:eastAsia="Times New Roman" w:hAnsi="Times New Roman"/>
          <w:sz w:val="18"/>
          <w:szCs w:val="18"/>
          <w:color w:val="auto"/>
        </w:rPr>
        <w:t xml:space="preserve"> II lawsuits, if approved by the court, will resolve the </w:t>
      </w:r>
      <w:r>
        <w:rPr>
          <w:rFonts w:ascii="Times New Roman" w:cs="Times New Roman" w:eastAsia="Times New Roman" w:hAnsi="Times New Roman"/>
          <w:sz w:val="18"/>
          <w:szCs w:val="18"/>
          <w:i w:val="1"/>
          <w:iCs w:val="1"/>
          <w:color w:val="auto"/>
        </w:rPr>
        <w:t>Poole</w:t>
      </w:r>
      <w:r>
        <w:rPr>
          <w:rFonts w:ascii="Times New Roman" w:cs="Times New Roman" w:eastAsia="Times New Roman" w:hAnsi="Times New Roman"/>
          <w:sz w:val="18"/>
          <w:szCs w:val="18"/>
          <w:color w:val="auto"/>
        </w:rPr>
        <w:t xml:space="preserve"> lawsuit.</w:t>
      </w:r>
    </w:p>
    <w:p>
      <w:pPr>
        <w:spacing w:after="0" w:line="92"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On August 14, 2020, the Company was served with a Subpoena Duces Tecum issued by the State of Colorado Office of the Attorney General requiring the production of documents related to urine drug testing in all states. The Company is cooperating with this request.</w:t>
      </w:r>
    </w:p>
    <w:p>
      <w:pPr>
        <w:spacing w:after="0" w:line="6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On October 5, 2020, the Company was served with a putative class action lawsuit, </w:t>
      </w:r>
      <w:r>
        <w:rPr>
          <w:rFonts w:ascii="Times New Roman" w:cs="Times New Roman" w:eastAsia="Times New Roman" w:hAnsi="Times New Roman"/>
          <w:sz w:val="18"/>
          <w:szCs w:val="18"/>
          <w:i w:val="1"/>
          <w:iCs w:val="1"/>
          <w:color w:val="auto"/>
        </w:rPr>
        <w:t>Williams v. LabCorp Employer Services, Inc. et al.</w:t>
      </w:r>
      <w:r>
        <w:rPr>
          <w:rFonts w:ascii="Times New Roman" w:cs="Times New Roman" w:eastAsia="Times New Roman" w:hAnsi="Times New Roman"/>
          <w:sz w:val="18"/>
          <w:szCs w:val="18"/>
          <w:color w:val="auto"/>
        </w:rPr>
        <w:t>, filed in the Superior Court of California, County of Los Angeles, alleging that certain non-exempt California-based employees were not properly compensated for work and overtime hours, not properly paid meal and rest break premiums, not reimbursed for certain business-related expenses, not properly paid for driving or wait times, and received inaccurate wage statements. The Plaintiff also asserts claims for unfair competition under Section 17200 of the Business and Professional Code. On November 4, 2020, the lawsuit was removed to the U.S. District Court for the Central District of California. The lawsuit seeks monetary damages, liquidated damages, civil penalties, and recovery of attorney's fees and costs. On June 24, 2021, the District Court remanded the case to the Superior Court of California, County of Los Angeles on the grounds that potential damages did not meet the Class Action Fairness Act (CAFA), 28 U.S.C. § 1332(d), jurisdictional threshold. The parties entered into a settlement agreement dated September 9, 2022, which is pending court approval.</w:t>
      </w:r>
    </w:p>
    <w:p>
      <w:pPr>
        <w:spacing w:after="0" w:line="109"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On February 7, 2022, the Company was served with a Subpoena Duces Tecum issued by the DOJ in Camden, New Jersey requiring the production of documents related to non-invasive prenatal screening tests. The Company is cooperating with the DOJ.</w:t>
      </w:r>
    </w:p>
    <w:p>
      <w:pPr>
        <w:spacing w:after="0" w:line="70"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On June 27, 2022, the Company was served with a Subpoena Duces Tecum issued by the DOJ in Boston, Massachusetts requiring the production of documents related to urine drug testing. The Company is cooperating with the DOJ.</w:t>
      </w:r>
    </w:p>
    <w:p>
      <w:pPr>
        <w:spacing w:after="0" w:line="70"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There are various other pending legal proceedings involving the Company including, but not limited to, additional employment-related lawsuits, professional liability lawsuits, and intellectual property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100"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18" w:lineRule="exact"/>
        <w:rPr>
          <w:sz w:val="20"/>
          <w:szCs w:val="20"/>
          <w:color w:val="auto"/>
        </w:rPr>
      </w:pPr>
    </w:p>
    <w:p>
      <w:pPr>
        <w:ind w:left="360" w:hanging="353"/>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42" w:lineRule="exact"/>
        <w:rPr>
          <w:sz w:val="20"/>
          <w:szCs w:val="20"/>
          <w:color w:val="auto"/>
        </w:rPr>
      </w:pPr>
    </w:p>
    <w:p>
      <w:pPr>
        <w:jc w:val="both"/>
        <w:ind w:firstLine="280"/>
        <w:spacing w:after="0" w:line="276" w:lineRule="auto"/>
        <w:rPr>
          <w:sz w:val="20"/>
          <w:szCs w:val="20"/>
          <w:color w:val="auto"/>
        </w:rPr>
      </w:pPr>
      <w:r>
        <w:rPr>
          <w:rFonts w:ascii="Times New Roman" w:cs="Times New Roman" w:eastAsia="Times New Roman" w:hAnsi="Times New Roman"/>
          <w:sz w:val="18"/>
          <w:szCs w:val="18"/>
          <w:color w:val="auto"/>
        </w:rPr>
        <w:t>The Company’s population of financial assets and liabilities subject to fair value measurements as of September 30, 2022, and December 31, 2021,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00" w:type="dxa"/>
            <w:vAlign w:val="bottom"/>
            <w:gridSpan w:val="13"/>
          </w:tcPr>
          <w:p>
            <w:pPr>
              <w:jc w:val="center"/>
              <w:ind w:right="340"/>
              <w:spacing w:after="0"/>
              <w:rPr>
                <w:sz w:val="20"/>
                <w:szCs w:val="20"/>
                <w:color w:val="auto"/>
              </w:rPr>
            </w:pPr>
            <w:r>
              <w:rPr>
                <w:rFonts w:ascii="Times New Roman" w:cs="Times New Roman" w:eastAsia="Times New Roman" w:hAnsi="Times New Roman"/>
                <w:sz w:val="18"/>
                <w:szCs w:val="18"/>
                <w:color w:val="auto"/>
                <w:w w:val="97"/>
              </w:rPr>
              <w:t>Fair Value Measurements as of</w:t>
            </w:r>
          </w:p>
        </w:tc>
      </w:tr>
      <w:tr>
        <w:trPr>
          <w:trHeight w:val="227"/>
        </w:trPr>
        <w:tc>
          <w:tcPr>
            <w:tcW w:w="4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w w:val="98"/>
              </w:rPr>
              <w:t>September 30, 2022</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Balance Sheet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Fair Value as of</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13"/>
          </w:tcPr>
          <w:p>
            <w:pPr>
              <w:jc w:val="center"/>
              <w:ind w:right="340"/>
              <w:spacing w:after="0"/>
              <w:rPr>
                <w:sz w:val="20"/>
                <w:szCs w:val="20"/>
                <w:color w:val="auto"/>
              </w:rPr>
            </w:pPr>
            <w:r>
              <w:rPr>
                <w:rFonts w:ascii="Times New Roman" w:cs="Times New Roman" w:eastAsia="Times New Roman" w:hAnsi="Times New Roman"/>
                <w:sz w:val="18"/>
                <w:szCs w:val="18"/>
                <w:color w:val="auto"/>
                <w:w w:val="97"/>
              </w:rPr>
              <w:t>Using Fair Value Hierarchy</w:t>
            </w:r>
          </w:p>
        </w:tc>
      </w:tr>
      <w:tr>
        <w:trPr>
          <w:trHeight w:val="233"/>
        </w:trPr>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Classification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September 30, 2022</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99"/>
              </w:rPr>
              <w:t>Level 1</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7"/>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89"/>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13"/>
          </w:tcPr>
          <w:p>
            <w:pPr>
              <w:jc w:val="center"/>
              <w:ind w:right="220"/>
              <w:spacing w:after="0"/>
              <w:rPr>
                <w:sz w:val="20"/>
                <w:szCs w:val="20"/>
                <w:color w:val="auto"/>
              </w:rPr>
            </w:pPr>
            <w:r>
              <w:rPr>
                <w:rFonts w:ascii="Times New Roman" w:cs="Times New Roman" w:eastAsia="Times New Roman" w:hAnsi="Times New Roman"/>
                <w:sz w:val="18"/>
                <w:szCs w:val="18"/>
                <w:color w:val="auto"/>
                <w:w w:val="97"/>
              </w:rPr>
              <w:t>Fair Value Measurements as of</w:t>
            </w:r>
          </w:p>
        </w:tc>
      </w:tr>
      <w:tr>
        <w:trPr>
          <w:trHeight w:val="227"/>
        </w:trPr>
        <w:tc>
          <w:tcPr>
            <w:tcW w:w="4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9"/>
          </w:tcPr>
          <w:p>
            <w:pPr>
              <w:jc w:val="center"/>
              <w:ind w:left="111"/>
              <w:spacing w:after="0"/>
              <w:rPr>
                <w:sz w:val="20"/>
                <w:szCs w:val="20"/>
                <w:color w:val="auto"/>
              </w:rPr>
            </w:pPr>
            <w:r>
              <w:rPr>
                <w:rFonts w:ascii="Times New Roman" w:cs="Times New Roman" w:eastAsia="Times New Roman" w:hAnsi="Times New Roman"/>
                <w:sz w:val="18"/>
                <w:szCs w:val="18"/>
                <w:color w:val="auto"/>
                <w:w w:val="97"/>
              </w:rPr>
              <w:t>December 31, 2021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Balance Sheet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Fair Value as of</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13"/>
          </w:tcPr>
          <w:p>
            <w:pPr>
              <w:jc w:val="center"/>
              <w:ind w:right="220"/>
              <w:spacing w:after="0"/>
              <w:rPr>
                <w:sz w:val="20"/>
                <w:szCs w:val="20"/>
                <w:color w:val="auto"/>
              </w:rPr>
            </w:pPr>
            <w:r>
              <w:rPr>
                <w:rFonts w:ascii="Times New Roman" w:cs="Times New Roman" w:eastAsia="Times New Roman" w:hAnsi="Times New Roman"/>
                <w:sz w:val="18"/>
                <w:szCs w:val="18"/>
                <w:color w:val="auto"/>
                <w:w w:val="97"/>
              </w:rPr>
              <w:t>Using Fair Value Hierarchy</w:t>
            </w:r>
          </w:p>
        </w:tc>
      </w:tr>
      <w:tr>
        <w:trPr>
          <w:trHeight w:val="233"/>
        </w:trPr>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Classification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December 31, 2021</w:t>
            </w: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Level 1</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Level 3</w:t>
            </w:r>
          </w:p>
        </w:tc>
        <w:tc>
          <w:tcPr>
            <w:tcW w:w="60" w:type="dxa"/>
            <w:vAlign w:val="bottom"/>
          </w:tcPr>
          <w:p>
            <w:pPr>
              <w:spacing w:after="0"/>
              <w:rPr>
                <w:sz w:val="20"/>
                <w:szCs w:val="20"/>
                <w:color w:val="auto"/>
              </w:rPr>
            </w:pPr>
          </w:p>
        </w:tc>
      </w:tr>
      <w:tr>
        <w:trPr>
          <w:trHeight w:val="227"/>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0" w:type="dxa"/>
            <w:vAlign w:val="bottom"/>
          </w:tcPr>
          <w:p>
            <w:pPr>
              <w:spacing w:after="0"/>
              <w:rPr>
                <w:sz w:val="19"/>
                <w:szCs w:val="19"/>
                <w:color w:val="auto"/>
              </w:rPr>
            </w:pPr>
          </w:p>
        </w:tc>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liabilities, net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r>
      <w:tr>
        <w:trPr>
          <w:trHeight w:val="22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0" w:type="dxa"/>
            <w:vAlign w:val="bottom"/>
          </w:tcPr>
          <w:p>
            <w:pPr>
              <w:spacing w:after="0"/>
              <w:rPr>
                <w:sz w:val="19"/>
                <w:szCs w:val="19"/>
                <w:color w:val="auto"/>
              </w:rPr>
            </w:pPr>
          </w:p>
        </w:tc>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r>
      <w:tr>
        <w:trPr>
          <w:trHeight w:val="22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0" w:type="dxa"/>
            <w:vAlign w:val="bottom"/>
          </w:tcPr>
          <w:p>
            <w:pPr>
              <w:spacing w:after="0"/>
              <w:rPr>
                <w:sz w:val="19"/>
                <w:szCs w:val="19"/>
                <w:color w:val="auto"/>
              </w:rPr>
            </w:pPr>
          </w:p>
        </w:tc>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r>
      <w:tr>
        <w:trPr>
          <w:trHeight w:val="22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tcPr>
          <w:p>
            <w:pPr>
              <w:spacing w:after="0"/>
              <w:rPr>
                <w:sz w:val="19"/>
                <w:szCs w:val="19"/>
                <w:color w:val="auto"/>
              </w:rPr>
            </w:pPr>
          </w:p>
        </w:tc>
      </w:tr>
      <w:tr>
        <w:trPr>
          <w:trHeight w:val="406"/>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Measurement of Level 3 Liabilities</w:t>
            </w:r>
          </w:p>
        </w:tc>
        <w:tc>
          <w:tcPr>
            <w:tcW w:w="20" w:type="dxa"/>
            <w:vAlign w:val="bottom"/>
            <w:tcBorders>
              <w:bottom w:val="single" w:sz="8" w:color="CCEEFF"/>
            </w:tcBorders>
          </w:tcPr>
          <w:p>
            <w:pPr>
              <w:spacing w:after="0"/>
              <w:rPr>
                <w:sz w:val="24"/>
                <w:szCs w:val="24"/>
                <w:color w:val="auto"/>
              </w:rPr>
            </w:pPr>
          </w:p>
        </w:tc>
        <w:tc>
          <w:tcPr>
            <w:tcW w:w="2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1"/>
          </w:tcPr>
          <w:p>
            <w:pPr>
              <w:jc w:val="right"/>
              <w:ind w:right="300"/>
              <w:spacing w:after="0"/>
              <w:rPr>
                <w:sz w:val="20"/>
                <w:szCs w:val="20"/>
                <w:color w:val="auto"/>
              </w:rPr>
            </w:pPr>
            <w:r>
              <w:rPr>
                <w:rFonts w:ascii="Times New Roman" w:cs="Times New Roman" w:eastAsia="Times New Roman" w:hAnsi="Times New Roman"/>
                <w:sz w:val="18"/>
                <w:szCs w:val="18"/>
                <w:color w:val="auto"/>
                <w:w w:val="99"/>
              </w:rPr>
              <w:t>Contingent Consideration</w:t>
            </w:r>
          </w:p>
        </w:tc>
      </w:tr>
      <w:tr>
        <w:trPr>
          <w:trHeight w:val="22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shd w:val="clear" w:color="auto" w:fill="CCEEFF"/>
          </w:tcPr>
          <w:p>
            <w:pPr>
              <w:spacing w:after="0"/>
              <w:rPr>
                <w:sz w:val="19"/>
                <w:szCs w:val="19"/>
                <w:color w:val="auto"/>
              </w:rPr>
            </w:pP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r>
      <w:tr>
        <w:trPr>
          <w:trHeight w:val="22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27"/>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center"/>
              <w:ind w:left="391"/>
              <w:spacing w:after="0"/>
              <w:rPr>
                <w:sz w:val="20"/>
                <w:szCs w:val="20"/>
                <w:color w:val="auto"/>
              </w:rPr>
            </w:pPr>
            <w:r>
              <w:rPr>
                <w:rFonts w:ascii="Times New Roman" w:cs="Times New Roman" w:eastAsia="Times New Roman" w:hAnsi="Times New Roman"/>
                <w:sz w:val="18"/>
                <w:szCs w:val="18"/>
                <w:color w:val="auto"/>
              </w:rPr>
              <w:t>52.9</w:t>
            </w:r>
          </w:p>
        </w:tc>
        <w:tc>
          <w:tcPr>
            <w:tcW w:w="60" w:type="dxa"/>
            <w:vAlign w:val="bottom"/>
            <w:tcBorders>
              <w:bottom w:val="single" w:sz="8" w:color="auto"/>
            </w:tcBorders>
          </w:tcPr>
          <w:p>
            <w:pPr>
              <w:spacing w:after="0"/>
              <w:rPr>
                <w:sz w:val="19"/>
                <w:szCs w:val="19"/>
                <w:color w:val="auto"/>
              </w:rPr>
            </w:pPr>
          </w:p>
        </w:tc>
      </w:tr>
      <w:tr>
        <w:trPr>
          <w:trHeight w:val="24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rPr>
              <w:t>62.0</w:t>
            </w:r>
          </w:p>
        </w:tc>
        <w:tc>
          <w:tcPr>
            <w:tcW w:w="60" w:type="dxa"/>
            <w:vAlign w:val="bottom"/>
            <w:tcBorders>
              <w:bottom w:val="single" w:sz="8" w:color="auto"/>
            </w:tcBorders>
            <w:shd w:val="clear" w:color="auto" w:fill="CCEEFF"/>
          </w:tcPr>
          <w:p>
            <w:pPr>
              <w:spacing w:after="0"/>
              <w:rPr>
                <w:sz w:val="20"/>
                <w:szCs w:val="20"/>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280"/>
        <w:spacing w:after="0" w:line="276" w:lineRule="auto"/>
        <w:rPr>
          <w:sz w:val="20"/>
          <w:szCs w:val="20"/>
          <w:color w:val="auto"/>
        </w:rPr>
      </w:pPr>
      <w:r>
        <w:rPr>
          <w:rFonts w:ascii="Times New Roman" w:cs="Times New Roman" w:eastAsia="Times New Roman" w:hAnsi="Times New Roman"/>
          <w:sz w:val="18"/>
          <w:szCs w:val="18"/>
          <w:color w:val="auto"/>
        </w:rPr>
        <w:t>The Company has a noncontrolling interest put related to its Ontario subsidiary that has been classified as mezzanine equity in the Company’s condensed consolidated balance sheets. The noncontrolling interest put is valued at its contractually determined value, which approximates fair value.</w:t>
      </w:r>
    </w:p>
    <w:p>
      <w:pPr>
        <w:spacing w:after="0" w:line="84" w:lineRule="exact"/>
        <w:rPr>
          <w:sz w:val="20"/>
          <w:szCs w:val="20"/>
          <w:color w:val="auto"/>
        </w:rPr>
      </w:pPr>
    </w:p>
    <w:p>
      <w:pPr>
        <w:jc w:val="both"/>
        <w:ind w:firstLine="280"/>
        <w:spacing w:after="0" w:line="269" w:lineRule="auto"/>
        <w:rPr>
          <w:sz w:val="20"/>
          <w:szCs w:val="20"/>
          <w:color w:val="auto"/>
        </w:rPr>
      </w:pPr>
      <w:r>
        <w:rPr>
          <w:rFonts w:ascii="Times New Roman" w:cs="Times New Roman" w:eastAsia="Times New Roman" w:hAnsi="Times New Roman"/>
          <w:sz w:val="17"/>
          <w:szCs w:val="17"/>
          <w:color w:val="auto"/>
        </w:rPr>
        <w:t>The Company offers certain employees the opportunity to participate in an employee-funded deferred compensation plan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7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Contingent accrued earn-out business acquisition consideration liabilities are measured at fair value using Level 3 valuations.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104"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income taxes receivable, and accounts payable are considered to be representative of their respective fair values due to their short-term nature. The fair market value of the senior notes, based on market pricing, was approximately $4,921.2 and $5,841.1 as of September 30, 2022, and December 31,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40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respectively. The Company's note and debt instruments are classified as Level 2 instruments, as the fair market values of these instruments are determined using other observable inputs.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 Currency Swap</w:t>
      </w:r>
    </w:p>
    <w:p>
      <w:pPr>
        <w:spacing w:after="0" w:line="62" w:lineRule="exact"/>
        <w:rPr>
          <w:sz w:val="20"/>
          <w:szCs w:val="20"/>
          <w:color w:val="auto"/>
        </w:rPr>
      </w:pPr>
    </w:p>
    <w:p>
      <w:pPr>
        <w:jc w:val="both"/>
        <w:ind w:firstLine="160"/>
        <w:spacing w:after="0" w:line="250" w:lineRule="auto"/>
        <w:rPr>
          <w:sz w:val="20"/>
          <w:szCs w:val="20"/>
          <w:color w:val="auto"/>
        </w:rPr>
      </w:pPr>
      <w:r>
        <w:rPr>
          <w:rFonts w:ascii="Times New Roman" w:cs="Times New Roman" w:eastAsia="Times New Roman" w:hAnsi="Times New Roman"/>
          <w:sz w:val="18"/>
          <w:szCs w:val="18"/>
          <w:color w:val="auto"/>
        </w:rPr>
        <w:t>During the fourth quarter of 2018, the Company entered into U.S. Dollar (USD) to Swiss Franc cross-currency swap agreements with an aggregate notional value of $600.0. During the second quarter of 2022, the Company terminated $300.0 of those cross-currency swap agreements and entered into new USD to Swiss Franc cross-currency swap agreements with an aggregate notional value of $300.0 that mature in 2024. In May 2022, the Company reclassified a gain of $0.9 to the Consolidated Statement of Operations within other, net, due to the exit of $300.0 of the cross-currency swap agreements. These instruments are designated as a hedge against the impact of foreign exchange movements on its net investment in a Swiss subsidiary. These cross currency swaps are included in other long-term liabilities as appropriate with an aggregate fair value of $8.1 and $32.8 as of September 30, 2022 and December 31, 2021, respectively. Changes in the fair value of the cross-currency swaps are charged or credited through accumulated other comprehensive income in the Consolidated Balance Sheet until the hedged item is recognized in earnings. The cumulative amount of the fair value hedging adjustments are recognized as currency translation within the Consolidated Statement of Comprehensive Earnings.</w:t>
      </w:r>
    </w:p>
    <w:p>
      <w:pPr>
        <w:spacing w:after="0" w:line="217" w:lineRule="exact"/>
        <w:rPr>
          <w:sz w:val="20"/>
          <w:szCs w:val="20"/>
          <w:color w:val="auto"/>
        </w:rPr>
      </w:pPr>
    </w:p>
    <w:p>
      <w:pPr>
        <w:ind w:left="460" w:hanging="453"/>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480" w:type="dxa"/>
            <w:vAlign w:val="bottom"/>
            <w:tcBorders>
              <w:bottom w:val="single" w:sz="8" w:color="auto"/>
            </w:tcBorders>
          </w:tcPr>
          <w:p>
            <w:pPr>
              <w:spacing w:after="0"/>
              <w:rPr>
                <w:sz w:val="20"/>
                <w:szCs w:val="20"/>
                <w:color w:val="auto"/>
              </w:rPr>
            </w:pPr>
          </w:p>
        </w:tc>
      </w:tr>
      <w:tr>
        <w:trPr>
          <w:trHeight w:val="220"/>
        </w:trPr>
        <w:tc>
          <w:tcPr>
            <w:tcW w:w="77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19"/>
                <w:szCs w:val="19"/>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period for:</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14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9"/>
                <w:szCs w:val="19"/>
                <w:color w:val="auto"/>
              </w:rPr>
            </w:pPr>
          </w:p>
        </w:tc>
        <w:tc>
          <w:tcPr>
            <w:tcW w:w="1220" w:type="dxa"/>
            <w:vAlign w:val="bottom"/>
          </w:tcPr>
          <w:p>
            <w:pPr>
              <w:jc w:val="right"/>
              <w:ind w:right="10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169.0</w:t>
            </w: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789.9</w:t>
            </w: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 of non-cash financing and investing activities:</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200" w:lineRule="exact"/>
        <w:rPr>
          <w:sz w:val="20"/>
          <w:szCs w:val="20"/>
          <w:color w:val="auto"/>
        </w:rPr>
      </w:pPr>
    </w:p>
    <w:p>
      <w:pPr>
        <w:spacing w:after="0" w:line="219" w:lineRule="exact"/>
        <w:rPr>
          <w:sz w:val="20"/>
          <w:szCs w:val="20"/>
          <w:color w:val="auto"/>
        </w:rPr>
      </w:pPr>
    </w:p>
    <w:p>
      <w:pPr>
        <w:ind w:left="440" w:hanging="433"/>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128"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The following table is a summary of segment information for the three and nine months ended September 30, 2022, and 2021.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as it is used internally by the chief operating decision maker (CODM) for evaluating segment performance and deciding how to allocate resources to segments. The Company’s chief executive officer has been identified as the CODM.</w:t>
      </w:r>
    </w:p>
    <w:p>
      <w:pPr>
        <w:spacing w:after="0" w:line="104"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Segment asset information is not presented because it is not used by the CODM at the segment level. Operating earnings of each segment represent revenues less directly identifiable expenses to arrive at operating income for the segment. General management and administrative corporate expenses are included in general corporate expenses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9"/>
                <w:szCs w:val="19"/>
                <w:color w:val="auto"/>
              </w:rPr>
            </w:pPr>
          </w:p>
        </w:tc>
        <w:tc>
          <w:tcPr>
            <w:tcW w:w="2040" w:type="dxa"/>
            <w:vAlign w:val="bottom"/>
            <w:gridSpan w:val="4"/>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6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4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7"/>
        </w:trPr>
        <w:tc>
          <w:tcPr>
            <w:tcW w:w="65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2,207.6</w:t>
            </w:r>
          </w:p>
        </w:tc>
        <w:tc>
          <w:tcPr>
            <w:tcW w:w="1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2,617.5</w:t>
            </w:r>
          </w:p>
        </w:tc>
        <w:tc>
          <w:tcPr>
            <w:tcW w:w="1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6,917.1</w:t>
            </w:r>
          </w:p>
        </w:tc>
        <w:tc>
          <w:tcPr>
            <w:tcW w:w="1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7,740.8</w:t>
            </w:r>
          </w:p>
        </w:tc>
      </w:tr>
      <w:tr>
        <w:trPr>
          <w:trHeight w:val="22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DD</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4,392.9</w:t>
            </w:r>
          </w:p>
        </w:tc>
      </w:tr>
      <w:tr>
        <w:trPr>
          <w:trHeight w:val="227"/>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12,064.8</w:t>
            </w:r>
          </w:p>
        </w:tc>
      </w:tr>
      <w:tr>
        <w:trPr>
          <w:trHeight w:val="193"/>
        </w:trPr>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2,275.4</w:t>
            </w:r>
          </w:p>
        </w:tc>
      </w:tr>
      <w:tr>
        <w:trPr>
          <w:trHeight w:val="22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DD</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r>
      <w:tr>
        <w:trPr>
          <w:trHeight w:val="227"/>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r>
      <w:tr>
        <w:trPr>
          <w:trHeight w:val="245"/>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2,528.9</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7" w:lineRule="exact"/>
        <w:rPr>
          <w:sz w:val="20"/>
          <w:szCs w:val="20"/>
          <w:color w:val="auto"/>
        </w:rPr>
      </w:pPr>
    </w:p>
    <w:p>
      <w:pPr>
        <w:jc w:val="both"/>
        <w:ind w:firstLine="280"/>
        <w:spacing w:after="0" w:line="248" w:lineRule="auto"/>
        <w:rPr>
          <w:sz w:val="20"/>
          <w:szCs w:val="20"/>
          <w:color w:val="auto"/>
        </w:rPr>
      </w:pPr>
      <w:r>
        <w:rPr>
          <w:rFonts w:ascii="Times New Roman" w:cs="Times New Roman" w:eastAsia="Times New Roman" w:hAnsi="Times New Roman"/>
          <w:sz w:val="18"/>
          <w:szCs w:val="18"/>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“Summary of Material Risks” and “Risk Factors” section of the Annual Report on Form 10-K, and in the Company’s other public filings, press releases, and discussions with Company management, including:</w:t>
      </w:r>
    </w:p>
    <w:p>
      <w:pPr>
        <w:spacing w:after="0" w:line="188" w:lineRule="exact"/>
        <w:rPr>
          <w:sz w:val="20"/>
          <w:szCs w:val="20"/>
          <w:color w:val="auto"/>
        </w:rPr>
      </w:pPr>
    </w:p>
    <w:p>
      <w:pPr>
        <w:ind w:left="640" w:hanging="633"/>
        <w:spacing w:after="0" w:line="257" w:lineRule="auto"/>
        <w:tabs>
          <w:tab w:leader="none" w:pos="3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 (PAMA);</w:t>
      </w:r>
    </w:p>
    <w:p>
      <w:pPr>
        <w:spacing w:after="0" w:line="72" w:lineRule="exact"/>
        <w:rPr>
          <w:rFonts w:ascii="Times New Roman" w:cs="Times New Roman" w:eastAsia="Times New Roman" w:hAnsi="Times New Roman"/>
          <w:sz w:val="18"/>
          <w:szCs w:val="18"/>
          <w:color w:val="auto"/>
        </w:rPr>
      </w:pPr>
    </w:p>
    <w:p>
      <w:pPr>
        <w:ind w:left="640" w:hanging="633"/>
        <w:spacing w:after="0" w:line="284" w:lineRule="auto"/>
        <w:tabs>
          <w:tab w:leader="none" w:pos="43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52" w:lineRule="exact"/>
        <w:rPr>
          <w:rFonts w:ascii="Times New Roman" w:cs="Times New Roman" w:eastAsia="Times New Roman" w:hAnsi="Times New Roman"/>
          <w:sz w:val="17"/>
          <w:szCs w:val="17"/>
          <w:color w:val="auto"/>
        </w:rPr>
      </w:pPr>
    </w:p>
    <w:p>
      <w:pPr>
        <w:ind w:left="640" w:hanging="633"/>
        <w:spacing w:after="0" w:line="257" w:lineRule="auto"/>
        <w:tabs>
          <w:tab w:leader="none" w:pos="3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72" w:lineRule="exact"/>
        <w:rPr>
          <w:rFonts w:ascii="Times New Roman" w:cs="Times New Roman" w:eastAsia="Times New Roman" w:hAnsi="Times New Roman"/>
          <w:sz w:val="18"/>
          <w:szCs w:val="18"/>
          <w:color w:val="auto"/>
        </w:rPr>
      </w:pPr>
    </w:p>
    <w:p>
      <w:pPr>
        <w:ind w:left="640" w:hanging="633"/>
        <w:spacing w:after="0" w:line="257"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a license or imposition of fines or penalties under, or future changes in, or interpretations of applicable licensing laws or regulations regarding the operation of clinical laboratories and the delivery of clinical laboratory test results, including, but not limited to, the U.S. Clinical Laboratory Improvement Act of 1967 and the U.S. Clinical Laboratory Improvement Amendments of 1988 and similar laws and regulations in jurisdictions in which the Company conducts business;</w:t>
      </w:r>
    </w:p>
    <w:p>
      <w:pPr>
        <w:spacing w:after="0" w:line="72" w:lineRule="exact"/>
        <w:rPr>
          <w:rFonts w:ascii="Times New Roman" w:cs="Times New Roman" w:eastAsia="Times New Roman" w:hAnsi="Times New Roman"/>
          <w:sz w:val="18"/>
          <w:szCs w:val="18"/>
          <w:color w:val="auto"/>
        </w:rPr>
      </w:pPr>
    </w:p>
    <w:p>
      <w:pPr>
        <w:ind w:left="640" w:hanging="633"/>
        <w:spacing w:after="0" w:line="261" w:lineRule="auto"/>
        <w:tabs>
          <w:tab w:leader="none" w:pos="3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71" w:lineRule="exact"/>
        <w:rPr>
          <w:rFonts w:ascii="Times New Roman" w:cs="Times New Roman" w:eastAsia="Times New Roman" w:hAnsi="Times New Roman"/>
          <w:sz w:val="18"/>
          <w:szCs w:val="18"/>
          <w:color w:val="auto"/>
        </w:rPr>
      </w:pPr>
    </w:p>
    <w:p>
      <w:pPr>
        <w:ind w:left="640" w:hanging="633"/>
        <w:spacing w:after="0" w:line="261" w:lineRule="auto"/>
        <w:tabs>
          <w:tab w:leader="none" w:pos="3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71" w:lineRule="exact"/>
        <w:rPr>
          <w:rFonts w:ascii="Times New Roman" w:cs="Times New Roman" w:eastAsia="Times New Roman" w:hAnsi="Times New Roman"/>
          <w:sz w:val="18"/>
          <w:szCs w:val="18"/>
          <w:color w:val="auto"/>
        </w:rPr>
      </w:pPr>
    </w:p>
    <w:p>
      <w:pPr>
        <w:ind w:left="640" w:hanging="633"/>
        <w:spacing w:after="0" w:line="261" w:lineRule="auto"/>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71" w:lineRule="exact"/>
        <w:rPr>
          <w:rFonts w:ascii="Times New Roman" w:cs="Times New Roman" w:eastAsia="Times New Roman" w:hAnsi="Times New Roman"/>
          <w:sz w:val="18"/>
          <w:szCs w:val="18"/>
          <w:color w:val="auto"/>
        </w:rPr>
      </w:pPr>
    </w:p>
    <w:p>
      <w:pPr>
        <w:ind w:left="640" w:hanging="633"/>
        <w:spacing w:after="0" w:line="276" w:lineRule="auto"/>
        <w:tabs>
          <w:tab w:leader="none" w:pos="4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testing guidelines or recommendations by government agencies, medical specialty societies and other authoritative bodies affecting the utilization of laboratory tests;</w:t>
      </w:r>
    </w:p>
    <w:p>
      <w:pPr>
        <w:spacing w:after="0" w:line="57" w:lineRule="exact"/>
        <w:rPr>
          <w:rFonts w:ascii="Times New Roman" w:cs="Times New Roman" w:eastAsia="Times New Roman" w:hAnsi="Times New Roman"/>
          <w:sz w:val="18"/>
          <w:szCs w:val="18"/>
          <w:color w:val="auto"/>
        </w:rPr>
      </w:pPr>
    </w:p>
    <w:p>
      <w:pPr>
        <w:ind w:left="640" w:hanging="633"/>
        <w:spacing w:after="0" w:line="253" w:lineRule="auto"/>
        <w:tabs>
          <w:tab w:leader="none" w:pos="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government regulations or policies affecting the approval, availability of, and the selling and marketing of diagnostic tests, drug development, or the conduct of drug development and medical device and diagnostic studies and trials, including regulations and policies of the U.S. Food and Drug Administration, the U.S. Department of Agriculture, the Medicine and Healthcare products Regulatory Agency in the United Kingdom (U.K.), the National Medical Products Administration in China, the Pharmaceutical and Medical Devices Agency in Japan, the European Medicines Agency, the European Union and similar regulations and policies of agencies in other jurisdictions in which the Company conducts business;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hanging="633"/>
        <w:spacing w:after="0" w:line="261" w:lineRule="auto"/>
        <w:tabs>
          <w:tab w:leader="none" w:pos="4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reimbursement pertaining to the pharmaceutical, biotechnology and medical device and diagnostic industries, changes in reimbursement of pharmaceutical products, or reduced spending on research and development by pharmaceutical, biotechnology and medical device and diagnostic customers;</w:t>
      </w:r>
    </w:p>
    <w:p>
      <w:pPr>
        <w:spacing w:after="0" w:line="71"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result from the failure to comply with corporate governance requirements;</w:t>
      </w:r>
    </w:p>
    <w:p>
      <w:pPr>
        <w:spacing w:after="0" w:line="112" w:lineRule="exact"/>
        <w:rPr>
          <w:rFonts w:ascii="Times New Roman" w:cs="Times New Roman" w:eastAsia="Times New Roman" w:hAnsi="Times New Roman"/>
          <w:sz w:val="18"/>
          <w:szCs w:val="18"/>
          <w:color w:val="auto"/>
        </w:rPr>
      </w:pPr>
    </w:p>
    <w:p>
      <w:pPr>
        <w:ind w:left="640" w:hanging="633"/>
        <w:spacing w:after="0" w:line="261" w:lineRule="auto"/>
        <w:tabs>
          <w:tab w:leader="none" w:pos="5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laws or regulations or otherwise disregard compliance standards in the industry;</w:t>
      </w:r>
    </w:p>
    <w:p>
      <w:pPr>
        <w:spacing w:after="0" w:line="71" w:lineRule="exact"/>
        <w:rPr>
          <w:rFonts w:ascii="Times New Roman" w:cs="Times New Roman" w:eastAsia="Times New Roman" w:hAnsi="Times New Roman"/>
          <w:sz w:val="18"/>
          <w:szCs w:val="18"/>
          <w:color w:val="auto"/>
        </w:rPr>
      </w:pPr>
    </w:p>
    <w:p>
      <w:pPr>
        <w:jc w:val="both"/>
        <w:ind w:left="640" w:hanging="633"/>
        <w:spacing w:after="0" w:line="254" w:lineRule="auto"/>
        <w:tabs>
          <w:tab w:leader="none" w:pos="5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77" w:lineRule="exact"/>
        <w:rPr>
          <w:rFonts w:ascii="Times New Roman" w:cs="Times New Roman" w:eastAsia="Times New Roman" w:hAnsi="Times New Roman"/>
          <w:sz w:val="18"/>
          <w:szCs w:val="18"/>
          <w:color w:val="auto"/>
        </w:rPr>
      </w:pPr>
    </w:p>
    <w:p>
      <w:pPr>
        <w:ind w:left="640" w:hanging="633"/>
        <w:spacing w:after="0" w:line="276" w:lineRule="auto"/>
        <w:tabs>
          <w:tab w:leader="none" w:pos="4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attract MCO business as a result of changes in business models, including risk based or network approaches, out-sourced laboratory network management or utilization management companies, or other changes in strategy or business models by MCOs;</w:t>
      </w:r>
    </w:p>
    <w:p>
      <w:pPr>
        <w:spacing w:after="0" w:line="57" w:lineRule="exact"/>
        <w:rPr>
          <w:rFonts w:ascii="Times New Roman" w:cs="Times New Roman" w:eastAsia="Times New Roman" w:hAnsi="Times New Roman"/>
          <w:sz w:val="18"/>
          <w:szCs w:val="18"/>
          <w:color w:val="auto"/>
        </w:rPr>
      </w:pPr>
    </w:p>
    <w:p>
      <w:pPr>
        <w:ind w:left="640" w:hanging="633"/>
        <w:spacing w:after="0" w:line="276" w:lineRule="auto"/>
        <w:tabs>
          <w:tab w:leader="none" w:pos="4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an unfavorable change in the mix of testing or other services ordered, or a reduction in tests ordered, specimens submitted, or services requested by existing customers, and reductions and delays in payments from Dx and DD customers;</w:t>
      </w:r>
    </w:p>
    <w:p>
      <w:pPr>
        <w:spacing w:after="0" w:line="57" w:lineRule="exact"/>
        <w:rPr>
          <w:rFonts w:ascii="Times New Roman" w:cs="Times New Roman" w:eastAsia="Times New Roman" w:hAnsi="Times New Roman"/>
          <w:sz w:val="18"/>
          <w:szCs w:val="18"/>
          <w:color w:val="auto"/>
        </w:rPr>
      </w:pPr>
    </w:p>
    <w:p>
      <w:pPr>
        <w:ind w:left="640" w:hanging="633"/>
        <w:spacing w:after="0" w:line="276" w:lineRule="auto"/>
        <w:tabs>
          <w:tab w:leader="none" w:pos="5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convergence of customers, competitors, and suppliers, potentially causing material shifts in insourcing, utilization, pricing, reimbursement and supply chain access;</w:t>
      </w:r>
    </w:p>
    <w:p>
      <w:pPr>
        <w:spacing w:after="0" w:line="57" w:lineRule="exact"/>
        <w:rPr>
          <w:rFonts w:ascii="Times New Roman" w:cs="Times New Roman" w:eastAsia="Times New Roman" w:hAnsi="Times New Roman"/>
          <w:sz w:val="18"/>
          <w:szCs w:val="18"/>
          <w:color w:val="auto"/>
        </w:rPr>
      </w:pPr>
    </w:p>
    <w:p>
      <w:pPr>
        <w:ind w:left="640" w:hanging="633"/>
        <w:spacing w:after="0" w:line="276" w:lineRule="auto"/>
        <w:tabs>
          <w:tab w:leader="none" w:pos="4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deploy new systems, system modifications or enhancements required in response to evolving market and business needs;</w:t>
      </w:r>
    </w:p>
    <w:p>
      <w:pPr>
        <w:spacing w:after="0" w:line="57"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choosing to insource services that are or could be purchased from the Company;</w:t>
      </w:r>
    </w:p>
    <w:p>
      <w:pPr>
        <w:spacing w:after="0" w:line="112" w:lineRule="exact"/>
        <w:rPr>
          <w:rFonts w:ascii="Times New Roman" w:cs="Times New Roman" w:eastAsia="Times New Roman" w:hAnsi="Times New Roman"/>
          <w:sz w:val="18"/>
          <w:szCs w:val="18"/>
          <w:color w:val="auto"/>
        </w:rPr>
      </w:pPr>
    </w:p>
    <w:p>
      <w:pPr>
        <w:ind w:left="640" w:right="20" w:hanging="633"/>
        <w:spacing w:after="0" w:line="276" w:lineRule="auto"/>
        <w:tabs>
          <w:tab w:leader="none" w:pos="5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spacing w:after="0" w:line="57" w:lineRule="exact"/>
        <w:rPr>
          <w:rFonts w:ascii="Times New Roman" w:cs="Times New Roman" w:eastAsia="Times New Roman" w:hAnsi="Times New Roman"/>
          <w:sz w:val="18"/>
          <w:szCs w:val="18"/>
          <w:color w:val="auto"/>
        </w:rPr>
      </w:pPr>
    </w:p>
    <w:p>
      <w:pPr>
        <w:ind w:left="640" w:hanging="633"/>
        <w:spacing w:after="0" w:line="276"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expected benefits and synergies of newly-acquired businesses, including due to items not discovered in the due diligence process, and the impact on the Company's cash position, levels of indebtedness and stock price;</w:t>
      </w:r>
    </w:p>
    <w:p>
      <w:pPr>
        <w:spacing w:after="0" w:line="57"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loss, delay, reduction in scope or increased costs of contracts, including large contracts and multiple contracts;</w:t>
      </w:r>
    </w:p>
    <w:p>
      <w:pPr>
        <w:spacing w:after="0" w:line="112"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errors or omissions in the performance of testing services, contract research services or other contractual arrangements;</w:t>
      </w:r>
    </w:p>
    <w:p>
      <w:pPr>
        <w:spacing w:after="0" w:line="112" w:lineRule="exact"/>
        <w:rPr>
          <w:rFonts w:ascii="Times New Roman" w:cs="Times New Roman" w:eastAsia="Times New Roman" w:hAnsi="Times New Roman"/>
          <w:sz w:val="18"/>
          <w:szCs w:val="18"/>
          <w:color w:val="auto"/>
        </w:rPr>
      </w:pPr>
    </w:p>
    <w:p>
      <w:pPr>
        <w:ind w:left="640" w:hanging="633"/>
        <w:spacing w:after="0" w:line="276" w:lineRule="auto"/>
        <w:tabs>
          <w:tab w:leader="none" w:pos="4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57" w:lineRule="exact"/>
        <w:rPr>
          <w:rFonts w:ascii="Times New Roman" w:cs="Times New Roman" w:eastAsia="Times New Roman" w:hAnsi="Times New Roman"/>
          <w:sz w:val="18"/>
          <w:szCs w:val="18"/>
          <w:color w:val="auto"/>
        </w:rPr>
      </w:pPr>
    </w:p>
    <w:p>
      <w:pPr>
        <w:ind w:left="460" w:hanging="453"/>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the Company's facilities;</w:t>
      </w:r>
    </w:p>
    <w:p>
      <w:pPr>
        <w:spacing w:after="0" w:line="112" w:lineRule="exact"/>
        <w:rPr>
          <w:rFonts w:ascii="Times New Roman" w:cs="Times New Roman" w:eastAsia="Times New Roman" w:hAnsi="Times New Roman"/>
          <w:sz w:val="18"/>
          <w:szCs w:val="18"/>
          <w:color w:val="auto"/>
        </w:rPr>
      </w:pPr>
    </w:p>
    <w:p>
      <w:pPr>
        <w:jc w:val="right"/>
        <w:ind w:left="640" w:hanging="633"/>
        <w:spacing w:after="0" w:line="306" w:lineRule="auto"/>
        <w:tabs>
          <w:tab w:leader="none" w:pos="46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the Company's reputation, loss of business, or other harm from increased regulations and restrictions on the import of research animals, limitations of supply of research animals, and acts of animal rights activists, or potential harm and/or liability arising from animal research activities;</w:t>
      </w:r>
    </w:p>
    <w:p>
      <w:pPr>
        <w:spacing w:after="0" w:line="34" w:lineRule="exact"/>
        <w:rPr>
          <w:rFonts w:ascii="Times New Roman" w:cs="Times New Roman" w:eastAsia="Times New Roman" w:hAnsi="Times New Roman"/>
          <w:sz w:val="17"/>
          <w:szCs w:val="17"/>
          <w:color w:val="auto"/>
        </w:rPr>
      </w:pPr>
    </w:p>
    <w:p>
      <w:pPr>
        <w:ind w:left="400" w:hanging="393"/>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litigation matters;</w:t>
      </w:r>
    </w:p>
    <w:p>
      <w:pPr>
        <w:spacing w:after="0" w:line="112" w:lineRule="exact"/>
        <w:rPr>
          <w:rFonts w:ascii="Times New Roman" w:cs="Times New Roman" w:eastAsia="Times New Roman" w:hAnsi="Times New Roman"/>
          <w:sz w:val="18"/>
          <w:szCs w:val="18"/>
          <w:color w:val="auto"/>
        </w:rPr>
      </w:pPr>
    </w:p>
    <w:p>
      <w:pPr>
        <w:ind w:left="640" w:hanging="633"/>
        <w:spacing w:after="0" w:line="276" w:lineRule="auto"/>
        <w:tabs>
          <w:tab w:leader="none" w:pos="4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experienced and qualified personnel or the loss of significant personnel as a result of illness, increased competition for talent, wage growth, or other market factors;</w:t>
      </w:r>
    </w:p>
    <w:p>
      <w:pPr>
        <w:spacing w:after="0" w:line="57" w:lineRule="exact"/>
        <w:rPr>
          <w:rFonts w:ascii="Times New Roman" w:cs="Times New Roman" w:eastAsia="Times New Roman" w:hAnsi="Times New Roman"/>
          <w:sz w:val="18"/>
          <w:szCs w:val="18"/>
          <w:color w:val="auto"/>
        </w:rPr>
      </w:pPr>
    </w:p>
    <w:p>
      <w:pPr>
        <w:ind w:left="640" w:hanging="633"/>
        <w:spacing w:after="0" w:line="276" w:lineRule="auto"/>
        <w:tabs>
          <w:tab w:leader="none" w:pos="4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57" w:lineRule="exact"/>
        <w:rPr>
          <w:rFonts w:ascii="Times New Roman" w:cs="Times New Roman" w:eastAsia="Times New Roman" w:hAnsi="Times New Roman"/>
          <w:sz w:val="18"/>
          <w:szCs w:val="18"/>
          <w:color w:val="auto"/>
        </w:rPr>
      </w:pPr>
    </w:p>
    <w:p>
      <w:pPr>
        <w:ind w:left="640" w:hanging="633"/>
        <w:spacing w:after="0" w:line="276" w:lineRule="auto"/>
        <w:tabs>
          <w:tab w:leader="none" w:pos="4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arising from the inability to commercialize newly licensed tests or technologies or to obtain appropriate coverage or reimbursement for such tests;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hanging="633"/>
        <w:spacing w:after="0" w:line="276" w:lineRule="auto"/>
        <w:tabs>
          <w:tab w:leader="none" w:pos="4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intellectual property rights for protection of the Company's products and services and defend against challenges to those rights;</w:t>
      </w:r>
    </w:p>
    <w:p>
      <w:pPr>
        <w:spacing w:after="0" w:line="57" w:lineRule="exact"/>
        <w:rPr>
          <w:rFonts w:ascii="Times New Roman" w:cs="Times New Roman" w:eastAsia="Times New Roman" w:hAnsi="Times New Roman"/>
          <w:sz w:val="18"/>
          <w:szCs w:val="18"/>
          <w:color w:val="auto"/>
        </w:rPr>
      </w:pPr>
    </w:p>
    <w:p>
      <w:pPr>
        <w:ind w:left="640" w:hanging="633"/>
        <w:spacing w:after="0" w:line="276" w:lineRule="auto"/>
        <w:tabs>
          <w:tab w:leader="none" w:pos="4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57" w:lineRule="exact"/>
        <w:rPr>
          <w:rFonts w:ascii="Times New Roman" w:cs="Times New Roman" w:eastAsia="Times New Roman" w:hAnsi="Times New Roman"/>
          <w:sz w:val="18"/>
          <w:szCs w:val="18"/>
          <w:color w:val="auto"/>
        </w:rPr>
      </w:pPr>
    </w:p>
    <w:p>
      <w:pPr>
        <w:ind w:left="640" w:hanging="633"/>
        <w:spacing w:after="0" w:line="257" w:lineRule="auto"/>
        <w:tabs>
          <w:tab w:leader="none" w:pos="5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receivables impairment, delays in cash collection impacting days sales outstanding, supply chain disruptions or inventory obsolescence, increases in material cost or other operating costs, inflationary increases, or other impacts on the business due to natural disasters, including adverse weather, fires and earthquakes; geopolitical events, including terrorism and war; public health crises and disease epidemics and pandemics; changes in the global economy; and other events outside of the Company's control;</w:t>
      </w:r>
    </w:p>
    <w:p>
      <w:pPr>
        <w:spacing w:after="0" w:line="72"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testing products;</w:t>
      </w:r>
    </w:p>
    <w:p>
      <w:pPr>
        <w:spacing w:after="0" w:line="112" w:lineRule="exact"/>
        <w:rPr>
          <w:rFonts w:ascii="Times New Roman" w:cs="Times New Roman" w:eastAsia="Times New Roman" w:hAnsi="Times New Roman"/>
          <w:sz w:val="18"/>
          <w:szCs w:val="18"/>
          <w:color w:val="auto"/>
        </w:rPr>
      </w:pPr>
    </w:p>
    <w:p>
      <w:pPr>
        <w:ind w:left="640" w:hanging="633"/>
        <w:spacing w:after="0" w:line="253" w:lineRule="auto"/>
        <w:tabs>
          <w:tab w:leader="none" w:pos="4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Company's information technology systems, including with respect to testing turnaround time and billing processes, or the failure of the Company or its third-party suppliers and vendors to maintain the security of business information or systems or to protect against cybersecurity attacks such as denial of service attacks, malware, ransomware, and computer viruses, or delays or failures in the development and implementation of the Company’s automation platforms,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76" w:lineRule="exact"/>
        <w:rPr>
          <w:rFonts w:ascii="Times New Roman" w:cs="Times New Roman" w:eastAsia="Times New Roman" w:hAnsi="Times New Roman"/>
          <w:sz w:val="18"/>
          <w:szCs w:val="18"/>
          <w:color w:val="auto"/>
        </w:rPr>
      </w:pPr>
    </w:p>
    <w:p>
      <w:pPr>
        <w:ind w:left="640" w:hanging="633"/>
        <w:spacing w:after="0" w:line="276"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57" w:lineRule="exact"/>
        <w:rPr>
          <w:rFonts w:ascii="Times New Roman" w:cs="Times New Roman" w:eastAsia="Times New Roman" w:hAnsi="Times New Roman"/>
          <w:sz w:val="18"/>
          <w:szCs w:val="18"/>
          <w:color w:val="auto"/>
        </w:rPr>
      </w:pPr>
    </w:p>
    <w:p>
      <w:pPr>
        <w:ind w:left="640" w:hanging="633"/>
        <w:spacing w:after="0" w:line="261"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71" w:lineRule="exact"/>
        <w:rPr>
          <w:rFonts w:ascii="Times New Roman" w:cs="Times New Roman" w:eastAsia="Times New Roman" w:hAnsi="Times New Roman"/>
          <w:sz w:val="18"/>
          <w:szCs w:val="18"/>
          <w:color w:val="auto"/>
        </w:rPr>
      </w:pPr>
    </w:p>
    <w:p>
      <w:pPr>
        <w:ind w:left="640" w:right="20" w:hanging="633"/>
        <w:spacing w:after="0" w:line="276" w:lineRule="auto"/>
        <w:tabs>
          <w:tab w:leader="none" w:pos="4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57" w:lineRule="exact"/>
        <w:rPr>
          <w:rFonts w:ascii="Times New Roman" w:cs="Times New Roman" w:eastAsia="Times New Roman" w:hAnsi="Times New Roman"/>
          <w:sz w:val="18"/>
          <w:szCs w:val="18"/>
          <w:color w:val="auto"/>
        </w:rPr>
      </w:pPr>
    </w:p>
    <w:p>
      <w:pPr>
        <w:ind w:left="640" w:hanging="633"/>
        <w:spacing w:after="0" w:line="276" w:lineRule="auto"/>
        <w:tabs>
          <w:tab w:leader="none" w:pos="4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expected capital structure for the Company, including failure to maintain the Company's investment grade rating, or leverage ratio covenants under its revolving credit facility;</w:t>
      </w:r>
    </w:p>
    <w:p>
      <w:pPr>
        <w:spacing w:after="0" w:line="57"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foreign governments and foreign currency fluctuations;</w:t>
      </w:r>
    </w:p>
    <w:p>
      <w:pPr>
        <w:spacing w:after="0" w:line="112" w:lineRule="exact"/>
        <w:rPr>
          <w:rFonts w:ascii="Times New Roman" w:cs="Times New Roman" w:eastAsia="Times New Roman" w:hAnsi="Times New Roman"/>
          <w:sz w:val="18"/>
          <w:szCs w:val="18"/>
          <w:color w:val="auto"/>
        </w:rPr>
      </w:pPr>
    </w:p>
    <w:p>
      <w:pPr>
        <w:ind w:left="640" w:hanging="633"/>
        <w:spacing w:after="0" w:line="276" w:lineRule="auto"/>
        <w:tabs>
          <w:tab w:leader="none" w:pos="4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57" w:lineRule="exact"/>
        <w:rPr>
          <w:rFonts w:ascii="Times New Roman" w:cs="Times New Roman" w:eastAsia="Times New Roman" w:hAnsi="Times New Roman"/>
          <w:sz w:val="18"/>
          <w:szCs w:val="18"/>
          <w:color w:val="auto"/>
        </w:rPr>
      </w:pPr>
    </w:p>
    <w:p>
      <w:pPr>
        <w:ind w:left="640" w:right="20" w:hanging="633"/>
        <w:spacing w:after="0" w:line="261"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associated with international operations, including, but not limited to, compliance with the U.S. Foreign Corrupt Practices Act, the U.K. Bribery Act, other applicable anti-corruption laws and regulations, trade sanction laws and regulations, and economic, political, legal and other operational risks associated with foreign jurisdictions;</w:t>
      </w:r>
    </w:p>
    <w:p>
      <w:pPr>
        <w:spacing w:after="0" w:line="71"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efficiencies and savings in connection with the Company's business process improvement initiatives;</w:t>
      </w:r>
    </w:p>
    <w:p>
      <w:pPr>
        <w:spacing w:after="0" w:line="112"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changes in their interpretation;</w:t>
      </w:r>
    </w:p>
    <w:p>
      <w:pPr>
        <w:spacing w:after="0" w:line="112"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 government and regulatory changes; and</w:t>
      </w:r>
    </w:p>
    <w:p>
      <w:pPr>
        <w:spacing w:after="0" w:line="112" w:lineRule="exact"/>
        <w:rPr>
          <w:rFonts w:ascii="Times New Roman" w:cs="Times New Roman" w:eastAsia="Times New Roman" w:hAnsi="Times New Roman"/>
          <w:sz w:val="18"/>
          <w:szCs w:val="18"/>
          <w:color w:val="auto"/>
        </w:rPr>
      </w:pPr>
    </w:p>
    <w:p>
      <w:pPr>
        <w:ind w:left="640" w:hanging="633"/>
        <w:spacing w:after="0" w:line="253"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duration, and severity of the ongoing COVID-19 pandemic, including the impact on operations, personnel, supplies, liquidity, and collections, as well as the impact of past or future actions or omissions by the Company or governments in response to the COVID-19 pandemic including, but not limited to, evolving government vaccine and testing mandates and policies, and damage to the Company's reputation or loss of business resulting from the perception of the Company's response to the COVID-19 pandemic, including the availability and accuracy and timeliness of delivery of any tests that the Company develops, collaborates on or provides for the detection of COVID-19, and the availability and timeliness of its drug development services; and</w:t>
      </w:r>
    </w:p>
    <w:p>
      <w:pPr>
        <w:spacing w:after="0" w:line="76" w:lineRule="exact"/>
        <w:rPr>
          <w:rFonts w:ascii="Times New Roman" w:cs="Times New Roman" w:eastAsia="Times New Roman" w:hAnsi="Times New Roman"/>
          <w:sz w:val="18"/>
          <w:szCs w:val="18"/>
          <w:color w:val="auto"/>
        </w:rPr>
      </w:pPr>
    </w:p>
    <w:p>
      <w:pPr>
        <w:ind w:left="640" w:hanging="633"/>
        <w:spacing w:after="0" w:line="257" w:lineRule="auto"/>
        <w:tabs>
          <w:tab w:leader="none" w:pos="4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impact, timing, expected benefits and costs, or terms of the planned spin-off of the Company’s Clinical Development business, which includes the parts of its DD segment focused on providing Phase I-IV clinical trial management, market access, and technology solutions to pharmaceutical and biotechnology organizations, including but not limited to (i) uncertainties as to the completion and timing of the transaction; (ii)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3"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18"/>
          <w:szCs w:val="18"/>
          <w:color w:val="auto"/>
        </w:rPr>
        <w:t>failure to obtain appropriate assurances regarding the tax-free nature of the spin-off; (iii) the receipt of regulatory approvals; (iv) the effect of the announcement or pendency of the transaction on the Company’s business relationships, operating results, and business generally; (v) unexpected issues that arise in the continued planning for the transaction; (vi) the failure to have the Form 10 registration statement that will be filed with the SEC declared effective on a timely basis, or at all; (vii) risks that the proposed transaction disrupts current plans and operations of Labcorp or Clinical Development; (viii) potential difficulties attracting or retaining Company or Clinical Development employees as a result of the spin-off announcement, pendency or completion of the spin-off; (ix) risks related to diverting management’s attention from the Company and Clinical Development’s ongoing business operations; (x) the ability of the Company to successfully separate Clinical Development operations from the Company’s ongoing operations; (xi) market receptiveness to effect transactions in the capital markets; and (xii) market reaction to the announcement and planning for the transaction.</w:t>
      </w:r>
    </w:p>
    <w:p>
      <w:pPr>
        <w:spacing w:after="0" w:line="85" w:lineRule="exact"/>
        <w:rPr>
          <w:sz w:val="20"/>
          <w:szCs w:val="20"/>
          <w:color w:val="auto"/>
        </w:rPr>
      </w:pPr>
    </w:p>
    <w:p>
      <w:pPr>
        <w:jc w:val="both"/>
        <w:ind w:firstLine="240"/>
        <w:spacing w:after="0" w:line="306" w:lineRule="auto"/>
        <w:rPr>
          <w:sz w:val="20"/>
          <w:szCs w:val="20"/>
          <w:color w:val="auto"/>
        </w:rPr>
      </w:pPr>
      <w:r>
        <w:rPr>
          <w:rFonts w:ascii="Times New Roman" w:cs="Times New Roman" w:eastAsia="Times New Roman" w:hAnsi="Times New Roman"/>
          <w:sz w:val="17"/>
          <w:szCs w:val="17"/>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(dollars in millions, except per share data)</w:t>
      </w:r>
    </w:p>
    <w:p>
      <w:pPr>
        <w:spacing w:after="0" w:line="14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Revenues for the nine months ended September 30, 2022, were $11,202.6, a decrease of 7.1% from $12,064.8 during the nine months ended September 30, 2021. The decrease was due to lower organic revenue of 6.9% and unfavorable foreign currency translation of 0.9%, partially offset by acquisitions net of divestitures of 0.6%. The 6.9% decline in organic revenue includes a 8.9% decrease in COVID-19 PCR and antibody testing (COVID-19 Testing), partially offset by a 2.0% increase in the Company's organic Base Business. Base Business includes the Company's business operations except for COVID-19 Testing.</w:t>
      </w:r>
    </w:p>
    <w:p>
      <w:pPr>
        <w:spacing w:after="0" w:line="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Company defines organic growth as the increase in revenue excluding the year-over-year impact of acquisitions, divestitures, and currency.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divestiture impact is considered for a twelve month period following the close of each transaction.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Spin-Off of Clinical Development Business</w:t>
      </w:r>
    </w:p>
    <w:p>
      <w:pPr>
        <w:spacing w:after="0" w:line="128"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July 28, 2022, the Company announced that its board of directors authorized the Company to pursue a spin-off of its wholly owned Clinical Development business, which includes the parts of its DD segment focused on providing Phase I-IV clinical trials, market access, and technology solutions to pharmaceutical and biotechnology organizations. The planned spin-off would result in two independent, publicly traded companies. The spin-off is intended to be a tax-free transaction to the Company and its stockholders for U.S. federal income tax purposes and is expected to be effected through a dividend of the Clinical Development business' shares to the Company's shareholders. The Company anticipates that, consistent with any applicable legal and tax requirements, there will be ongoing transitional and commercial arrangements to provide for a seamless delivery of services to the customers and other stakeholders of the independent companies following the spin-off. The Company is targeting completion of the spin-off with an accelerated timeframe of mid-2023, subject to the satisfaction of certain customary conditions, including receipt of final approval by the Company's board of directors, receipt of appropriate assurances regarding the tax-free nature of the transaction, and the effectiveness of any required filings with the SEC. There can be no assurances regarding the ultimate timing of the transaction or that the spin-off will be completed.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(dollars in millions)</w:t>
      </w:r>
    </w:p>
    <w:p>
      <w:pPr>
        <w:spacing w:after="0" w:line="244" w:lineRule="exact"/>
        <w:rPr>
          <w:sz w:val="20"/>
          <w:szCs w:val="20"/>
          <w:color w:val="auto"/>
        </w:rPr>
      </w:pPr>
    </w:p>
    <w:p>
      <w:pPr>
        <w:ind w:right="4120"/>
        <w:spacing w:after="0" w:line="3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September 30, 2022, compared with three months ended September 30, 2021 </w:t>
      </w:r>
      <w:r>
        <w:rPr>
          <w:rFonts w:ascii="Times New Roman" w:cs="Times New Roman" w:eastAsia="Times New Roman" w:hAnsi="Times New Roman"/>
          <w:sz w:val="18"/>
          <w:szCs w:val="18"/>
          <w:b w:val="1"/>
          <w:bCs w:val="1"/>
          <w:u w:val="single" w:color="auto"/>
          <w:color w:val="auto"/>
        </w:rPr>
        <w:t>Revenues</w:t>
      </w:r>
    </w:p>
    <w:tbl>
      <w:tblPr>
        <w:tblLayout w:type="fixed"/>
        <w:tblInd w:w="4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320" w:type="dxa"/>
            <w:vAlign w:val="bottom"/>
            <w:tcBorders>
              <w:bottom w:val="single" w:sz="8" w:color="auto"/>
            </w:tcBorders>
            <w:gridSpan w:val="5"/>
          </w:tcPr>
          <w:p>
            <w:pPr>
              <w:jc w:val="right"/>
              <w:ind w:right="291"/>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3"/>
        </w:trPr>
        <w:tc>
          <w:tcPr>
            <w:tcW w:w="59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Dx</w:t>
            </w:r>
          </w:p>
        </w:tc>
        <w:tc>
          <w:tcPr>
            <w:tcW w:w="98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2,207.6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2,617.5</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2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DD</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1,405.8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r>
      <w:tr>
        <w:trPr>
          <w:trHeight w:val="22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3,606.1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0"/>
        </w:trPr>
        <w:tc>
          <w:tcPr>
            <w:tcW w:w="5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7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8"/>
          <w:szCs w:val="18"/>
          <w:color w:val="auto"/>
        </w:rPr>
        <w:t>Total revenues for the three months ended September 30, 2022, were $3,606.1, a decrease of 11.2% over $4,062.6 in the third quarter of 2021. The decrease was due to lower organic revenue of 10.7% and unfavorable foreign currency translation of 1.3%, partially offset by acquisitions of 0.8%. The 10.7% decrease in organic revenue was driven by a 11.8% decrease in COVID-19 Testing, partially offset by a 1.1% increase in the Company's organic Base Business.</w:t>
      </w:r>
    </w:p>
    <w:p>
      <w:pPr>
        <w:spacing w:after="0" w:line="115"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Dx revenues for the three months ended September 30, 2022, were $2,207.6, a decrease of 15.7% over $2,617.5 in the third quarter of 2021. The decrease was primarily due to organic revenue of 16.4% and unfavorable foreign currency translation of</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0.1%, partially offset by acquisitions of 0.9%. The 16.4% decrease in organic revenue was due to a 18.4% decrease in COVID-19 Testing, partially offset by a 1.9% increase in the Base Business. Total Base Business growth compared to the Base Business in the prior year was 3.7%.</w:t>
      </w:r>
    </w:p>
    <w:p>
      <w:pPr>
        <w:spacing w:after="0" w:line="8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Dx total volume (measured by requisitions) for the three months ended September 30, 2022, decreased by 10.3% as organic volume decreased by 10.9% and acquisition volume contributed 0.6%. Organic volume was impacted by an 12.8% decrease in COVID-19 Testing, partially offset by a 1.9% increase in Base Business. Price/mix decreased by 5.4% due to a decrease in COVID-19 Testing of 5.5%. Base Business volume was up 3.1% compared to the Base Business last year, while price/mix was up 0.6%.</w:t>
      </w:r>
    </w:p>
    <w:p>
      <w:pPr>
        <w:spacing w:after="0" w:line="73" w:lineRule="exact"/>
        <w:rPr>
          <w:sz w:val="20"/>
          <w:szCs w:val="20"/>
          <w:color w:val="auto"/>
        </w:rPr>
      </w:pPr>
    </w:p>
    <w:p>
      <w:pPr>
        <w:jc w:val="both"/>
        <w:ind w:firstLine="247"/>
        <w:spacing w:after="0" w:line="239" w:lineRule="auto"/>
        <w:tabs>
          <w:tab w:leader="none" w:pos="5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three months ended September 30, 2022, were $1,405.8, a decrease of 3.7% over $1,459.5 in the third quarter of 2021. The decrease was primarily due to unfavorable foreign currency translation of 3.4%. The benefit of acquisitions of 0.5% was offset by a 0.7% decline in Base Business organic growth, which was negatively impacted by approximately 5.0% due to reduced COVID-19 related work and the Ukraine/Russia crisis. COVID-19 related work includes lower COVID-19 vaccine and therapeutic studies as well as reduced clinical development kits shipped and returned due to supply chain issues and labor constraints.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13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40" w:type="dxa"/>
            <w:vAlign w:val="bottom"/>
          </w:tcPr>
          <w:p>
            <w:pPr>
              <w:spacing w:after="0"/>
              <w:rPr>
                <w:sz w:val="24"/>
                <w:szCs w:val="24"/>
                <w:color w:val="auto"/>
              </w:rPr>
            </w:pPr>
          </w:p>
        </w:tc>
      </w:tr>
      <w:tr>
        <w:trPr>
          <w:trHeight w:val="233"/>
        </w:trPr>
        <w:tc>
          <w:tcPr>
            <w:tcW w:w="130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2,546.4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2,677.1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Cost of revenues decreased 4.9% during the three months ended September 30, 2022, as compared with the corresponding period in 2021. Cost of revenues as a percentage of revenues during the three months ended September 30, 2022, increased to 70.6% as compared to 65.9% in the corresponding period in 2021. This increase in cost of revenues as a percent of revenues was primarily due to a reduction in COVID-19 Testing revenues, higher personnel expenses, and other inflationary costs, partially offset by organic Base Business growth and LaunchPad savings.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34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36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40" w:type="dxa"/>
            <w:vAlign w:val="bottom"/>
          </w:tcPr>
          <w:p>
            <w:pPr>
              <w:spacing w:after="0"/>
              <w:rPr>
                <w:sz w:val="24"/>
                <w:szCs w:val="24"/>
                <w:color w:val="auto"/>
              </w:rPr>
            </w:pPr>
          </w:p>
        </w:tc>
      </w:tr>
      <w:tr>
        <w:trPr>
          <w:trHeight w:val="233"/>
        </w:trPr>
        <w:tc>
          <w:tcPr>
            <w:tcW w:w="348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510.0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revenues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right="20" w:firstLine="240"/>
        <w:spacing w:after="0" w:line="27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were 14.1% and 12.8% during the three months ended September 30, 2022, and 2021, respectively. The increase is primarily due to a reduction in COVID-19 Testing revenues, partially offset by LaunchPad savings.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and Other Assets</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346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346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110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29.3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27"/>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DD</w:t>
            </w: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62.9</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45"/>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of intangibles and other assets</w:t>
            </w:r>
          </w:p>
        </w:tc>
        <w:tc>
          <w:tcPr>
            <w:tcW w:w="1100" w:type="dxa"/>
            <w:vAlign w:val="bottom"/>
            <w:tcBorders>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5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92.2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128"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The decrease in amortization of intangibles and other assets primarily reflects the completion of the accelerated amortization related to the Covance trade name as a result of a rebranding initiative that resulted in $30.2 of expense in the three months ended September 30, 2021, offset by additional amortization for assets acquired subsequent to September 30, 2021.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258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2580" w:type="dxa"/>
            <w:vAlign w:val="bottom"/>
            <w:tcBorders>
              <w:bottom w:val="single" w:sz="8" w:color="CCEEFF"/>
            </w:tcBorders>
          </w:tcPr>
          <w:p>
            <w:pPr>
              <w:spacing w:after="0"/>
              <w:rPr>
                <w:sz w:val="20"/>
                <w:szCs w:val="20"/>
                <w:color w:val="auto"/>
              </w:rPr>
            </w:pPr>
          </w:p>
        </w:tc>
        <w:tc>
          <w:tcPr>
            <w:tcW w:w="36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133.8 %</w:t>
            </w:r>
          </w:p>
        </w:tc>
      </w:tr>
    </w:tbl>
    <w:p>
      <w:pPr>
        <w:spacing w:after="0" w:line="182"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recorded net restructuring and other charges of $15.1: $3.6 within Dx, $11.3 within DD, and $0.2 allocated to general corporate. The charges were comprised of $2.5 related to severance and other personnel costs and $11.4 in facility closures, lease terminations, and general integration activities. The charges were adjusted by the increase of $1.5 of previously established severance liabilities and the reversal of previously established liability of $0.3 in unused facility-related costs.</w:t>
      </w:r>
    </w:p>
    <w:p>
      <w:pPr>
        <w:spacing w:after="0" w:line="86" w:lineRule="exact"/>
        <w:rPr>
          <w:sz w:val="20"/>
          <w:szCs w:val="20"/>
          <w:color w:val="auto"/>
        </w:rPr>
      </w:pPr>
    </w:p>
    <w:p>
      <w:pPr>
        <w:jc w:val="both"/>
        <w:ind w:firstLine="280"/>
        <w:spacing w:after="0" w:line="276" w:lineRule="auto"/>
        <w:rPr>
          <w:sz w:val="20"/>
          <w:szCs w:val="20"/>
          <w:color w:val="auto"/>
        </w:rPr>
      </w:pPr>
      <w:r>
        <w:rPr>
          <w:rFonts w:ascii="Times New Roman" w:cs="Times New Roman" w:eastAsia="Times New Roman" w:hAnsi="Times New Roman"/>
          <w:sz w:val="18"/>
          <w:szCs w:val="18"/>
          <w:color w:val="auto"/>
        </w:rPr>
        <w:t>During the three months ended September 30, 2021, the Company recorded net restructuring and other charges of $6.5: $3.3 within Dx and $3.2 within DD. The charges were comprised of $3.3 related to severance and other personnel costs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$3.7 in facility closures, lease terminations, and general integration activities. The charges were adjusted by the reversal of a previously established liability of $0.5 in unused facility-related costs.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128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1280" w:type="dxa"/>
            <w:vAlign w:val="bottom"/>
            <w:tcBorders>
              <w:bottom w:val="single" w:sz="8" w:color="CCEEFF"/>
            </w:tcBorders>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bl>
    <w:p>
      <w:pPr>
        <w:spacing w:after="0" w:line="115"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September 30, 2022, as compared with the corresponding period in 2021, is primarily due to the increased interest rates on variable rate debt, and lower benefit from cross currency swaps, partly offset by the impact of higher interest rates on cash.</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Method Income</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17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17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income, net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bl>
    <w:p>
      <w:pPr>
        <w:spacing w:after="0" w:line="115"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8"/>
          <w:szCs w:val="18"/>
          <w:color w:val="auto"/>
        </w:rPr>
        <w:t>Equity method income represents the Company's ownership share in joint venture partnerships along with equity investments in other companies in the health care industry. The decrease in income for the three months ended September 30, 2022, as compared with the corresponding period in 2021, was primarily due to the decreased profitability of the Company's joint ventures in 2022.</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760" w:type="dxa"/>
            <w:vAlign w:val="bottom"/>
            <w:tcBorders>
              <w:top w:val="single" w:sz="8" w:color="auto"/>
            </w:tcBorders>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760" w:type="dxa"/>
            <w:vAlign w:val="bottom"/>
            <w:tcBorders>
              <w:bottom w:val="single" w:sz="8" w:color="CCEEFF"/>
            </w:tcBorders>
          </w:tcPr>
          <w:p>
            <w:pPr>
              <w:spacing w:after="0"/>
              <w:rPr>
                <w:sz w:val="20"/>
                <w:szCs w:val="20"/>
                <w:color w:val="auto"/>
              </w:rPr>
            </w:pPr>
          </w:p>
        </w:tc>
        <w:tc>
          <w:tcPr>
            <w:tcW w:w="54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r>
    </w:tbl>
    <w:p>
      <w:pPr>
        <w:spacing w:after="0" w:line="75"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8"/>
          <w:szCs w:val="18"/>
          <w:color w:val="auto"/>
        </w:rPr>
        <w:t>The change in Other, net for the three months ended September 30, 2022, as compared to the three months ended September 30, 2021, is primarily due to investment losses of $5.2 for the three months ended September 30, 2022 compared to investment gains of $36.9 for the corresponding period of 2021. In addition, foreign currency transaction gains of $1.9 were recognized for the three months ended September 30, 2022 as compared to gains of $0.4 for the corresponding period of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0"/>
        </w:trPr>
        <w:tc>
          <w:tcPr>
            <w:tcW w:w="15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36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40" w:type="dxa"/>
            <w:vAlign w:val="bottom"/>
          </w:tcPr>
          <w:p>
            <w:pPr>
              <w:spacing w:after="0"/>
              <w:rPr>
                <w:sz w:val="24"/>
                <w:szCs w:val="24"/>
                <w:color w:val="auto"/>
              </w:rPr>
            </w:pPr>
          </w:p>
        </w:tc>
      </w:tr>
      <w:tr>
        <w:trPr>
          <w:trHeight w:val="233"/>
        </w:trPr>
        <w:tc>
          <w:tcPr>
            <w:tcW w:w="15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as a % of earnings before income taxes</w:t>
            </w:r>
          </w:p>
        </w:tc>
        <w:tc>
          <w:tcPr>
            <w:tcW w:w="1120" w:type="dxa"/>
            <w:vAlign w:val="bottom"/>
          </w:tcPr>
          <w:p>
            <w:pPr>
              <w:spacing w:after="0"/>
              <w:rPr>
                <w:sz w:val="20"/>
                <w:szCs w:val="20"/>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16.2 %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current year effective tax rate was favorably impacted by the Company's foreign income inclusion and research and development tax credits. During the quarter, the Company completed a detailed research and development tax credit analysis for the 2019, 2020, and 2021 tax years that resulted in an incremental income tax benefit. The prior year effective tax rate was favorably impacted by stock-based compensation arrangements that was offset by the deferred revaluation related to the United Kingdom rate change.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 by Segment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Dx operating income</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Dx operating margin</w:t>
      </w:r>
    </w:p>
    <w:p>
      <w:pPr>
        <w:spacing w:after="0" w:line="20" w:lineRule="exact"/>
        <w:rPr>
          <w:sz w:val="20"/>
          <w:szCs w:val="20"/>
          <w:color w:val="auto"/>
        </w:rPr>
      </w:pPr>
    </w:p>
    <w:p>
      <w:pPr>
        <w:jc w:val="both"/>
        <w:ind w:left="60" w:right="3240" w:hanging="2"/>
        <w:spacing w:after="0" w:line="285" w:lineRule="auto"/>
        <w:tabs>
          <w:tab w:leader="none" w:pos="3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18"/>
          <w:szCs w:val="18"/>
          <w:i w:val="1"/>
          <w:iCs w:val="1"/>
          <w:color w:val="auto"/>
        </w:rPr>
        <w:t xml:space="preserve">DD operating margin </w:t>
      </w:r>
      <w:r>
        <w:rPr>
          <w:rFonts w:ascii="Times New Roman" w:cs="Times New Roman" w:eastAsia="Times New Roman" w:hAnsi="Times New Roman"/>
          <w:sz w:val="18"/>
          <w:szCs w:val="18"/>
          <w:color w:val="auto"/>
        </w:rPr>
        <w:t>General corporate expenses Total operating income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33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60" w:type="dxa"/>
            <w:vAlign w:val="bottom"/>
          </w:tcPr>
          <w:p>
            <w:pPr>
              <w:spacing w:after="0"/>
              <w:rPr>
                <w:sz w:val="20"/>
                <w:szCs w:val="20"/>
                <w:color w:val="auto"/>
              </w:rPr>
            </w:pPr>
          </w:p>
        </w:tc>
      </w:tr>
      <w:tr>
        <w:trPr>
          <w:trHeight w:val="233"/>
        </w:trPr>
        <w:tc>
          <w:tcPr>
            <w:tcW w:w="3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Change</w:t>
            </w:r>
          </w:p>
        </w:tc>
      </w:tr>
      <w:tr>
        <w:trPr>
          <w:trHeight w:val="220"/>
        </w:trPr>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378.7</w:t>
            </w:r>
          </w:p>
        </w:tc>
        <w:tc>
          <w:tcPr>
            <w:tcW w:w="12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17.2 %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27.6 %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(10.4)%</w:t>
            </w:r>
          </w:p>
        </w:tc>
      </w:tr>
      <w:tr>
        <w:trPr>
          <w:trHeight w:val="225"/>
        </w:trPr>
        <w:tc>
          <w:tcPr>
            <w:tcW w:w="300" w:type="dxa"/>
            <w:vAlign w:val="bottom"/>
          </w:tcPr>
          <w:p>
            <w:pPr>
              <w:spacing w:after="0"/>
              <w:rPr>
                <w:sz w:val="19"/>
                <w:szCs w:val="19"/>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29"/>
        </w:trPr>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11.1 %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1.4 %</w:t>
            </w:r>
          </w:p>
        </w:tc>
      </w:tr>
      <w:tr>
        <w:trPr>
          <w:trHeight w:val="232"/>
        </w:trPr>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0"/>
        </w:trPr>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469.4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-913130</wp:posOffset>
            </wp:positionV>
            <wp:extent cx="7091680" cy="152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1680" cy="15240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-617220</wp:posOffset>
            </wp:positionV>
            <wp:extent cx="7091680" cy="144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1680" cy="14414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-329565</wp:posOffset>
            </wp:positionV>
            <wp:extent cx="7091680" cy="144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1680" cy="14414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Dx operating income was $378.7 for the three months ended September 30, 2022, a decrease of $344.0 over operating income of $722.7 in the corresponding period of 2021, and Dx operating margin decreased 1,040 basis points year-over-year. The decrease in adjusted operating income and adjusted operating margin was primarily due to a reduction in COVID-19 Testing, higher personnel expense, and other inflationary costs, partially offset by organic Base Business growth and LaunchPad savings.</w:t>
      </w:r>
    </w:p>
    <w:p>
      <w:pPr>
        <w:spacing w:after="0" w:line="86" w:lineRule="exact"/>
        <w:rPr>
          <w:sz w:val="20"/>
          <w:szCs w:val="20"/>
          <w:color w:val="auto"/>
        </w:rPr>
      </w:pPr>
    </w:p>
    <w:p>
      <w:pPr>
        <w:ind w:firstLine="286"/>
        <w:spacing w:after="0" w:line="276" w:lineRule="auto"/>
        <w:tabs>
          <w:tab w:leader="none" w:pos="6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$156.7 for the three months ended September 30, 2022, an increase of $15.2 over operating income of $141.6 in the corresponding period of 2021. The increase was primarily due to less amortization expense in 2022 as a</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result of the completion of the accelerated amortization related to the Covance trade name, organic Base Business growth, and LaunchPad savings, partially offset by a reduction in COVID-19 related work, the Ukraine/Russia crisis, inflationary costs, and the mix impact of acquisitions.</w:t>
      </w:r>
    </w:p>
    <w:p>
      <w:pPr>
        <w:spacing w:after="0" w:line="84" w:lineRule="exact"/>
        <w:rPr>
          <w:sz w:val="20"/>
          <w:szCs w:val="20"/>
          <w:color w:val="auto"/>
        </w:rPr>
      </w:pPr>
    </w:p>
    <w:p>
      <w:pPr>
        <w:jc w:val="both"/>
        <w:ind w:firstLine="280"/>
        <w:spacing w:after="0" w:line="284" w:lineRule="auto"/>
        <w:rPr>
          <w:sz w:val="20"/>
          <w:szCs w:val="20"/>
          <w:color w:val="auto"/>
        </w:rPr>
      </w:pPr>
      <w:r>
        <w:rPr>
          <w:rFonts w:ascii="Times New Roman" w:cs="Times New Roman" w:eastAsia="Times New Roman" w:hAnsi="Times New Roman"/>
          <w:sz w:val="17"/>
          <w:szCs w:val="17"/>
          <w:color w:val="auto"/>
        </w:rPr>
        <w:t>General corporate expenses are comprised primarily of administrative services such as executive management, human resources, legal, finance, corporate affairs, and information technology. Corporate expenses were $66.0 for the three months ended September 30, 2022, a decrease of $31.4 over corporate expenses of $97.4 in the corresponding period of 2021, primarily due to lower personnel costs, bonus allocation, and research and development costs.</w:t>
      </w:r>
    </w:p>
    <w:p>
      <w:pPr>
        <w:spacing w:after="0" w:line="66" w:lineRule="exact"/>
        <w:rPr>
          <w:sz w:val="20"/>
          <w:szCs w:val="20"/>
          <w:color w:val="auto"/>
        </w:rPr>
      </w:pPr>
    </w:p>
    <w:p>
      <w:pPr>
        <w:ind w:right="1060" w:firstLine="280"/>
        <w:spacing w:after="0" w:line="392" w:lineRule="auto"/>
        <w:rPr>
          <w:sz w:val="20"/>
          <w:szCs w:val="20"/>
          <w:color w:val="auto"/>
        </w:rPr>
      </w:pPr>
      <w:r>
        <w:rPr>
          <w:rFonts w:ascii="Times New Roman" w:cs="Times New Roman" w:eastAsia="Times New Roman" w:hAnsi="Times New Roman"/>
          <w:sz w:val="18"/>
          <w:szCs w:val="18"/>
          <w:color w:val="auto"/>
        </w:rPr>
        <w:t xml:space="preserve">The Company remains on track to deliver approximately $350.0 of net savings from its three-year LaunchPad initiative by the end of 2024. </w:t>
      </w:r>
      <w:r>
        <w:rPr>
          <w:rFonts w:ascii="Times New Roman" w:cs="Times New Roman" w:eastAsia="Times New Roman" w:hAnsi="Times New Roman"/>
          <w:sz w:val="18"/>
          <w:szCs w:val="18"/>
          <w:b w:val="1"/>
          <w:bCs w:val="1"/>
          <w:i w:val="1"/>
          <w:iCs w:val="1"/>
          <w:color w:val="auto"/>
        </w:rPr>
        <w:t>Nine months ended September 30, 2022, compared with nine months ended September 30, 2021</w:t>
      </w:r>
    </w:p>
    <w:tbl>
      <w:tblPr>
        <w:tblLayout w:type="fixed"/>
        <w:tblInd w:w="0" w:type="dxa"/>
        <w:tblCellMar>
          <w:top w:w="0" w:type="dxa"/>
          <w:left w:w="0" w:type="dxa"/>
          <w:bottom w:w="0" w:type="dxa"/>
          <w:right w:w="0" w:type="dxa"/>
        </w:tblCellMar>
      </w:tblPr>
      <w:tr>
        <w:trPr>
          <w:trHeight w:val="195"/>
        </w:trPr>
        <w:tc>
          <w:tcPr>
            <w:tcW w:w="60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80"/>
        </w:trPr>
        <w:tc>
          <w:tcPr>
            <w:tcW w:w="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3"/>
        </w:trPr>
        <w:tc>
          <w:tcPr>
            <w:tcW w:w="40" w:type="dxa"/>
            <w:vAlign w:val="bottom"/>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5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40" w:type="dxa"/>
            <w:vAlign w:val="bottom"/>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Dx</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7"/>
        </w:trPr>
        <w:tc>
          <w:tcPr>
            <w:tcW w:w="4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DD</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7"/>
        </w:trPr>
        <w:tc>
          <w:tcPr>
            <w:tcW w:w="40" w:type="dxa"/>
            <w:vAlign w:val="bottom"/>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r>
      <w:tr>
        <w:trPr>
          <w:trHeight w:val="220"/>
        </w:trPr>
        <w:tc>
          <w:tcPr>
            <w:tcW w:w="4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12,064.8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75"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decrease in revenues for the nine months ended September 30, 2022, as compared with the corresponding period in 2021 was 7.1%. The decrease was due to lower organic revenue of 6.9% and unfavorable foreign currency translation of 0.9%, partially offset by acquisitions net of divestitures of 0.6%. The 6.9% decrease in organic revenue includes an 8.9% decrease from COVID-19 Testing and a 2.0% increase in the Company's organic Base Business.</w:t>
      </w:r>
    </w:p>
    <w:p>
      <w:pPr>
        <w:spacing w:after="0" w:line="8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Dx revenues for the nine months ended September 30, 2022 were $6,917.1, a decrease of 10.6% compared to revenues of $7,740.8 during the nine months ended September 30, 2021. The decrease was primarily due to lower organic revenue of 11.4%, partially offset by acquisitions of 0.8%. The 11.4% decrease in organic revenue was due to a 13.8% decrease in COVID-19 Testing, partially offset by a 2.4% increase in the Base Business.</w:t>
      </w:r>
    </w:p>
    <w:p>
      <w:pPr>
        <w:spacing w:after="0" w:line="98"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Total volume, measured by requisitions, decreased by 6.1% as organic volume decreased by 6.5% and acquisition volume contributed 0.4%. COVID-19 Testing decreased organic volume growth by 9.1%. Price/mix decreased by 4.6% due to lower COVID-19 Testing of 4.8%, lower organic Base Business of 0.1%, and unfavorable foreign currency translation of 0.1%, partially offset by acquisitions of 0.4%.</w:t>
      </w:r>
    </w:p>
    <w:p>
      <w:pPr>
        <w:spacing w:after="0" w:line="84" w:lineRule="exact"/>
        <w:rPr>
          <w:sz w:val="20"/>
          <w:szCs w:val="20"/>
          <w:color w:val="auto"/>
        </w:rPr>
      </w:pPr>
    </w:p>
    <w:p>
      <w:pPr>
        <w:jc w:val="both"/>
        <w:ind w:firstLine="247"/>
        <w:spacing w:after="0" w:line="257" w:lineRule="auto"/>
        <w:tabs>
          <w:tab w:leader="none" w:pos="5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nine months ended September 30, 2022 were $4,317.0, a decrease of 1.7% over revenues of $4,392.9 during the nine months ended September 30, 2021. The decrease in revenues was primarily due to unfavorable foreign currency translation of 2.4%, lower COVID-19 Testing performed through its Central Laboratories business of 0.8%, partially offset by an increase in organic Base Business revenue of 1.2% and acquisitions net of divestitures of 0.3%.</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0"/>
        </w:trPr>
        <w:tc>
          <w:tcPr>
            <w:tcW w:w="13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40" w:type="dxa"/>
            <w:vAlign w:val="bottom"/>
          </w:tcPr>
          <w:p>
            <w:pPr>
              <w:spacing w:after="0"/>
              <w:rPr>
                <w:sz w:val="24"/>
                <w:szCs w:val="24"/>
                <w:color w:val="auto"/>
              </w:rPr>
            </w:pPr>
          </w:p>
        </w:tc>
      </w:tr>
      <w:tr>
        <w:trPr>
          <w:trHeight w:val="233"/>
        </w:trPr>
        <w:tc>
          <w:tcPr>
            <w:tcW w:w="130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7,787.3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7,815.5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76"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Cost of revenues decreased 0.4% during the nine months ended September 30, 2022, as compared with the corresponding period in 2021. Cost of revenues as a percentage of revenues during the nine months ended September 30, 2022, increased to 69.5% as compared to 64.8% in the corresponding period in 2021. This increase in cost of revenues as a percentage of revenues was primarily due to a reduction in COVID-19 Testing revenues, higher personnel expenses, and other inflationary costs, partially offset by organic Base Business growth and LaunchPad savings.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0"/>
        </w:trPr>
        <w:tc>
          <w:tcPr>
            <w:tcW w:w="34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40" w:type="dxa"/>
            <w:vAlign w:val="bottom"/>
          </w:tcPr>
          <w:p>
            <w:pPr>
              <w:spacing w:after="0"/>
              <w:rPr>
                <w:sz w:val="24"/>
                <w:szCs w:val="24"/>
                <w:color w:val="auto"/>
              </w:rPr>
            </w:pPr>
          </w:p>
        </w:tc>
      </w:tr>
      <w:tr>
        <w:trPr>
          <w:trHeight w:val="233"/>
        </w:trPr>
        <w:tc>
          <w:tcPr>
            <w:tcW w:w="348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1,460.1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1,408.4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revenues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were 13.0% and 11.7% during the nine months ended September 30, 2022, and 2021, respectively. The increase is primarily due to a reduction in COVID-19 Testing revenues and higher personnel expenses, partially offset by LaunchPad savings.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564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60"/>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and Other Assets</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0"/>
        </w:trPr>
        <w:tc>
          <w:tcPr>
            <w:tcW w:w="560" w:type="dxa"/>
            <w:vAlign w:val="bottom"/>
            <w:tcBorders>
              <w:top w:val="single" w:sz="8" w:color="auto"/>
            </w:tcBorders>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3340" w:type="dxa"/>
            <w:vAlign w:val="bottom"/>
            <w:tcBorders>
              <w:bottom w:val="single" w:sz="8" w:color="auto"/>
            </w:tcBorders>
            <w:gridSpan w:val="5"/>
          </w:tcPr>
          <w:p>
            <w:pPr>
              <w:jc w:val="right"/>
              <w:ind w:right="331"/>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56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106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27"/>
        </w:trPr>
        <w:tc>
          <w:tcPr>
            <w:tcW w:w="6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DD</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45"/>
        </w:trPr>
        <w:tc>
          <w:tcPr>
            <w:tcW w:w="6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of intangibles and other assets</w:t>
            </w:r>
          </w:p>
        </w:tc>
        <w:tc>
          <w:tcPr>
            <w:tcW w:w="106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The decrease in amortization of intangibles and other assets primarily reflects the completion of the accelerated amortization related to the Covance trade name as a result of a rebranding initiative that resulted in $87.4 of expense in the nine months ended September 30, 2021, offset by additional amortization for assets acquired subsequent to September 30, 2021.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13"/>
        </w:trPr>
        <w:tc>
          <w:tcPr>
            <w:tcW w:w="100" w:type="dxa"/>
            <w:vAlign w:val="bottom"/>
            <w:tcBorders>
              <w:top w:val="single" w:sz="8" w:color="auto"/>
            </w:tcBorders>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440" w:type="dxa"/>
            <w:vAlign w:val="bottom"/>
          </w:tcPr>
          <w:p>
            <w:pPr>
              <w:spacing w:after="0"/>
              <w:rPr>
                <w:sz w:val="24"/>
                <w:szCs w:val="24"/>
                <w:color w:val="auto"/>
              </w:rPr>
            </w:pPr>
          </w:p>
        </w:tc>
      </w:tr>
      <w:tr>
        <w:trPr>
          <w:trHeight w:val="233"/>
        </w:trPr>
        <w:tc>
          <w:tcPr>
            <w:tcW w:w="100" w:type="dxa"/>
            <w:vAlign w:val="bottom"/>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100" w:type="dxa"/>
            <w:vAlign w:val="bottom"/>
          </w:tcPr>
          <w:p>
            <w:pPr>
              <w:spacing w:after="0"/>
              <w:rPr>
                <w:sz w:val="19"/>
                <w:szCs w:val="19"/>
                <w:color w:val="auto"/>
              </w:rPr>
            </w:pPr>
          </w:p>
        </w:tc>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28" w:lineRule="exact"/>
        <w:rPr>
          <w:sz w:val="20"/>
          <w:szCs w:val="20"/>
          <w:color w:val="auto"/>
        </w:rPr>
      </w:pPr>
    </w:p>
    <w:p>
      <w:pPr>
        <w:jc w:val="both"/>
        <w:ind w:firstLine="280"/>
        <w:spacing w:after="0" w:line="276" w:lineRule="auto"/>
        <w:rPr>
          <w:sz w:val="20"/>
          <w:szCs w:val="20"/>
          <w:color w:val="auto"/>
        </w:rPr>
      </w:pPr>
      <w:r>
        <w:rPr>
          <w:rFonts w:ascii="Times New Roman" w:cs="Times New Roman" w:eastAsia="Times New Roman" w:hAnsi="Times New Roman"/>
          <w:sz w:val="18"/>
          <w:szCs w:val="18"/>
          <w:color w:val="auto"/>
        </w:rPr>
        <w:t>The Company recorded impairment charges of $1.2 in other assets in Ukraine and Russia during the nine months ended September 30, 2022. There were no goodwill and other asset impairments for the nine months ended September 30, 2021.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Special Charges</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3160" w:type="dxa"/>
            <w:vAlign w:val="bottom"/>
            <w:tcBorders>
              <w:top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3160" w:type="dxa"/>
            <w:vAlign w:val="bottom"/>
            <w:tcBorders>
              <w:bottom w:val="single" w:sz="8" w:color="CCEEFF"/>
            </w:tcBorders>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104.6 %</w:t>
            </w:r>
          </w:p>
        </w:tc>
      </w:tr>
    </w:tbl>
    <w:p>
      <w:pPr>
        <w:spacing w:after="0" w:line="195"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recorded net restructuring and other charges of $72.1: $23.9 within Dx, $42.7 within DD, and $5.5 allocated to general corporate. The charges were comprised of $31.9 related to severance and other personnel costs and $38.6 in facility closures, lease terminations, and general integration activities. The charges were adjusted by an increase of $2.0 of previously established severance liabilities and the reversal of previously established liability of $0.4 in unused facility-related costs.</w:t>
      </w:r>
    </w:p>
    <w:p>
      <w:pPr>
        <w:spacing w:after="0" w:line="86"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During the nine months ended September 30, 2021, the Company recorded net restructuring and other special charges of $35.3: $16.8 within Dx and $18.5 within DD. The charges were comprised of $13.6 related to severance and other personnel costs and $22.4 in facility closures, lease terminations, and general integration initiatives. The charges were adjusted by a decrease of $0.1 of previously established severance liabilities and the reversal of previously established liability of $0.7 in unused facility-related costs.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128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1280" w:type="dxa"/>
            <w:vAlign w:val="bottom"/>
            <w:tcBorders>
              <w:bottom w:val="single" w:sz="8" w:color="CCEEFF"/>
            </w:tcBorders>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bl>
    <w:p>
      <w:pPr>
        <w:spacing w:after="0" w:line="168" w:lineRule="exact"/>
        <w:rPr>
          <w:sz w:val="20"/>
          <w:szCs w:val="20"/>
          <w:color w:val="auto"/>
        </w:rPr>
      </w:pPr>
    </w:p>
    <w:p>
      <w:pPr>
        <w:jc w:val="both"/>
        <w:ind w:firstLine="240"/>
        <w:spacing w:after="0" w:line="306" w:lineRule="auto"/>
        <w:rPr>
          <w:sz w:val="20"/>
          <w:szCs w:val="20"/>
          <w:color w:val="auto"/>
        </w:rPr>
      </w:pPr>
      <w:r>
        <w:rPr>
          <w:rFonts w:ascii="Times New Roman" w:cs="Times New Roman" w:eastAsia="Times New Roman" w:hAnsi="Times New Roman"/>
          <w:sz w:val="17"/>
          <w:szCs w:val="17"/>
          <w:color w:val="auto"/>
        </w:rPr>
        <w:t>The decrease in interest expense for the nine months ended September 30, 2022, as compared with the corresponding period in 2021, is primarily due to the costs of redeeming the 3.20% and 3.75% notes and issuing the new senior notes in 2021, lower outstanding debt and a lower average cost of debt in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Method Income</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17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17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income, net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bl>
    <w:p>
      <w:pPr>
        <w:spacing w:after="0" w:line="62"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8"/>
          <w:szCs w:val="18"/>
          <w:color w:val="auto"/>
        </w:rPr>
        <w:t>Equity method income represents the Company's ownership share in joint venture partnerships along with equity investments in other companies in the health care industry. The decrease in income for the nine months ended September 30, 2022, as compared with the corresponding period in 2021, was primarily due to the decreased profitability of the Company's joint ventures in 2022.</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76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760" w:type="dxa"/>
            <w:vAlign w:val="bottom"/>
            <w:tcBorders>
              <w:bottom w:val="single" w:sz="8" w:color="CCEEFF"/>
            </w:tcBorders>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r>
    </w:tbl>
    <w:p>
      <w:pPr>
        <w:spacing w:after="0" w:line="200" w:lineRule="exact"/>
        <w:rPr>
          <w:sz w:val="20"/>
          <w:szCs w:val="20"/>
          <w:color w:val="auto"/>
        </w:rPr>
      </w:pPr>
    </w:p>
    <w:p>
      <w:pPr>
        <w:sectPr>
          <w:pgSz w:w="11900" w:h="16838" w:orient="portrait"/>
          <w:cols w:equalWidth="0" w:num="1">
            <w:col w:w="11240"/>
          </w:cols>
          <w:pgMar w:left="320" w:top="106"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3" w:lineRule="exact"/>
        <w:rPr>
          <w:sz w:val="20"/>
          <w:szCs w:val="20"/>
          <w:color w:val="auto"/>
        </w:rPr>
      </w:pPr>
    </w:p>
    <w:p>
      <w:pPr>
        <w:jc w:val="both"/>
        <w:ind w:firstLine="287"/>
        <w:spacing w:after="0" w:line="261" w:lineRule="auto"/>
        <w:rPr>
          <w:sz w:val="20"/>
          <w:szCs w:val="20"/>
          <w:color w:val="auto"/>
        </w:rPr>
      </w:pPr>
      <w:r>
        <w:rPr>
          <w:rFonts w:ascii="Times New Roman" w:cs="Times New Roman" w:eastAsia="Times New Roman" w:hAnsi="Times New Roman"/>
          <w:sz w:val="18"/>
          <w:szCs w:val="18"/>
          <w:color w:val="auto"/>
        </w:rPr>
        <w:t>The change in Other, net for the nine months ended September 30, 2022, as compared to the nine months ended September 30, 2021, is primarily due to investment losses of $19.4 compared to $67.4 of investment gains in the corresponding period of 2021. In addition, foreign currency transaction losses of $5.1 were recognized for the nine months ended September 30, 2022, and losses of $2.4 were recognized in the corresponding period of 2021.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15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366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40" w:type="dxa"/>
            <w:vAlign w:val="bottom"/>
          </w:tcPr>
          <w:p>
            <w:pPr>
              <w:spacing w:after="0"/>
              <w:rPr>
                <w:sz w:val="24"/>
                <w:szCs w:val="24"/>
                <w:color w:val="auto"/>
              </w:rPr>
            </w:pPr>
          </w:p>
        </w:tc>
      </w:tr>
      <w:tr>
        <w:trPr>
          <w:trHeight w:val="233"/>
        </w:trPr>
        <w:tc>
          <w:tcPr>
            <w:tcW w:w="15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8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333.9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as a % of earnings before income taxes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69"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current year effective tax rate was favorably impacted by the Company's foreign income inclusion and research and development tax credits. During the quarter, the Company completed a detailed research and development tax credit analysis for the 2019, 2020, and 2021 tax years that resulted in an incremental income tax benefit. The prior year effective tax rate was favorably impacted by stock-based compensation arrangements that was offset by the deferred revaluation related to the United Kingdom rate change.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80"/>
        </w:trPr>
        <w:tc>
          <w:tcPr>
            <w:tcW w:w="4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3"/>
        </w:trPr>
        <w:tc>
          <w:tcPr>
            <w:tcW w:w="40" w:type="dxa"/>
            <w:vAlign w:val="bottom"/>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36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40" w:type="dxa"/>
            <w:vAlign w:val="bottom"/>
          </w:tcPr>
          <w:p>
            <w:pPr>
              <w:spacing w:after="0"/>
              <w:rPr>
                <w:sz w:val="19"/>
                <w:szCs w:val="19"/>
                <w:color w:val="auto"/>
              </w:rPr>
            </w:pPr>
          </w:p>
        </w:tc>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operating income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(817.9)</w:t>
            </w:r>
          </w:p>
        </w:tc>
      </w:tr>
      <w:tr>
        <w:trPr>
          <w:trHeight w:val="227"/>
        </w:trPr>
        <w:tc>
          <w:tcPr>
            <w:tcW w:w="40" w:type="dxa"/>
            <w:vAlign w:val="bottom"/>
          </w:tcPr>
          <w:p>
            <w:pPr>
              <w:spacing w:after="0"/>
              <w:rPr>
                <w:sz w:val="19"/>
                <w:szCs w:val="19"/>
                <w:color w:val="auto"/>
              </w:rPr>
            </w:pPr>
          </w:p>
        </w:tc>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Dx operating margin</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21.1 %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(8.3)%</w:t>
            </w:r>
          </w:p>
        </w:tc>
      </w:tr>
      <w:tr>
        <w:trPr>
          <w:trHeight w:val="227"/>
        </w:trPr>
        <w:tc>
          <w:tcPr>
            <w:tcW w:w="40" w:type="dxa"/>
            <w:vAlign w:val="bottom"/>
          </w:tcPr>
          <w:p>
            <w:pPr>
              <w:spacing w:after="0"/>
              <w:rPr>
                <w:sz w:val="19"/>
                <w:szCs w:val="19"/>
                <w:color w:val="auto"/>
              </w:rPr>
            </w:pPr>
          </w:p>
        </w:tc>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DD operating income</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(13.4)</w:t>
            </w:r>
          </w:p>
        </w:tc>
      </w:tr>
      <w:tr>
        <w:trPr>
          <w:trHeight w:val="227"/>
        </w:trPr>
        <w:tc>
          <w:tcPr>
            <w:tcW w:w="40" w:type="dxa"/>
            <w:vAlign w:val="bottom"/>
          </w:tcPr>
          <w:p>
            <w:pPr>
              <w:spacing w:after="0"/>
              <w:rPr>
                <w:sz w:val="19"/>
                <w:szCs w:val="19"/>
                <w:color w:val="auto"/>
              </w:rPr>
            </w:pPr>
          </w:p>
        </w:tc>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DD operating margin</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r>
      <w:tr>
        <w:trPr>
          <w:trHeight w:val="227"/>
        </w:trPr>
        <w:tc>
          <w:tcPr>
            <w:tcW w:w="40" w:type="dxa"/>
            <w:vAlign w:val="bottom"/>
          </w:tcPr>
          <w:p>
            <w:pPr>
              <w:spacing w:after="0"/>
              <w:rPr>
                <w:sz w:val="19"/>
                <w:szCs w:val="19"/>
                <w:color w:val="auto"/>
              </w:rPr>
            </w:pPr>
          </w:p>
        </w:tc>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(206.1)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(14.3)</w:t>
            </w:r>
          </w:p>
        </w:tc>
      </w:tr>
      <w:tr>
        <w:trPr>
          <w:trHeight w:val="220"/>
        </w:trPr>
        <w:tc>
          <w:tcPr>
            <w:tcW w:w="40" w:type="dxa"/>
            <w:vAlign w:val="bottom"/>
          </w:tcPr>
          <w:p>
            <w:pPr>
              <w:spacing w:after="0"/>
              <w:rPr>
                <w:sz w:val="19"/>
                <w:szCs w:val="19"/>
                <w:color w:val="auto"/>
              </w:rPr>
            </w:pPr>
          </w:p>
        </w:tc>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1,683.2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2,528.9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(845.7)</w:t>
            </w: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Dx operating income was $1,457.5 for the nine months ended September 30, 2022, a decrease of $817.9 from operating income of $2,275.4 in the corresponding period of 2021, and Dx operating margin decreased 830 basis points year-over-year. The decrease in adjusted operating income and adjusted operating margin was primarily due to a reduction in COVID-19 Testing, higher personnel expense, and other inflationary costs, partially offset by organic Base Business growth and LaunchPad savings.</w:t>
      </w:r>
    </w:p>
    <w:p>
      <w:pPr>
        <w:spacing w:after="0" w:line="86" w:lineRule="exact"/>
        <w:rPr>
          <w:sz w:val="20"/>
          <w:szCs w:val="20"/>
          <w:color w:val="auto"/>
        </w:rPr>
      </w:pPr>
    </w:p>
    <w:p>
      <w:pPr>
        <w:jc w:val="both"/>
        <w:ind w:firstLine="286"/>
        <w:spacing w:after="0" w:line="254" w:lineRule="auto"/>
        <w:tabs>
          <w:tab w:leader="none" w:pos="6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$431.8 for the nine months ended September 30, 2022, a decrease of $13.4 from operating income of $445.3 in the corresponding period of 2021. The decrease was primarily due to a reduction in COVID-19 Testing, a reduction in COVID-19 related work, the interruption of some clinical trial activity due to the conflict in Ukraine, higher personnel expense, and other inflationary costs. These impacts were partially offset by less amortization expense as a result of the completion of the accelerated amortization related to the Covance trade name, organic Base Business growth and LaunchPad savings.</w:t>
      </w:r>
    </w:p>
    <w:p>
      <w:pPr>
        <w:spacing w:after="0" w:line="104"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General corporate expenses are comprised primarily of administrative services such as executive management, human resources, legal, finance, corporate affairs, and information technology. Corporate expenses were $206.1 for the nine months ended September 30, 2022, an increase of $14.3 over corporate expenses of $191.8 in the corresponding period of 2021, primarily due to higher personnel costs, bonus allocation, research and development costs, and other costs.</w:t>
      </w:r>
    </w:p>
    <w:p>
      <w:pPr>
        <w:spacing w:after="0" w:line="86" w:lineRule="exact"/>
        <w:rPr>
          <w:sz w:val="20"/>
          <w:szCs w:val="20"/>
          <w:color w:val="auto"/>
        </w:rPr>
      </w:pPr>
    </w:p>
    <w:p>
      <w:pPr>
        <w:ind w:left="240" w:right="1060" w:firstLine="40"/>
        <w:spacing w:after="0" w:line="394" w:lineRule="auto"/>
        <w:rPr>
          <w:sz w:val="20"/>
          <w:szCs w:val="20"/>
          <w:color w:val="auto"/>
        </w:rPr>
      </w:pPr>
      <w:r>
        <w:rPr>
          <w:rFonts w:ascii="Times New Roman" w:cs="Times New Roman" w:eastAsia="Times New Roman" w:hAnsi="Times New Roman"/>
          <w:sz w:val="18"/>
          <w:szCs w:val="18"/>
          <w:color w:val="auto"/>
        </w:rPr>
        <w:t xml:space="preserve">The Company remains on track to deliver approximately $350.0 of net savings from its three-year LaunchPad initiative by the end of 2024. </w:t>
      </w:r>
      <w:r>
        <w:rPr>
          <w:rFonts w:ascii="Times New Roman" w:cs="Times New Roman" w:eastAsia="Times New Roman" w:hAnsi="Times New Roman"/>
          <w:sz w:val="18"/>
          <w:szCs w:val="18"/>
          <w:b w:val="1"/>
          <w:bCs w:val="1"/>
          <w:u w:val="single" w:color="auto"/>
          <w:color w:val="auto"/>
        </w:rPr>
        <w:t>LIQUIDITY AND CAPITAL RESOURCES (dollars and shares in millions)</w:t>
      </w: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The Company's cash-generating 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6 (Debt) to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780"/>
        </w:trPr>
        <w:tc>
          <w:tcPr>
            <w:tcW w:w="40" w:type="dxa"/>
            <w:vAlign w:val="bottom"/>
          </w:tcPr>
          <w:p>
            <w:pPr>
              <w:spacing w:after="0"/>
              <w:rPr>
                <w:sz w:val="24"/>
                <w:szCs w:val="24"/>
                <w:color w:val="auto"/>
              </w:rPr>
            </w:pPr>
          </w:p>
        </w:tc>
        <w:tc>
          <w:tcPr>
            <w:tcW w:w="95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In summary, the Company's cash flows were as follows for the nine months ended September 30, 2022, and 2021, respectively:</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9"/>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3"/>
        </w:trPr>
        <w:tc>
          <w:tcPr>
            <w:tcW w:w="40" w:type="dxa"/>
            <w:vAlign w:val="bottom"/>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7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2021</w:t>
            </w:r>
          </w:p>
        </w:tc>
      </w:tr>
      <w:tr>
        <w:trPr>
          <w:trHeight w:val="227"/>
        </w:trPr>
        <w:tc>
          <w:tcPr>
            <w:tcW w:w="40" w:type="dxa"/>
            <w:vAlign w:val="bottom"/>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2,412.1</w:t>
            </w:r>
          </w:p>
        </w:tc>
      </w:tr>
      <w:tr>
        <w:trPr>
          <w:trHeight w:val="227"/>
        </w:trPr>
        <w:tc>
          <w:tcPr>
            <w:tcW w:w="4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r>
      <w:tr>
        <w:trPr>
          <w:trHeight w:val="227"/>
        </w:trPr>
        <w:tc>
          <w:tcPr>
            <w:tcW w:w="40" w:type="dxa"/>
            <w:vAlign w:val="bottom"/>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w:t>
            </w:r>
          </w:p>
        </w:tc>
      </w:tr>
      <w:tr>
        <w:trPr>
          <w:trHeight w:val="227"/>
        </w:trPr>
        <w:tc>
          <w:tcPr>
            <w:tcW w:w="40" w:type="dxa"/>
            <w:vAlign w:val="bottom"/>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5"/>
        </w:trPr>
        <w:tc>
          <w:tcPr>
            <w:tcW w:w="40" w:type="dxa"/>
            <w:vAlign w:val="bottom"/>
          </w:tcPr>
          <w:p>
            <w:pPr>
              <w:spacing w:after="0"/>
              <w:rPr>
                <w:sz w:val="20"/>
                <w:szCs w:val="20"/>
                <w:color w:val="auto"/>
              </w:rPr>
            </w:pPr>
          </w:p>
        </w:tc>
        <w:tc>
          <w:tcPr>
            <w:tcW w:w="7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r>
      <w:tr>
        <w:trPr>
          <w:trHeight w:val="20"/>
        </w:trPr>
        <w:tc>
          <w:tcPr>
            <w:tcW w:w="4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6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Cash and cash equivalents at September 30, 2022, and 2021, totaled $409.9 and $2,036.5, respectively. Cash and cash equivalents consist of highly liquid instruments, such as time deposits, commercial paper, and other money market investments, which have original maturities of three months or less.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64"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Company's operations provided $1,302.3 of cash as compared to $2,412.1 during the same period in 2021. The $1,109.8 decrease in cash provided from operations in 2022 as compared with the corresponding 2021 period is primarily due to lower cash earnings and unfavorable working capital requirements.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6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Net cash used for investing activities for the nine months ended September 30, 2022, was $1,378.9 as compared to $630.1 for the nine months ended September 30, 2021. The change in cash used for investing activities was primarily due to an increase in business acquisitions and higher capital expenditures during the nine months ended September 30, 2022. Capital expenditures were $364.0 and $310.4 for the nine months ended September 30, 2022, and 2021,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6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Net cash used by financing activities for the nine months ended September 30, 2022, was $949.6 as compared to $1,057.2 for the nine months ended September 30, 2021. The change in cash flows from financing activities for the nine months ended September 30, 2022, as compared to the nine months ended September 30, 2021, was primarily due to the repayment of the 2019 Term Loan in 2021, the payment of dividends of $131.6 in 2022, and an increase of $131.5 in share repurchases.</w:t>
      </w:r>
    </w:p>
    <w:p>
      <w:pPr>
        <w:spacing w:after="0" w:line="8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At September 30, 2022, the Company had $409.9 of cash and $1,000.0 of available borrowings under its revolving credit facility, which does not mature until 2026. Under the Company's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under the revolving credit facility at September 30, 2022, and expects that it will remain in compliance with its existing debt covenants for the next twelve months.</w:t>
      </w:r>
    </w:p>
    <w:p>
      <w:pPr>
        <w:spacing w:after="0" w:line="10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the Company purchased 3.3 shares of its common stock at a total cost of $800.0. As of September 30, 2022, the Company had an outstanding authorization from the board of directors to purchase up to $831.5 more of the Company's common stock with no expiration date.</w:t>
      </w:r>
    </w:p>
    <w:p>
      <w:pPr>
        <w:spacing w:after="0" w:line="8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the nine months ended September 30, 2022, the Company paid $131.6 in common stock dividends. On October 12, 2022, the Company announced a cash dividend of $0.72 per share of common stock for the fourth quarter, or approximately $64.9 in the aggregate. The dividend will be payable on December 9, 2022, to stockholders of record of all issued and outstanding shares of common stock as of the close of business on November 17, 2022. The declaration and payment of any future dividends will be at the discretion of the Company's board of directors.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investment grade debt ratings from Moody’s and from Standard and Poor’s (S&amp;P) contribute to its ability to access capital markets.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(dollars in millions)</w:t>
      </w:r>
    </w:p>
    <w:p>
      <w:pPr>
        <w:spacing w:after="0" w:line="142"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its exposure to such changes. The Company addresses its exposure to market risks, principally the market risks associated with changes in foreign currency exchange rates and interest rates, through a controlled program of risk management that includes,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from time to time, the use of derivative financial instruments such as foreign currency forward contracts, and interest rate and cross currency swap agreements.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6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Approximately 15.1% of the Company's revenues for the nine months ended September 30, 2022, and approximately 15.2% of the Company's revenue for the nine months ended September 30, 2021, were denominated in currencies other than the U.S. Dollar (USD). The Company's financial statements are reported in USD and, accordingly, fluctuations in exchange rates will affect the translation of revenues and expenses denominated in foreign currencies into USD for purposes of reporting the Company's consolidated financial results. In the third quarter of 2022 and the year ended December 31, 2021,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the nine months ended September 30, 2022, by approximately $20.6. Gross accumulated currency translation adjustments recorded as a separate component of shareholders’ equity were $(572.2) and $(114.6) at September 30, 2022 and 2021, respectively. The Company does not have significant operations in countries in which the economy is considered to be highly inflationary.</w:t>
      </w:r>
    </w:p>
    <w:p>
      <w:pPr>
        <w:spacing w:after="0" w:line="9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earns revenue from service contracts over a period of time, ranging from months to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September 30, 2022, the Company had 24 open foreign exchange forward contracts relating to service contracts with various amounts maturing monthly through October 2022 with a notional value totaling approximately $670.3. At December 31, 2021, the Company had 28 open foreign exchange forward contracts relating to service contracts with various amounts maturing monthly through January 2022 with a notional value totaling approximately $600.7.</w:t>
      </w:r>
    </w:p>
    <w:p>
      <w:pPr>
        <w:spacing w:after="0" w:line="94" w:lineRule="exact"/>
        <w:rPr>
          <w:sz w:val="20"/>
          <w:szCs w:val="20"/>
          <w:color w:val="auto"/>
        </w:rPr>
      </w:pPr>
    </w:p>
    <w:p>
      <w:pPr>
        <w:jc w:val="both"/>
        <w:ind w:firstLine="240"/>
        <w:spacing w:after="0" w:line="306" w:lineRule="auto"/>
        <w:rPr>
          <w:sz w:val="20"/>
          <w:szCs w:val="20"/>
          <w:color w:val="auto"/>
        </w:rPr>
      </w:pPr>
      <w:r>
        <w:rPr>
          <w:rFonts w:ascii="Times New Roman" w:cs="Times New Roman" w:eastAsia="Times New Roman" w:hAnsi="Times New Roman"/>
          <w:sz w:val="17"/>
          <w:szCs w:val="17"/>
          <w:color w:val="auto"/>
        </w:rPr>
        <w:t>The Company is party to U.S. to Swiss Franc cross-currency swap agreements with an aggregate notional amount of $600.0, $300.0 maturing in 2024 and $300.0 maturing in 2025, as a hedge against the impact of foreign exchange movements on its net investment in a Swiss Franc functional currency subsidiary.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62"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Some of the Company's debt from time to time is subject to interest at variable rates. As a result, fluctuations in interest rates can affect the business. The Company attempts to manage interest rate risk and overall borrowing costs through an appropriate mix of fixed and variable rate debt including by the utilization of derivative financial instruments, primarily interest rate swaps.</w:t>
      </w:r>
    </w:p>
    <w:p>
      <w:pPr>
        <w:spacing w:after="0" w:line="8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Borrowings under the Company's term loan credit facility, now repaid, and revolving credit facility are subject to variable interest rates, unless fixed through interest rate swaps or other agreements.</w:t>
      </w:r>
    </w:p>
    <w:p>
      <w:pPr>
        <w:spacing w:after="0" w:line="70"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based on three-month LIBOR plus 1.0706%.</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64"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Rules13a-15(e) and 15d-15(e) under the Securities Exchange Act of 1934, as amended). Based upon this evaluation, the Company’s principal executive officer and principal financial officer concluded that the Company’s disclosure controls and procedures were effective as of September 30, 2022.</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64"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Rules13a-15(f) and 15d-15(f) under the Securities Exchange Act of 1934, as amended) that occurred during the quarter ended September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5" w:lineRule="exact"/>
        <w:rPr>
          <w:sz w:val="20"/>
          <w:szCs w:val="20"/>
          <w:color w:val="auto"/>
        </w:rPr>
      </w:pPr>
    </w:p>
    <w:p>
      <w:pPr>
        <w:ind w:right="340" w:firstLine="240"/>
        <w:spacing w:after="0" w:line="276" w:lineRule="auto"/>
        <w:rPr>
          <w:sz w:val="20"/>
          <w:szCs w:val="20"/>
          <w:color w:val="auto"/>
        </w:rPr>
      </w:pPr>
      <w:r>
        <w:rPr>
          <w:rFonts w:ascii="Times New Roman" w:cs="Times New Roman" w:eastAsia="Times New Roman" w:hAnsi="Times New Roman"/>
          <w:sz w:val="18"/>
          <w:szCs w:val="18"/>
          <w:color w:val="auto"/>
        </w:rPr>
        <w:t>See Note 8 (Commitments and Contingencies) to the Company’s condensed consolidated financial statements, above, which is incorporated herein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62"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risk factors set forth below revise and supplement the corresponding risk factors set forth in the Company's Annual Report on Form 10-K for the year ended December 31, 2021. With the exception of the following, there have been no material changes in the risk factors that appear in the Company's Annual Report on Form 10-K for the year ended December 31, 2021.</w:t>
      </w:r>
    </w:p>
    <w:p>
      <w:pPr>
        <w:spacing w:after="0" w:line="82" w:lineRule="exact"/>
        <w:rPr>
          <w:sz w:val="20"/>
          <w:szCs w:val="20"/>
          <w:color w:val="auto"/>
        </w:rPr>
      </w:pPr>
    </w:p>
    <w:p>
      <w:pPr>
        <w:jc w:val="both"/>
        <w:ind w:firstLine="240"/>
        <w:spacing w:after="0" w:line="278" w:lineRule="auto"/>
        <w:rPr>
          <w:sz w:val="20"/>
          <w:szCs w:val="20"/>
          <w:color w:val="auto"/>
        </w:rPr>
      </w:pPr>
      <w:r>
        <w:rPr>
          <w:rFonts w:ascii="Times New Roman" w:cs="Times New Roman" w:eastAsia="Times New Roman" w:hAnsi="Times New Roman"/>
          <w:sz w:val="18"/>
          <w:szCs w:val="18"/>
          <w:b w:val="1"/>
          <w:bCs w:val="1"/>
          <w:color w:val="auto"/>
        </w:rPr>
        <w:t>The planned spin-off of the Company’s Clinical Development business may not be completed on the terms or timeline currently contemplated, if at all, and may not achieve the intended results.</w:t>
      </w:r>
    </w:p>
    <w:p>
      <w:pPr>
        <w:spacing w:after="0" w:line="8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Company intends to pursue a spin-off of its wholly owned Clinical Development business, which includes the parts of its DD segment focused on providing Phase I-IV clinical trial management, market access, and technology solutions to pharmaceutical and biotechnology organizations, which would result in two independent, publicly traded companies. Unanticipated issues including, but not limited to, the failure to obtain regulatory approval, obtain appropriate assurances regarding the tax-free nature of the spin-off, or have the Form 10 registration statement that will be filed with the SEC declared effective on a timely basis or at all, could delay, prevent, or otherwise adversely affect the planned spin-off. There can be no assurance that the conditions of the spin-off will be satisfied or that Company will be able to complete the spin-off on the terms or on the anticipated timeline, or at all.</w:t>
      </w:r>
    </w:p>
    <w:p>
      <w:pPr>
        <w:spacing w:after="0" w:line="9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Company expects that pursuing and implementing the spin-off will continue to require significant expenses and management time and effort, may divert management’s attention from the Company and Clinical Development's ongoing business operations and may adversely impact relationships with customers, suppliers, employees, and other business counterparties. The Company may experience delays, business disruption, increased costs, including from lost synergies or from restructuring transactions, negative market reaction to the announcement and planning for the transaction, change in market receptiveness to effect transactions in the capital markets, and other challenges during or following the spin-off, which could adversely affect the Company’s business, financial condition, and results of operations. The Company may also experience increased challenges in attracting, retaining, and motivating key personnel during the pendency of the spin-off and following its completion, which could harm the Company’s business. The Company anticipates that, consistent with any applicable legal and tax requirements, there will be ongoing transitional and commercial arrangements to provide for a seamless delivery of services to the customers and other stakeholders of the independent companies following the spin-off, but those arrangements may not meet the intended objectives, which could negatively impact the Company’s and Clinical Development’s business, including relationships with customers and other business counterparties.</w:t>
      </w:r>
    </w:p>
    <w:p>
      <w:pPr>
        <w:spacing w:after="0" w:line="9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Further, if the planned spin-off is completed, the anticipated benefits of the transaction may not be realized within the expected time periods or at all. Failure to implement the planned spin-off effectively or the negative reaction of customers, the Company’s employees, and other stakeholders could also result in a decline in value of one or both of the companies.</w:t>
      </w:r>
    </w:p>
    <w:p>
      <w:pPr>
        <w:spacing w:after="0" w:line="96" w:lineRule="exact"/>
        <w:rPr>
          <w:sz w:val="20"/>
          <w:szCs w:val="20"/>
          <w:color w:val="auto"/>
        </w:rPr>
      </w:pPr>
    </w:p>
    <w:p>
      <w:pPr>
        <w:ind w:right="180" w:firstLine="240"/>
        <w:spacing w:after="0" w:line="278" w:lineRule="auto"/>
        <w:rPr>
          <w:sz w:val="20"/>
          <w:szCs w:val="20"/>
          <w:color w:val="auto"/>
        </w:rPr>
      </w:pPr>
      <w:r>
        <w:rPr>
          <w:rFonts w:ascii="Times New Roman" w:cs="Times New Roman" w:eastAsia="Times New Roman" w:hAnsi="Times New Roman"/>
          <w:sz w:val="18"/>
          <w:szCs w:val="18"/>
          <w:b w:val="1"/>
          <w:bCs w:val="1"/>
          <w:color w:val="auto"/>
        </w:rPr>
        <w:t>Increased regulations and restrictions on the import of research animals, limitations of supply of research animals, and actions of animal rights activists may have an adverse effect on the Company.</w:t>
      </w:r>
    </w:p>
    <w:p>
      <w:pPr>
        <w:spacing w:after="0" w:line="6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DD's preclinical services utilize animals in preclinical testing of the safety and efficacy of drugs and devices. Such activities are required for the development of new medicines and medical devices under regulatory regimes in the U.S., Europe, Japan, and other countries. Increased regulations and restrictions on the import of research animals into various countries, as well as limitations of supply, could impact DD’s ability to conduct preclinical research and could have an adverse effect on DD’s financial condition, results of operations, and cash flows. In addition, acts of vandalism and other acts by animal rights activists who object to the use of animals in drug development could have an adverse effect on the Company.</w:t>
      </w:r>
    </w:p>
    <w:p>
      <w:pPr>
        <w:spacing w:after="0" w:line="89"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b w:val="1"/>
          <w:bCs w:val="1"/>
          <w:color w:val="auto"/>
        </w:rPr>
        <w:t>U.S. Food and Drug Administration (FDA) regulation of diagnostic products, increased FDA regulation of laboratory-developed tests (LDTs), and regulation by other countries of diagnostic products could result in increased costs and the imposition of fines or penalties, and could have a material adverse effect upon the Company’s business.</w:t>
      </w:r>
    </w:p>
    <w:p>
      <w:pPr>
        <w:spacing w:after="0" w:line="89"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 Dx’s point-of-care testing devices are subject to regulation by the FDA.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280"/>
        <w:spacing w:after="0" w:line="265" w:lineRule="auto"/>
        <w:rPr>
          <w:sz w:val="20"/>
          <w:szCs w:val="20"/>
          <w:color w:val="auto"/>
        </w:rPr>
      </w:pPr>
      <w:r>
        <w:rPr>
          <w:rFonts w:ascii="Times New Roman" w:cs="Times New Roman" w:eastAsia="Times New Roman" w:hAnsi="Times New Roman"/>
          <w:sz w:val="17"/>
          <w:szCs w:val="17"/>
          <w:color w:val="auto"/>
        </w:rPr>
        <w:t>Since the 1990s, the FDA has asserted that it has authority to regulate LDTs as medical devices, but has exercised enforcement discretion to refrain from systematic regulation of LDTs. In 2014, the FDA issued draft guidance describing how it intended to discontinue its enforcement discretion policy and begin regulating LDTs as medical devices; however, that draft guidance has not been finalized, and the FDA has instead continued its enforcement discretion policy and has indicated that it intends to work with Congress to enact comprehensive legislative reform of diagnostics oversight. As such, LDTs developed by high complexity clinical laboratories are currently generally offered as services to health care providers under the Clinical Laboratory Improvement Amendments of 1988 (CLIA) regulatory framework administered by the Centers for Medicare and Medicaid Services (CMS), without the requirement for FDA clearance or approval. There are other regulatory and legislative proposals that would increase general FDA oversight of clinical laboratories and LDTs. The outcome and ultimate impact of such proposals on the business is difficult to predict at this time. On February 20, 2020, the FDA issued a statement with a table of pharmacogenetic associations setting forth certain gene-drug interactions that the agency has determined are supported by the scientific literature to help ensure that claims being made for pharmacogenetic tests are grounded in sound science, thereby reducing the risk of enforcement actions with respect to LDTs offering claims consistent with the table. The FDA noted that while it is committed to work with Congress on new comprehensive diagnostic oversight reform legislation, it could still take enforcement actions under the current medical device framework regarding diagnostic claims the agency determines not to be sufficiently supported. Even without issuance of a finalized LDT oversight framework, in light of the April 4, 2019, FDA warning letter issued to Inova Genomics Laboratory related to certain LDTs that Inova offered, as well as the February 2020 pharmacogenetics statement, there may be an increased risk of FDA enforcement actions for laboratory tests offered by companies without FDA clearance or approval.</w:t>
      </w:r>
    </w:p>
    <w:p>
      <w:pPr>
        <w:spacing w:after="0" w:line="9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Current FDA regulation of the Company’s diagnostic products and the potential for future increased regulation of the Company’s LDTs in the future could result in increased costs and administrative and legal actions for noncompliance, including warning letters, fines, penalties, product suspensions, product recalls, injunctions, and other civil and criminal sanctions, which could have a material adverse effect upon the Company.</w:t>
      </w:r>
    </w:p>
    <w:p>
      <w:pPr>
        <w:spacing w:after="0" w:line="84"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Regulation of diagnostics products in jurisdictions outside the U.S. in which the Company operates may impact laboratory testing offered by the Company in both Dx and DD. For example, the European Union In Vitro Diagnostics Regulation (Regulation (EU) 2017/746 (EU IVDR)), which became applicable on May 26, 2022, establishes a new legislative framework for in vitro diagnostic devices that are used in certain circumstances, and includes a rule-based classification and quality and safety standards. The EU IVDR, where applicable to DD's services, could impact DD's ability to support trials, and could result in increased costs and administrative and legal actions, and have an adverse effect on DD's financial condition, results of operations, and cash flows.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(dollars and shares in millions, except per share data)</w:t>
      </w:r>
    </w:p>
    <w:p>
      <w:pPr>
        <w:spacing w:after="0" w:line="142"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purchases of shares of the Company’s common stock based on settled trades made during the three months ended September 30, 2022, by or on behalf of the Company:</w:t>
      </w:r>
    </w:p>
    <w:p>
      <w:pPr>
        <w:spacing w:after="0" w:line="50"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Total Number of Shares</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Maximum Dollar Value</w:t>
            </w:r>
          </w:p>
        </w:tc>
        <w:tc>
          <w:tcPr>
            <w:tcW w:w="0" w:type="dxa"/>
            <w:vAlign w:val="bottom"/>
          </w:tcPr>
          <w:p>
            <w:pPr>
              <w:spacing w:after="0"/>
              <w:rPr>
                <w:sz w:val="1"/>
                <w:szCs w:val="1"/>
                <w:color w:val="auto"/>
              </w:rPr>
            </w:pPr>
          </w:p>
        </w:tc>
      </w:tr>
      <w:tr>
        <w:trPr>
          <w:trHeight w:val="178"/>
        </w:trPr>
        <w:tc>
          <w:tcPr>
            <w:tcW w:w="3440" w:type="dxa"/>
            <w:vAlign w:val="bottom"/>
          </w:tcPr>
          <w:p>
            <w:pPr>
              <w:spacing w:after="0"/>
              <w:rPr>
                <w:sz w:val="15"/>
                <w:szCs w:val="15"/>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Total Number of Shares</w:t>
            </w:r>
          </w:p>
        </w:tc>
        <w:tc>
          <w:tcPr>
            <w:tcW w:w="1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Average Price Paid Per</w:t>
            </w:r>
          </w:p>
        </w:tc>
        <w:tc>
          <w:tcPr>
            <w:tcW w:w="1900" w:type="dxa"/>
            <w:vAlign w:val="bottom"/>
            <w:gridSpan w:val="2"/>
          </w:tcPr>
          <w:p>
            <w:pPr>
              <w:jc w:val="right"/>
              <w:ind w:right="200"/>
              <w:spacing w:after="0" w:line="178" w:lineRule="exact"/>
              <w:rPr>
                <w:sz w:val="20"/>
                <w:szCs w:val="20"/>
                <w:color w:val="auto"/>
              </w:rPr>
            </w:pPr>
            <w:r>
              <w:rPr>
                <w:rFonts w:ascii="Times New Roman" w:cs="Times New Roman" w:eastAsia="Times New Roman" w:hAnsi="Times New Roman"/>
                <w:sz w:val="18"/>
                <w:szCs w:val="18"/>
                <w:color w:val="auto"/>
              </w:rPr>
              <w:t>Repurchased as Part of</w:t>
            </w:r>
          </w:p>
        </w:tc>
        <w:tc>
          <w:tcPr>
            <w:tcW w:w="178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8"/>
                <w:szCs w:val="18"/>
                <w:color w:val="auto"/>
                <w:w w:val="98"/>
              </w:rPr>
              <w:t>of Shares that May Yet</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880" w:type="dxa"/>
            <w:vAlign w:val="bottom"/>
            <w:gridSpan w:val="3"/>
            <w:vMerge w:val="continue"/>
          </w:tcPr>
          <w:p>
            <w:pPr>
              <w:spacing w:after="0"/>
              <w:rPr>
                <w:sz w:val="15"/>
                <w:szCs w:val="15"/>
                <w:color w:val="auto"/>
              </w:rPr>
            </w:pPr>
          </w:p>
        </w:tc>
        <w:tc>
          <w:tcPr>
            <w:tcW w:w="1900" w:type="dxa"/>
            <w:vAlign w:val="bottom"/>
            <w:gridSpan w:val="2"/>
          </w:tcPr>
          <w:p>
            <w:pPr>
              <w:jc w:val="center"/>
              <w:ind w:right="120"/>
              <w:spacing w:after="0" w:line="173"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178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8"/>
                <w:szCs w:val="18"/>
                <w:color w:val="auto"/>
                <w:w w:val="98"/>
              </w:rPr>
              <w:t>Be Repurchased Under</w:t>
            </w: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Repurchased</w:t>
            </w:r>
          </w:p>
        </w:tc>
        <w:tc>
          <w:tcPr>
            <w:tcW w:w="380" w:type="dxa"/>
            <w:vAlign w:val="bottom"/>
          </w:tcPr>
          <w:p>
            <w:pPr>
              <w:spacing w:after="0"/>
              <w:rPr>
                <w:sz w:val="19"/>
                <w:szCs w:val="19"/>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Share</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Program</w:t>
            </w:r>
          </w:p>
        </w:tc>
        <w:tc>
          <w:tcPr>
            <w:tcW w:w="280" w:type="dxa"/>
            <w:vAlign w:val="bottom"/>
          </w:tcPr>
          <w:p>
            <w:pPr>
              <w:spacing w:after="0"/>
              <w:rPr>
                <w:sz w:val="19"/>
                <w:szCs w:val="19"/>
                <w:color w:val="auto"/>
              </w:rPr>
            </w:pPr>
          </w:p>
        </w:tc>
        <w:tc>
          <w:tcPr>
            <w:tcW w:w="15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the Program</w:t>
            </w:r>
          </w:p>
        </w:tc>
        <w:tc>
          <w:tcPr>
            <w:tcW w:w="0" w:type="dxa"/>
            <w:vAlign w:val="bottom"/>
          </w:tcPr>
          <w:p>
            <w:pPr>
              <w:spacing w:after="0"/>
              <w:rPr>
                <w:sz w:val="1"/>
                <w:szCs w:val="1"/>
                <w:color w:val="auto"/>
              </w:rPr>
            </w:pP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243.49</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w:t>
            </w:r>
          </w:p>
        </w:tc>
        <w:tc>
          <w:tcPr>
            <w:tcW w:w="0" w:type="dxa"/>
            <w:vAlign w:val="bottom"/>
          </w:tcPr>
          <w:p>
            <w:pPr>
              <w:spacing w:after="0"/>
              <w:rPr>
                <w:sz w:val="1"/>
                <w:szCs w:val="1"/>
                <w:color w:val="auto"/>
              </w:rPr>
            </w:pP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August 31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0" w:type="dxa"/>
            <w:vAlign w:val="bottom"/>
          </w:tcPr>
          <w:p>
            <w:pPr>
              <w:spacing w:after="0"/>
              <w:rPr>
                <w:sz w:val="1"/>
                <w:szCs w:val="1"/>
                <w:color w:val="auto"/>
              </w:rPr>
            </w:pPr>
          </w:p>
        </w:tc>
      </w:tr>
      <w:tr>
        <w:trPr>
          <w:trHeight w:val="247"/>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0" w:type="dxa"/>
            <w:vAlign w:val="bottom"/>
          </w:tcPr>
          <w:p>
            <w:pPr>
              <w:spacing w:after="0"/>
              <w:rPr>
                <w:sz w:val="1"/>
                <w:szCs w:val="1"/>
                <w:color w:val="auto"/>
              </w:rPr>
            </w:pPr>
          </w:p>
        </w:tc>
      </w:tr>
      <w:tr>
        <w:trPr>
          <w:trHeight w:val="219"/>
        </w:trPr>
        <w:tc>
          <w:tcPr>
            <w:tcW w:w="3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243.35</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240"/>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had outstanding authorization from the board of directors to purchase up to $831.5 of the Company's common stock. The repurchase authorization has no expiration date.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10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780"/>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Exhibits</w:t>
            </w:r>
          </w:p>
        </w:tc>
      </w:tr>
      <w:tr>
        <w:trPr>
          <w:trHeight w:val="192"/>
        </w:trPr>
        <w:tc>
          <w:tcPr>
            <w:tcW w:w="56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31.1*</w:t>
            </w:r>
          </w:p>
        </w:tc>
        <w:tc>
          <w:tcPr>
            <w:tcW w:w="1020" w:type="dxa"/>
            <w:vAlign w:val="bottom"/>
          </w:tcPr>
          <w:p>
            <w:pPr>
              <w:spacing w:after="0"/>
              <w:rPr>
                <w:sz w:val="16"/>
                <w:szCs w:val="16"/>
                <w:color w:val="auto"/>
              </w:rPr>
            </w:pPr>
          </w:p>
        </w:tc>
        <w:tc>
          <w:tcPr>
            <w:tcW w:w="9620" w:type="dxa"/>
            <w:vAlign w:val="bottom"/>
            <w:gridSpan w:val="5"/>
          </w:tcPr>
          <w:p>
            <w:pPr>
              <w:spacing w:after="0" w:line="192" w:lineRule="exact"/>
              <w:rPr>
                <w:sz w:val="20"/>
                <w:szCs w:val="20"/>
                <w:color w:val="auto"/>
              </w:rPr>
            </w:pPr>
            <w:r>
              <w:rPr>
                <w:rFonts w:ascii="Times New Roman" w:cs="Times New Roman" w:eastAsia="Times New Roman" w:hAnsi="Times New Roman"/>
                <w:sz w:val="18"/>
                <w:szCs w:val="18"/>
                <w:color w:val="0000FF"/>
              </w:rPr>
              <w:t>Certification by the Chief Executive Officer pursuant to Rule 13a-14(a) or Rule 15d-14(a)</w:t>
            </w: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20" w:type="dxa"/>
            <w:vAlign w:val="bottom"/>
          </w:tcPr>
          <w:p>
            <w:pPr>
              <w:spacing w:after="0"/>
              <w:rPr>
                <w:sz w:val="19"/>
                <w:szCs w:val="19"/>
                <w:color w:val="auto"/>
              </w:rPr>
            </w:pPr>
          </w:p>
        </w:tc>
        <w:tc>
          <w:tcPr>
            <w:tcW w:w="63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Certification by the Chief Financial Officer pursuant to Rule 13a-14(a) or Rule 15d-14(a)</w:t>
            </w:r>
          </w:p>
        </w:tc>
        <w:tc>
          <w:tcPr>
            <w:tcW w:w="40" w:type="dxa"/>
            <w:vAlign w:val="bottom"/>
            <w:tcBorders>
              <w:top w:val="single" w:sz="8" w:color="0000FF"/>
            </w:tcBorders>
          </w:tcPr>
          <w:p>
            <w:pPr>
              <w:spacing w:after="0"/>
              <w:rPr>
                <w:sz w:val="19"/>
                <w:szCs w:val="19"/>
                <w:color w:val="auto"/>
              </w:rPr>
            </w:pPr>
          </w:p>
        </w:tc>
        <w:tc>
          <w:tcPr>
            <w:tcW w:w="3220" w:type="dxa"/>
            <w:vAlign w:val="bottom"/>
            <w:gridSpan w:val="2"/>
          </w:tcPr>
          <w:p>
            <w:pPr>
              <w:spacing w:after="0"/>
              <w:rPr>
                <w:sz w:val="19"/>
                <w:szCs w:val="19"/>
                <w:color w:val="auto"/>
              </w:rPr>
            </w:pPr>
          </w:p>
        </w:tc>
      </w:tr>
      <w:tr>
        <w:trPr>
          <w:trHeight w:val="35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tcPr>
          <w:p>
            <w:pPr>
              <w:spacing w:after="0"/>
              <w:rPr>
                <w:sz w:val="24"/>
                <w:szCs w:val="24"/>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Written Statement of Chief Executive Officer and Chief Financial Officer pursuant to Section 906 of the Sarbanes-Oxley Act of 2002</w:t>
            </w:r>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0" w:type="dxa"/>
            <w:vAlign w:val="bottom"/>
            <w:tcBorders>
              <w:top w:val="single" w:sz="8" w:color="0000FF"/>
              <w:bottom w:val="single" w:sz="8" w:color="0000FF"/>
            </w:tcBorders>
          </w:tcPr>
          <w:p>
            <w:pPr>
              <w:spacing w:after="0" w:line="154" w:lineRule="exact"/>
              <w:rPr>
                <w:sz w:val="20"/>
                <w:szCs w:val="20"/>
                <w:color w:val="auto"/>
              </w:rPr>
            </w:pPr>
            <w:r>
              <w:rPr>
                <w:rFonts w:ascii="Times New Roman" w:cs="Times New Roman" w:eastAsia="Times New Roman" w:hAnsi="Times New Roman"/>
                <w:sz w:val="17"/>
                <w:szCs w:val="17"/>
                <w:color w:val="0000FF"/>
              </w:rPr>
              <w:t>(18 U.S.C. Section 1350)</w:t>
            </w:r>
          </w:p>
        </w:tc>
        <w:tc>
          <w:tcPr>
            <w:tcW w:w="7680" w:type="dxa"/>
            <w:vAlign w:val="bottom"/>
            <w:tcBorders>
              <w:top w:val="single" w:sz="8" w:color="0000FF"/>
            </w:tcBorders>
            <w:gridSpan w:val="3"/>
          </w:tcPr>
          <w:p>
            <w:pPr>
              <w:spacing w:after="0"/>
              <w:rPr>
                <w:sz w:val="13"/>
                <w:szCs w:val="13"/>
                <w:color w:val="auto"/>
              </w:rPr>
            </w:pPr>
          </w:p>
        </w:tc>
        <w:tc>
          <w:tcPr>
            <w:tcW w:w="140" w:type="dxa"/>
            <w:vAlign w:val="bottom"/>
          </w:tcPr>
          <w:p>
            <w:pPr>
              <w:spacing w:after="0"/>
              <w:rPr>
                <w:sz w:val="13"/>
                <w:szCs w:val="13"/>
                <w:color w:val="auto"/>
              </w:rPr>
            </w:pPr>
          </w:p>
        </w:tc>
      </w:tr>
      <w:tr>
        <w:trPr>
          <w:trHeight w:val="20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2"/>
        </w:trPr>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2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2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2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2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2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2"/>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0"/>
                <w:szCs w:val="20"/>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r>
    </w:tbl>
    <w:p>
      <w:pPr>
        <w:spacing w:after="0" w:line="101" w:lineRule="exact"/>
        <w:rPr>
          <w:sz w:val="20"/>
          <w:szCs w:val="20"/>
          <w:color w:val="auto"/>
        </w:rPr>
      </w:pPr>
    </w:p>
    <w:p>
      <w:pPr>
        <w:ind w:left="1120" w:hanging="1096"/>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 w:lineRule="exact"/>
        <w:rPr>
          <w:sz w:val="20"/>
          <w:szCs w:val="20"/>
          <w:color w:val="auto"/>
        </w:rPr>
      </w:pPr>
    </w:p>
    <w:p>
      <w:pPr>
        <w:ind w:left="1120" w:hanging="1096"/>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06"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LABORATORY CORPORATION OF AMERICA HOLDINGS</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Registrant</w:t>
      </w:r>
    </w:p>
    <w:p>
      <w:pPr>
        <w:spacing w:after="0" w:line="252" w:lineRule="exact"/>
        <w:rPr>
          <w:sz w:val="20"/>
          <w:szCs w:val="20"/>
          <w:color w:val="auto"/>
        </w:rPr>
      </w:pPr>
    </w:p>
    <w:tbl>
      <w:tblPr>
        <w:tblLayout w:type="fixed"/>
        <w:tblInd w:w="5600" w:type="dxa"/>
        <w:tblCellMar>
          <w:top w:w="0" w:type="dxa"/>
          <w:left w:w="0" w:type="dxa"/>
          <w:bottom w:w="0" w:type="dxa"/>
          <w:right w:w="0" w:type="dxa"/>
        </w:tblCellMar>
      </w:tblPr>
      <w:tr>
        <w:trPr>
          <w:trHeight w:val="20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17"/>
                <w:szCs w:val="17"/>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ADAM H. SCHECHTER</w:t>
            </w:r>
          </w:p>
        </w:tc>
      </w:tr>
      <w:tr>
        <w:trPr>
          <w:trHeight w:val="242"/>
        </w:trPr>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32"/>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GLENN A. EISENBERG</w:t>
            </w:r>
          </w:p>
        </w:tc>
        <w:tc>
          <w:tcPr>
            <w:tcW w:w="20" w:type="dxa"/>
            <w:vAlign w:val="bottom"/>
          </w:tcPr>
          <w:p>
            <w:pPr>
              <w:spacing w:after="0"/>
              <w:rPr>
                <w:sz w:val="24"/>
                <w:szCs w:val="24"/>
                <w:color w:val="auto"/>
              </w:rPr>
            </w:pPr>
          </w:p>
        </w:tc>
      </w:tr>
      <w:tr>
        <w:trPr>
          <w:trHeight w:val="242"/>
        </w:trPr>
        <w:tc>
          <w:tcPr>
            <w:tcW w:w="780" w:type="dxa"/>
            <w:vAlign w:val="bottom"/>
          </w:tcPr>
          <w:p>
            <w:pPr>
              <w:spacing w:after="0"/>
              <w:rPr>
                <w:sz w:val="21"/>
                <w:szCs w:val="21"/>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Glenn A. Eisenberg</w:t>
            </w:r>
          </w:p>
        </w:tc>
      </w:tr>
      <w:tr>
        <w:trPr>
          <w:trHeight w:val="227"/>
        </w:trPr>
        <w:tc>
          <w:tcPr>
            <w:tcW w:w="78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Executive Vice President and</w:t>
            </w:r>
          </w:p>
        </w:tc>
      </w:tr>
      <w:tr>
        <w:trPr>
          <w:trHeight w:val="232"/>
        </w:trPr>
        <w:tc>
          <w:tcPr>
            <w:tcW w:w="78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2022</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121"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H. Schechter, certify that:</w:t>
      </w:r>
    </w:p>
    <w:p>
      <w:pPr>
        <w:spacing w:after="0" w:line="246" w:lineRule="exact"/>
        <w:rPr>
          <w:sz w:val="20"/>
          <w:szCs w:val="20"/>
          <w:color w:val="auto"/>
        </w:rPr>
      </w:pPr>
    </w:p>
    <w:p>
      <w:pPr>
        <w:ind w:left="180" w:hanging="173"/>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Laboratory Corporation of America Holdings;</w:t>
      </w:r>
    </w:p>
    <w:p>
      <w:pPr>
        <w:spacing w:after="0" w:line="246"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firstLine="7"/>
        <w:spacing w:after="0" w:line="276" w:lineRule="auto"/>
        <w:tabs>
          <w:tab w:leader="none" w:pos="1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60" w:firstLine="7"/>
        <w:spacing w:after="0" w:line="276" w:lineRule="auto"/>
        <w:tabs>
          <w:tab w:leader="none" w:pos="3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20" w:firstLine="7"/>
        <w:spacing w:after="0" w:line="276" w:lineRule="auto"/>
        <w:tabs>
          <w:tab w:leader="none" w:pos="1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8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7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1, 2022</w:t>
      </w:r>
    </w:p>
    <w:p>
      <w:pPr>
        <w:spacing w:after="0" w:line="25" w:lineRule="exact"/>
        <w:rPr>
          <w:sz w:val="20"/>
          <w:szCs w:val="20"/>
          <w:color w:val="auto"/>
        </w:rPr>
      </w:pPr>
    </w:p>
    <w:p>
      <w:pPr>
        <w:ind w:left="642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H. SCHECHTER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440"/>
          </w:cols>
          <w:pgMar w:left="320" w:top="879" w:right="11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 A. Eisenberg, certify that:</w:t>
      </w:r>
    </w:p>
    <w:p>
      <w:pPr>
        <w:spacing w:after="0" w:line="246" w:lineRule="exact"/>
        <w:rPr>
          <w:sz w:val="20"/>
          <w:szCs w:val="20"/>
          <w:color w:val="auto"/>
        </w:rPr>
      </w:pPr>
    </w:p>
    <w:p>
      <w:pPr>
        <w:ind w:left="180" w:hanging="173"/>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Laboratory Corporation of America Holdings;</w:t>
      </w:r>
    </w:p>
    <w:p>
      <w:pPr>
        <w:spacing w:after="0" w:line="246"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firstLine="7"/>
        <w:spacing w:after="0" w:line="276" w:lineRule="auto"/>
        <w:tabs>
          <w:tab w:leader="none" w:pos="1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4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60" w:firstLine="7"/>
        <w:spacing w:after="0" w:line="276" w:lineRule="auto"/>
        <w:tabs>
          <w:tab w:leader="none" w:pos="3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20" w:firstLine="7"/>
        <w:spacing w:after="0" w:line="276" w:lineRule="auto"/>
        <w:tabs>
          <w:tab w:leader="none" w:pos="1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8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7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1, 2022</w:t>
      </w:r>
    </w:p>
    <w:p>
      <w:pPr>
        <w:spacing w:after="0" w:line="25" w:lineRule="exact"/>
        <w:rPr>
          <w:sz w:val="20"/>
          <w:szCs w:val="20"/>
          <w:color w:val="auto"/>
        </w:rPr>
      </w:pPr>
    </w:p>
    <w:p>
      <w:pPr>
        <w:ind w:left="642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GLENN A. EISENBERG</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Glenn A. Eisenberg</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440"/>
          </w:cols>
          <w:pgMar w:left="320" w:top="879" w:right="11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Statement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w:t>
      </w:r>
    </w:p>
    <w:p>
      <w:pPr>
        <w:spacing w:after="0" w:line="200" w:lineRule="exact"/>
        <w:rPr>
          <w:sz w:val="20"/>
          <w:szCs w:val="20"/>
          <w:color w:val="auto"/>
        </w:rPr>
      </w:pPr>
    </w:p>
    <w:p>
      <w:pPr>
        <w:spacing w:after="0" w:line="26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undersigned, the Chief Executive Officer and the Chief Financial Officer of Laboratory Corporation of America Holdings (the “Company”), each hereby certifies that, to his knowledge on the date hereof:</w:t>
      </w:r>
    </w:p>
    <w:p>
      <w:pPr>
        <w:spacing w:after="0" w:line="190" w:lineRule="exact"/>
        <w:rPr>
          <w:sz w:val="20"/>
          <w:szCs w:val="20"/>
          <w:color w:val="auto"/>
        </w:rPr>
      </w:pPr>
    </w:p>
    <w:p>
      <w:pPr>
        <w:ind w:right="20" w:firstLine="7"/>
        <w:spacing w:after="0" w:line="276" w:lineRule="auto"/>
        <w:tabs>
          <w:tab w:leader="none" w:pos="2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of the Company for the Period Ended September 30, 2022, filed on the date hereof with the Securities and Exchange Commission (the “Report”) fully complies with the requirements of Section 13(a) or 15(d) of the Securities Exchange Act of 1934; and</w:t>
      </w:r>
    </w:p>
    <w:p>
      <w:pPr>
        <w:spacing w:after="0" w:line="190"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1" w:lineRule="exact"/>
        <w:rPr>
          <w:sz w:val="20"/>
          <w:szCs w:val="20"/>
          <w:color w:val="auto"/>
        </w:rPr>
      </w:pPr>
    </w:p>
    <w:tbl>
      <w:tblPr>
        <w:tblLayout w:type="fixed"/>
        <w:tblInd w:w="60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ADAM H. SCHECHTER</w:t>
            </w:r>
          </w:p>
        </w:tc>
      </w:tr>
      <w:tr>
        <w:trPr>
          <w:trHeight w:val="242"/>
        </w:trPr>
        <w:tc>
          <w:tcPr>
            <w:tcW w:w="58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27"/>
        </w:trPr>
        <w:tc>
          <w:tcPr>
            <w:tcW w:w="58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2"/>
        </w:trPr>
        <w:tc>
          <w:tcPr>
            <w:tcW w:w="58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2022</w:t>
            </w:r>
          </w:p>
        </w:tc>
      </w:tr>
      <w:tr>
        <w:trPr>
          <w:trHeight w:val="78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GLENN A. EISENBERG</w:t>
            </w:r>
          </w:p>
        </w:tc>
      </w:tr>
      <w:tr>
        <w:trPr>
          <w:trHeight w:val="242"/>
        </w:trPr>
        <w:tc>
          <w:tcPr>
            <w:tcW w:w="58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Glenn A. Eisenberg</w:t>
            </w:r>
          </w:p>
        </w:tc>
      </w:tr>
      <w:tr>
        <w:trPr>
          <w:trHeight w:val="227"/>
        </w:trPr>
        <w:tc>
          <w:tcPr>
            <w:tcW w:w="58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2"/>
        </w:trPr>
        <w:tc>
          <w:tcPr>
            <w:tcW w:w="58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2022</w:t>
            </w:r>
          </w:p>
        </w:tc>
      </w:tr>
    </w:tbl>
    <w:p>
      <w:pPr>
        <w:sectPr>
          <w:pgSz w:w="11900" w:h="16838" w:orient="portrait"/>
          <w:cols w:equalWidth="0" w:num="1">
            <w:col w:w="10440"/>
          </w:cols>
          <w:pgMar w:left="320" w:top="879" w:right="1139" w:bottom="1440" w:gutter="0" w:footer="0" w:header="0"/>
        </w:sectPr>
      </w:pPr>
    </w:p>
    <w:bookmarkStart w:id="39" w:name="page40"/>
    <w:bookmarkEnd w:id="39"/>
    <w:p>
      <w:pPr>
        <w:spacing w:after="0" w:line="25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220"/>
      </w:cols>
      <w:pgMar w:left="320" w:top="88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1"/>
      <w:numFmt w:val="upperLetter"/>
      <w:start w:val="30"/>
    </w:lvl>
    <w:lvl w:ilvl="1">
      <w:lvlJc w:val="left"/>
      <w:lvlText w:val="%2"/>
      <w:numFmt w:val="upperLetter"/>
      <w:start w:val="1"/>
    </w:lvl>
  </w:abstractNum>
  <w:abstractNum w:abstractNumId="4">
    <w:nsid w:val="140E0F76"/>
    <w:multiLevelType w:val="hybridMultilevel"/>
    <w:lvl w:ilvl="0">
      <w:lvlJc w:val="left"/>
      <w:lvlText w:val="%1."/>
      <w:numFmt w:val="decimal"/>
      <w:start w:val="9"/>
    </w:lvl>
  </w:abstractNum>
  <w:abstractNum w:abstractNumId="5">
    <w:nsid w:val="3352255A"/>
    <w:multiLevelType w:val="hybridMultilevel"/>
    <w:lvl w:ilvl="0">
      <w:lvlJc w:val="left"/>
      <w:lvlText w:val="%1."/>
      <w:numFmt w:val="decimal"/>
      <w:start w:val="10"/>
    </w:lvl>
  </w:abstractNum>
  <w:abstractNum w:abstractNumId="6">
    <w:nsid w:val="109CF92E"/>
    <w:multiLevelType w:val="hybridMultilevel"/>
    <w:lvl w:ilvl="0">
      <w:lvlJc w:val="left"/>
      <w:lvlText w:val="%1."/>
      <w:numFmt w:val="decimal"/>
      <w:start w:val="1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0"/>
    </w:lvl>
  </w:abstractNum>
  <w:abstractNum w:abstractNumId="9">
    <w:nsid w:val="1BEFD79F"/>
    <w:multiLevelType w:val="hybridMultilevel"/>
    <w:lvl w:ilvl="0">
      <w:lvlJc w:val="left"/>
      <w:lvlText w:val="%1."/>
      <w:numFmt w:val="decimal"/>
      <w:start w:val="30"/>
    </w:lvl>
  </w:abstractNum>
  <w:abstractNum w:abstractNumId="10">
    <w:nsid w:val="41A7C4C9"/>
    <w:multiLevelType w:val="hybridMultilevel"/>
    <w:lvl w:ilvl="0">
      <w:lvlJc w:val="left"/>
      <w:lvlText w:val="%1"/>
      <w:numFmt w:val="upperLetter"/>
      <w:start w:val="30"/>
    </w:lvl>
  </w:abstractNum>
  <w:abstractNum w:abstractNumId="11">
    <w:nsid w:val="6B68079A"/>
    <w:multiLevelType w:val="hybridMultilevel"/>
    <w:lvl w:ilvl="0">
      <w:lvlJc w:val="left"/>
      <w:lvlText w:val="%1"/>
      <w:numFmt w:val="upperLetter"/>
      <w:start w:val="30"/>
    </w:lvl>
  </w:abstractNum>
  <w:abstractNum w:abstractNumId="12">
    <w:nsid w:val="4E6AFB66"/>
    <w:multiLevelType w:val="hybridMultilevel"/>
    <w:lvl w:ilvl="0">
      <w:lvlJc w:val="left"/>
      <w:lvlText w:val="%1"/>
      <w:numFmt w:val="upperLetter"/>
      <w:start w:val="30"/>
    </w:lvl>
  </w:abstractNum>
  <w:abstractNum w:abstractNumId="13">
    <w:nsid w:val="25E45D32"/>
    <w:multiLevelType w:val="hybridMultilevel"/>
    <w:lvl w:ilvl="0">
      <w:lvlJc w:val="left"/>
      <w:lvlText w:val="%1"/>
      <w:numFmt w:val="upperLetter"/>
      <w:start w:val="30"/>
    </w:lvl>
  </w:abstractNum>
  <w:abstractNum w:abstractNumId="14">
    <w:nsid w:val="519B500D"/>
    <w:multiLevelType w:val="hybridMultilevel"/>
    <w:lvl w:ilvl="0">
      <w:lvlJc w:val="left"/>
      <w:lvlText w:val="%1"/>
      <w:numFmt w:val="upperLetter"/>
      <w:start w:val="30"/>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2022-11-01T11:59:04Z</dcterms:created>
  <dcterms:modified xsi:type="dcterms:W3CDTF">2022-11-01T11:59:04Z</dcterms:modified>
</cp:coreProperties>
</file>