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48" w:lineRule="exact"/>
        <w:rPr>
          <w:sz w:val="24"/>
          <w:szCs w:val="24"/>
          <w:color w:val="auto"/>
        </w:rPr>
      </w:pPr>
    </w:p>
    <w:p>
      <w:pPr>
        <w:ind w:left="4080" w:right="2440" w:hanging="1633"/>
        <w:spacing w:after="0" w:line="375" w:lineRule="auto"/>
        <w:tabs>
          <w:tab w:leader="none" w:pos="2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ind w:left="3940" w:right="2400" w:hanging="1539"/>
        <w:spacing w:after="0" w:line="375" w:lineRule="auto"/>
        <w:tabs>
          <w:tab w:leader="none" w:pos="25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 to ______</w:t>
      </w:r>
    </w:p>
    <w:p>
      <w:pPr>
        <w:spacing w:after="0" w:line="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Commission file number - 1-11353</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LABORATORY CORPORATION OF AMERICA HOLDINGS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13-3757370</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358 South Main Street,</w:t>
            </w:r>
          </w:p>
        </w:tc>
        <w:tc>
          <w:tcPr>
            <w:tcW w:w="3740" w:type="dxa"/>
            <w:vAlign w:val="bottom"/>
          </w:tcPr>
          <w:p>
            <w:pPr>
              <w:spacing w:after="0"/>
              <w:rPr>
                <w:sz w:val="24"/>
                <w:szCs w:val="24"/>
                <w:color w:val="auto"/>
              </w:rPr>
            </w:pPr>
          </w:p>
        </w:tc>
      </w:tr>
      <w:tr>
        <w:trPr>
          <w:trHeight w:val="27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Burlington, North Carolina</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27215</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460" w:type="dxa"/>
            <w:vAlign w:val="bottom"/>
          </w:tcPr>
          <w:p>
            <w:pPr>
              <w:spacing w:after="0"/>
              <w:rPr>
                <w:sz w:val="20"/>
                <w:szCs w:val="20"/>
                <w:color w:val="auto"/>
              </w:rPr>
            </w:pPr>
          </w:p>
        </w:tc>
      </w:tr>
      <w:tr>
        <w:trPr>
          <w:trHeight w:val="378"/>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5460" w:type="dxa"/>
            <w:vAlign w:val="bottom"/>
          </w:tcPr>
          <w:p>
            <w:pPr>
              <w:ind w:left="20"/>
              <w:spacing w:after="0"/>
              <w:rPr>
                <w:sz w:val="20"/>
                <w:szCs w:val="20"/>
                <w:color w:val="auto"/>
              </w:rPr>
            </w:pPr>
            <w:r>
              <w:rPr>
                <w:rFonts w:ascii="Arial" w:cs="Arial" w:eastAsia="Arial" w:hAnsi="Arial"/>
                <w:sz w:val="18"/>
                <w:szCs w:val="18"/>
                <w:color w:val="auto"/>
              </w:rPr>
              <w:t>Name of exchange on which registered</w:t>
            </w: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Common Stock, $0.10 par value</w:t>
            </w:r>
          </w:p>
        </w:tc>
        <w:tc>
          <w:tcPr>
            <w:tcW w:w="5460" w:type="dxa"/>
            <w:vAlign w:val="bottom"/>
          </w:tcPr>
          <w:p>
            <w:pPr>
              <w:ind w:left="20"/>
              <w:spacing w:after="0"/>
              <w:rPr>
                <w:sz w:val="20"/>
                <w:szCs w:val="20"/>
                <w:color w:val="auto"/>
              </w:rPr>
            </w:pPr>
            <w:r>
              <w:rPr>
                <w:rFonts w:ascii="Arial" w:cs="Arial" w:eastAsia="Arial" w:hAnsi="Arial"/>
                <w:sz w:val="18"/>
                <w:szCs w:val="18"/>
                <w:color w:val="auto"/>
              </w:rPr>
              <w:t>New York Stock Exchange</w:t>
            </w: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546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well-known seasoned issuer, as defined in Rule 405 of the Securities Act. Yes [X] No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232.405)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 reporting company” in Rule 12b-2 of the Exchange Act.</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0"/>
          <w:szCs w:val="20"/>
          <w:color w:val="auto"/>
        </w:rPr>
      </w:pPr>
    </w:p>
    <w:p>
      <w:pPr>
        <w:sectPr>
          <w:pgSz w:w="11900" w:h="16838" w:orient="portrait"/>
          <w:cols w:equalWidth="0" w:num="2">
            <w:col w:w="5200" w:space="540"/>
            <w:col w:w="5680"/>
          </w:cols>
          <w:pgMar w:left="240" w:top="125"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2015, the aggregate market value of the common stock held by non-affiliates of the registrant was approximately $12.1 billion, based on the closing price on such date of the registrant’s common stock on the New York Stock Exchange.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101.7 million shares as of February 23,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2015 are incorporated by reference into Part III.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2"/>
            <w:vMerge w:val="restart"/>
          </w:tcPr>
          <w:p>
            <w:pPr>
              <w:jc w:val="center"/>
              <w:ind w:right="42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12"/>
            <w:vMerge w:val="continue"/>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40" w:type="dxa"/>
            <w:vAlign w:val="bottom"/>
            <w:gridSpan w:val="26"/>
          </w:tcPr>
          <w:p>
            <w:pPr>
              <w:spacing w:after="0"/>
              <w:rPr>
                <w:sz w:val="22"/>
                <w:szCs w:val="22"/>
                <w:color w:val="auto"/>
              </w:rPr>
            </w:pPr>
          </w:p>
        </w:tc>
        <w:tc>
          <w:tcPr>
            <w:tcW w:w="460" w:type="dxa"/>
            <w:vAlign w:val="bottom"/>
            <w:tcBorders>
              <w:top w:val="single" w:sz="8" w:color="0000EE"/>
            </w:tcBorders>
            <w:gridSpan w:val="3"/>
          </w:tcPr>
          <w:p>
            <w:pPr>
              <w:spacing w:after="0"/>
              <w:rPr>
                <w:sz w:val="22"/>
                <w:szCs w:val="22"/>
                <w:color w:val="auto"/>
              </w:rPr>
            </w:pPr>
          </w:p>
        </w:tc>
        <w:tc>
          <w:tcPr>
            <w:tcW w:w="4220" w:type="dxa"/>
            <w:vAlign w:val="bottom"/>
            <w:gridSpan w:val="9"/>
          </w:tcPr>
          <w:p>
            <w:pPr>
              <w:spacing w:after="0"/>
              <w:rPr>
                <w:sz w:val="22"/>
                <w:szCs w:val="22"/>
                <w:color w:val="auto"/>
              </w:rPr>
            </w:pPr>
          </w:p>
        </w:tc>
        <w:tc>
          <w:tcPr>
            <w:tcW w:w="520" w:type="dxa"/>
            <w:vAlign w:val="bottom"/>
            <w:gridSpan w:val="2"/>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 Segments</w:t>
              </w:r>
            </w:hyperlink>
          </w:p>
        </w:tc>
        <w:tc>
          <w:tcPr>
            <w:tcW w:w="660" w:type="dxa"/>
            <w:vAlign w:val="bottom"/>
            <w:gridSpan w:val="4"/>
          </w:tcPr>
          <w:p>
            <w:pPr>
              <w:jc w:val="center"/>
              <w:ind w:left="39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LabCorp Diagnostics Segment</w:t>
              </w:r>
            </w:hyperlink>
          </w:p>
        </w:tc>
        <w:tc>
          <w:tcPr>
            <w:tcW w:w="6180" w:type="dxa"/>
            <w:vAlign w:val="bottom"/>
            <w:gridSpan w:val="22"/>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Covance Drug Development</w:t>
              </w:r>
            </w:hyperlink>
          </w:p>
        </w:tc>
        <w:tc>
          <w:tcPr>
            <w:tcW w:w="6320" w:type="dxa"/>
            <w:vAlign w:val="bottom"/>
            <w:gridSpan w:val="2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Clients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Capital Allocation</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Seasonality</w:t>
            </w:r>
          </w:p>
        </w:tc>
        <w:tc>
          <w:tcPr>
            <w:tcW w:w="7240" w:type="dxa"/>
            <w:vAlign w:val="bottom"/>
            <w:gridSpan w:val="3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Investments in Joint Venture Partnerships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Borders>
              <w:top w:val="single" w:sz="8" w:color="0000EE"/>
            </w:tcBorders>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Sales, Marketing and Client Service</w:t>
              </w:r>
            </w:hyperlink>
          </w:p>
        </w:tc>
        <w:tc>
          <w:tcPr>
            <w:tcW w:w="564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top w:val="single" w:sz="8" w:color="0000EE"/>
            </w:tcBorders>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Information Systems</w:t>
              </w:r>
            </w:hyperlink>
          </w:p>
        </w:tc>
        <w:tc>
          <w:tcPr>
            <w:tcW w:w="6040" w:type="dxa"/>
            <w:vAlign w:val="bottom"/>
            <w:gridSpan w:val="2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Quality</w:t>
              </w:r>
            </w:hyperlink>
          </w:p>
        </w:tc>
        <w:tc>
          <w:tcPr>
            <w:tcW w:w="960" w:type="dxa"/>
            <w:vAlign w:val="bottom"/>
            <w:tcBorders>
              <w:top w:val="single" w:sz="8" w:color="0000EE"/>
            </w:tcBorders>
            <w:gridSpan w:val="6"/>
          </w:tcPr>
          <w:p>
            <w:pPr>
              <w:spacing w:after="0"/>
              <w:rPr>
                <w:sz w:val="21"/>
                <w:szCs w:val="21"/>
                <w:color w:val="auto"/>
              </w:rPr>
            </w:pPr>
          </w:p>
        </w:tc>
        <w:tc>
          <w:tcPr>
            <w:tcW w:w="7120" w:type="dxa"/>
            <w:vAlign w:val="bottom"/>
            <w:gridSpan w:val="3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Intellectual Property Rights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Employees</w:t>
              </w:r>
            </w:hyperlink>
          </w:p>
        </w:tc>
        <w:tc>
          <w:tcPr>
            <w:tcW w:w="1160" w:type="dxa"/>
            <w:vAlign w:val="bottom"/>
            <w:tcBorders>
              <w:top w:val="single" w:sz="8" w:color="0000EE"/>
            </w:tcBorders>
            <w:gridSpan w:val="9"/>
          </w:tcPr>
          <w:p>
            <w:pPr>
              <w:spacing w:after="0"/>
              <w:rPr>
                <w:sz w:val="21"/>
                <w:szCs w:val="21"/>
                <w:color w:val="auto"/>
              </w:rPr>
            </w:pPr>
          </w:p>
        </w:tc>
        <w:tc>
          <w:tcPr>
            <w:tcW w:w="6640" w:type="dxa"/>
            <w:vAlign w:val="bottom"/>
            <w:gridSpan w:val="2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Regulation and Reimbursement</w:t>
              </w:r>
            </w:hyperlink>
          </w:p>
        </w:tc>
        <w:tc>
          <w:tcPr>
            <w:tcW w:w="634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Compliance Program</w:t>
              </w:r>
            </w:hyperlink>
          </w:p>
        </w:tc>
        <w:tc>
          <w:tcPr>
            <w:tcW w:w="708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7960" w:type="dxa"/>
            <w:vAlign w:val="bottom"/>
            <w:gridSpan w:val="3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Unresolved Staff Comments</w:t>
              </w:r>
            </w:hyperlink>
          </w:p>
        </w:tc>
        <w:tc>
          <w:tcPr>
            <w:tcW w:w="682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8860" w:type="dxa"/>
            <w:vAlign w:val="bottom"/>
            <w:gridSpan w:val="4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8860" w:type="dxa"/>
            <w:vAlign w:val="bottom"/>
            <w:gridSpan w:val="4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8860" w:type="dxa"/>
            <w:vAlign w:val="bottom"/>
            <w:gridSpan w:val="4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41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8100" w:type="dxa"/>
            <w:vAlign w:val="bottom"/>
            <w:tcBorders>
              <w:bottom w:val="single" w:sz="8" w:color="0000EE"/>
            </w:tcBorders>
            <w:gridSpan w:val="40"/>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8860" w:type="dxa"/>
            <w:vAlign w:val="bottom"/>
            <w:gridSpan w:val="4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37"/>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45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8860" w:type="dxa"/>
            <w:vAlign w:val="bottom"/>
            <w:gridSpan w:val="4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8"/>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8860" w:type="dxa"/>
            <w:vAlign w:val="bottom"/>
            <w:gridSpan w:val="4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100" w:type="dxa"/>
            <w:vAlign w:val="bottom"/>
            <w:gridSpan w:val="2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4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Directors, Executive Officers and Corporate Governance</w:t>
              </w:r>
            </w:hyperlink>
          </w:p>
        </w:tc>
        <w:tc>
          <w:tcPr>
            <w:tcW w:w="476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Executive Compensation</w:t>
              </w:r>
            </w:hyperlink>
          </w:p>
        </w:tc>
        <w:tc>
          <w:tcPr>
            <w:tcW w:w="706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8860" w:type="dxa"/>
            <w:vAlign w:val="bottom"/>
            <w:gridSpan w:val="4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gridSpan w:val="4"/>
          </w:tcPr>
          <w:p>
            <w:pPr>
              <w:jc w:val="center"/>
              <w:ind w:left="39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3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342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4"/>
          </w:tcPr>
          <w:p>
            <w:pPr>
              <w:jc w:val="center"/>
              <w:ind w:right="416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and Financial Statement Schedules</w:t>
              </w:r>
            </w:hyperlink>
          </w:p>
        </w:tc>
        <w:tc>
          <w:tcPr>
            <w:tcW w:w="960" w:type="dxa"/>
            <w:vAlign w:val="bottom"/>
            <w:gridSpan w:val="5"/>
          </w:tcPr>
          <w:p>
            <w:pPr>
              <w:spacing w:after="0"/>
              <w:rPr>
                <w:sz w:val="21"/>
                <w:szCs w:val="21"/>
                <w:color w:val="auto"/>
              </w:rPr>
            </w:pPr>
          </w:p>
        </w:tc>
        <w:tc>
          <w:tcPr>
            <w:tcW w:w="580" w:type="dxa"/>
            <w:vAlign w:val="bottom"/>
            <w:tcBorders>
              <w:top w:val="single" w:sz="8" w:color="0000EE"/>
            </w:tcBorders>
            <w:gridSpan w:val="7"/>
          </w:tcPr>
          <w:p>
            <w:pPr>
              <w:spacing w:after="0"/>
              <w:rPr>
                <w:sz w:val="21"/>
                <w:szCs w:val="21"/>
                <w:color w:val="auto"/>
              </w:rPr>
            </w:pPr>
          </w:p>
        </w:tc>
        <w:tc>
          <w:tcPr>
            <w:tcW w:w="416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60" w:type="dxa"/>
            <w:vAlign w:val="bottom"/>
            <w:gridSpan w:val="30"/>
          </w:tcPr>
          <w:p>
            <w:pPr>
              <w:ind w:left="424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jc w:val="both"/>
        <w:ind w:firstLine="270"/>
        <w:spacing w:after="0" w:line="232"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Holdings together with its subsidiaries (LabCorp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the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developing technology-enabled solutions to change the way care is provided.</w:t>
      </w:r>
    </w:p>
    <w:p>
      <w:pPr>
        <w:spacing w:after="0" w:line="20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headquartered in Burlington, North Carolina, is a Delaware corporation and was incorporated in 1971 and was listed on the New York Stock Exchange under the ticker symbol LH in 1995. On February 19, 2015, the Company completed its acquisition of Covance Inc. (Acquisition), a global leader in drug development services, which significantly expanded the Company’s offering to the biopharmaceutical industry, increased the Company’s international presence and enhanced the Company’s financial growth opportunities.</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has more than 50,000 employees and serves more than 220,000 customers, including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Securities and Exchange Commission (SEC). Additionally, the SEC maintains an Internet Website at http://www.sec.gov that contains reports, proxy and information statements, and other information regarding issuers, including the Company, that file electronically with the SEC. The public may also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report, which include additional financial information about the Company, including financial information about geographic areas. This report includes forward-looking statements that involve risks or uncertainties. The Company’s results could differ materially from those anticipated in these forward-looking statements as a result of certain factors, including the risk factors described in Item 1A of Part I of this report and elsewhere. For more information about forward-looking statements, see “Forward Looking Statements” in Item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20 to the Consolidated Financial Statements. In 2015, LCD and CDD contributed 72.9% and 27.1%, respectively, of net revenues to the Company.</w:t>
      </w:r>
    </w:p>
    <w:p>
      <w:pPr>
        <w:spacing w:after="0" w:line="18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LabCorp Diagnostics Segment</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 is an independent clinical laboratory business that consists of a network of 39 primary laboratories and approximately 1,700 patient service centers (PSCs) along with a network of branches and STAT laboratories, which offer a focused menu of routine and frequently ordered tests with the ability to perform quickly and report the results to the physician.</w:t>
      </w:r>
    </w:p>
    <w:p>
      <w:pPr>
        <w:spacing w:after="0" w:line="18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With over 36,000 employees, LCD processes tests on approximately 500,000 patient specimens daily and has clinical laboratory locations throughout the U.S. and other countries including Canada, the U.K. and the United Arab Emirates. Its clients include physicians, hospitals, MCOs, governmental agencies, employers, and other independent clinical laboratories that do not have as wide a range of testing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Testing Industry</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Laboratory tests and procedures are used generally by hospitals, physicians and other healthcare providers and commercial clients to assist in the diagnosis, monitoring and treatment of diseases and medical conditions through the examination of substances in blood, tissues and other specimens. The results of such tests can help in the evaluation of health, the detection of conditions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pathogens and the selection of appropriate therapies. Clinical laboratory testing is generally categorized as either clinical pathology testing, which is performed on body fluids including blood, or anatomical pathology testing, in which a pathologist examines histologic or cytologic samples (i.e., tissue and other samples, including human cells). Clinical and anatomical pathology procedures are frequently ordered as part of regular physician office visits and hospital admissions in connection with the diagnosis and treatment of illnesses. Certain of these tests and procedures are used in the diagnosis and management of a wide variety of medical conditions such as cancer, infectious disease, endocrine disorders, cardiac disorders and genetic disease. It is estimated that although laboratory services account for less than 3% of total U.S. healthcare spending (and less than 2% of Medicare expenditures), the results of those tests influence approximately 70% of physician medical decisions.</w:t>
      </w:r>
    </w:p>
    <w:p>
      <w:pPr>
        <w:spacing w:after="0" w:line="17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Company believes that in 2015, the U.S. clinical laboratory testing industry generated revenues of approximately $75.0 billion. The clinical laboratory industry consists primarily of three types of providers: hospital-based laboratories, physician-office laboratories and independent clinical and anatomical pathology laboratories, such as those operated by LCD. The clinical laboratory business is intensely competitive. The Centers for Medicare and Medicaid Services (CMS) of the Department of Health and Human Services (HHS) has estimated that in 2015 there were approximately 9,000 hospital-based laboratories, more than 122,000 physician-office laboratories and more than 6,000 independent clinical laboratories in the U.S. LCD competes with all of those laboratories.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healthcare providers selecting a laboratory often consider the following factors, among others: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accuracy, timeliness and consistency in reporting test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capability and convenience offered by the laboratory;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26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believes that consolidation in the clinical laboratory testing business will continue. In addition, LCD believes that it and the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reimbursement reductions and demands from health plans and other healthcare organizations for greater efficiency and large, integrated service networks. In addition, legal restrictions on physician referrals and their ownership of laboratories, as well as increased regulation of laboratories, are expected to contribute to the continuing consolidation of the industry.</w:t>
      </w:r>
    </w:p>
    <w:p>
      <w:pPr>
        <w:spacing w:after="0" w:line="19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Although testing for healthcare purposes and customers represents the most significant portion of clinical laboratory industry, clinical laboratories also perform testing for other purposes and customers, including employment and occupational testing, DNA testing to determine parentage and to assist in forensic investigations, environmental testing, veterinary testing, wellness testing, toxicology testing, pain management testing and nutritional analysis and food safety testing.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Operations, Services and Productivity</w:t>
      </w:r>
    </w:p>
    <w:p>
      <w:pPr>
        <w:spacing w:after="0" w:line="225"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LCD has a network of primary testing laboratories, specialty testing laboratories, branches, PSCs and STAT laboratories. A branch is a central facility that collects specimens in a region for shipment to one of LCD’s laboratories for testing. A branch is also frequently used as a base for sales and distribution staff. Generally, a PSC is a facility maintained by LCD to serve the patients of physicians in a medical professional building or other strategic location. The PSC staff collect specimens for testing as requested by the physician. However, most patient specimens are collected in the customer's office by the customer's staff or in some cases by an LCD in-office phlebotomist. The specimens, and test request forms if the test order was not placed electronically, are collected from customer locations and, PSCs, and sent principally through LCD's in-house courier system (and, to a lesser extent, through independent couriers) to one of LCD's primary testing laboratories for testing. Some of LCD's PSCs also function as STAT labs.</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Each specimen and related request form is checked for completeness and given a unique identification number. The unique identification number assigned to each specimen associates the results to the appropriate patient. The test request forms are sent to a data entry operator who enters the necessary testing and billing information. Once this information is entered into the software system, the tests are performed and the results are entered through an electronic data interchange interface or manually, depending upon the tests and the type of instrumentation involved. Most of LCD's automated testing equipment is connected to its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systems. Most core testing is completed by early the next morning and test results are in most cases electronically delivered to clients via electronic interfaces, the LabCorp Beacon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smart printers or personal computer-based products.</w:t>
      </w:r>
    </w:p>
    <w:p>
      <w:pPr>
        <w:spacing w:after="0" w:line="6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maintains a constant focus on improving quality and productivity while lowering costs throughout all phases of its operations supported by LCD's technology, automation and facility rationalization initiatives. As part of an ongoing commitment to remain the most efficient and highest value provider of laboratory services, LCD has undertaken a comprehensive business process improvement initiative, referred to as Project LaunchPad, to reengineer its systems and processes to create a sustainable and more efficient business model, and improve the experience of all stakeholders. The Company expects this initiative to drive net savings in excess of $150.0 million between 2015 and 2017. In 2015, Project LaunchPad resulted in net savings of approximately $65.0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Services</w:t>
      </w:r>
    </w:p>
    <w:p>
      <w:pPr>
        <w:spacing w:after="0" w:line="22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LCD offers a menu of over 4,700 tests. Several hundred of those tests are routinely used in general patient care by physicians to establish or support a diagnosis, to monitor treatment or to search for an otherwise undiagnosed condition. The most frequently requested of these tests include blood chemistry analyses, urinalyses, blood cell counts, thyroid tests, Pap tests, Hemoglobin A1C, PSA, STD tests (e.g. Ct, Ng, Tv, human immunodeficiency virus (HIV)), hepatitis C (HCV) tests, Vitamin D, microbiology cultures and procedures, and alcohol and other substance-abuse tests. LCD performs this core group of tests in its major laboratories using sophisticated and computerized instruments, with most results reported within 24 hours or less.</w:t>
      </w:r>
    </w:p>
    <w:p>
      <w:pPr>
        <w:spacing w:after="0" w:line="15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LCD provides a comprehensive range of specialty testing services in the areas of allergy, diagnostic genetics, women's health, cardiovascular disease, infectious disease, endocrinology, oncology, coagulation, pharmacogenetics, toxicology and pain management.</w:t>
      </w:r>
    </w:p>
    <w:p>
      <w:pPr>
        <w:spacing w:after="0" w:line="1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 also performs a range of other testing, including employment and occupational testing, DNA testing to determine parentage and to assist in forensic investigations, environmental testing, wellness testing, toxicology testing, pain management testing. LCD also provides services to the food, beverage, nutraceutical, animal feed, chemical and agrochemical industries, which include nutritional analysis and equivalency, nutritional content fact labels, microbiological and chemical contaminant safety analysis, product development expertise, sensory testing, pilot manufacturing, pesticide screening and stability testing.</w:t>
      </w:r>
    </w:p>
    <w:p>
      <w:pPr>
        <w:spacing w:after="0" w:line="18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LCD’s Specialty Testing Group performs esoteric testing, cancer diagnostics, and other complex procedures. LCD's specialty testing businesses and their areas of expertise are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-19050</wp:posOffset>
            </wp:positionV>
            <wp:extent cx="3018790" cy="2332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Specialty Testing Group offers advanced methods and access to scientific expertise in the following disciplines:</w:t>
      </w:r>
    </w:p>
    <w:p>
      <w:pPr>
        <w:spacing w:after="0" w:line="22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Anatomic Pathology/Oncology. </w:t>
      </w:r>
      <w:r>
        <w:rPr>
          <w:rFonts w:ascii="Arial" w:cs="Arial" w:eastAsia="Arial" w:hAnsi="Arial"/>
          <w:sz w:val="16"/>
          <w:szCs w:val="16"/>
          <w:color w:val="auto"/>
        </w:rPr>
        <w:t>LCD offers advanced comprehensive tumor tissue analysis, including immunohistochemistry (IHC), cancer cytogenetics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fluorescence in situ hybridization (FISH) through its Dianon Pathology and Integrated Oncology specialty testing laboratories. Applications for molecular diagnostics continue to increase in oncology for both the analysis of leukemia as well as the assessment of solid tumors. In cancers such as colon and lung cancer, assays such as KRAS, BRAF and EGFR mutation analysis can help guide appropriate therapy choices for a given patient.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w:t>
      </w:r>
      <w:r>
        <w:rPr>
          <w:rFonts w:ascii="Arial" w:cs="Arial" w:eastAsia="Arial" w:hAnsi="Arial"/>
          <w:sz w:val="18"/>
          <w:szCs w:val="18"/>
          <w:color w:val="auto"/>
        </w:rPr>
        <w:t>LCD’s cardiovascular menu includes core cholesterol tests, expanded lipid profiles, a metabolic syndrome profile and tests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thrombosis and stroke. LCD also offers complete testing for monitoring disease progression and response to therapy, including the clinical decision support (CDS) reports available through Litholink.</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Coagulation. </w:t>
      </w:r>
      <w:r>
        <w:rPr>
          <w:rFonts w:ascii="Arial" w:cs="Arial" w:eastAsia="Arial" w:hAnsi="Arial"/>
          <w:sz w:val="18"/>
          <w:szCs w:val="18"/>
          <w:color w:val="auto"/>
        </w:rPr>
        <w:t>LCD offers an extensive menu of tests for hemostasis and thrombosis, including bleeding profiles and screening tests, profiles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reproductive health, factor analysis, thrombin generation markers, and thrombotic risk evaluation.</w:t>
      </w:r>
    </w:p>
    <w:p>
      <w:pPr>
        <w:spacing w:after="0" w:line="17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i w:val="1"/>
          <w:iCs w:val="1"/>
          <w:color w:val="auto"/>
        </w:rPr>
        <w:t xml:space="preserve">Diagnostic Genetics. </w:t>
      </w:r>
      <w:r>
        <w:rPr>
          <w:rFonts w:ascii="Arial" w:cs="Arial" w:eastAsia="Arial" w:hAnsi="Arial"/>
          <w:sz w:val="17"/>
          <w:szCs w:val="17"/>
          <w:color w:val="auto"/>
        </w:rPr>
        <w:t>LCD offers cytogenetic, molecular cytogenetic, biochemical and molecular genetic tests. The biochemical genetics offerings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a variety of prenatal screening options including integrated and sequential prenatal assays and non-invasive prenatal testing (NIPT) for more sensitive and earlier assessment of risk for multiple fetal chromosomal aneuploidies (e.g., Down syndrome). LCD has expanded its cytogenetics offerings through the use of whole genome single-nucleotide polymorphism (SNP) microarray technology, which provides enhanced detection of subtle chromosomal changes associated with the etiology of mental retardation, developmental delay and autism. The molecular genetics services include multiplex analyses of a variety of disorders, gene sequencing applications for both somatic and germ-line alterations and whole exome sequencing. Through Integrated Genetics (formerly Genzyme Genetics), LCD provides the most comprehensive genetic test menu in the industry as well as approximately 140 genetic counselors and six medical geneticists to provide patients and their physicians with analysis, assessment and interpretation of genetics test results to help optimize patient decisions and outcomes.</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Endocrinology. </w:t>
      </w:r>
      <w:r>
        <w:rPr>
          <w:rFonts w:ascii="Arial" w:cs="Arial" w:eastAsia="Arial" w:hAnsi="Arial"/>
          <w:sz w:val="18"/>
          <w:szCs w:val="18"/>
          <w:color w:val="auto"/>
        </w:rPr>
        <w:t>LCD is a leading provider of advanced hormone/steroid testing including comprehensive services for the endocrine specialist. LCD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its menu in esoteric endocrine testing and has launched an initiative to develop steroid testing utilizing mass spectrometry technology. Mass spectrometry is used for detection of low levels of small molecule steroids including testosterone in women, children and hypogonadal men. LCD additionally offers endocrine related tests for genetic conditions including congenital adrenal hyperplasia, short stature, thyroid cancer, along with extensive age and gender-related reference intervals for those tests.</w:t>
      </w:r>
    </w:p>
    <w:p>
      <w:pPr>
        <w:spacing w:after="0" w:line="184"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b w:val="1"/>
          <w:bCs w:val="1"/>
          <w:i w:val="1"/>
          <w:iCs w:val="1"/>
          <w:color w:val="auto"/>
        </w:rPr>
        <w:t>Infectious Disease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provides complete HIV testing services including viral load measurements, genotyping and phenotyping and host genetic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(e.g., HLA B*5701 test) that are important tools in managing and treating HIV infections. The addition of resistance tests, including PhenoSense</w:t>
      </w:r>
      <w:r>
        <w:rPr>
          <w:rFonts w:ascii="Arial" w:cs="Arial" w:eastAsia="Arial" w:hAnsi="Arial"/>
          <w:sz w:val="25"/>
          <w:szCs w:val="25"/>
          <w:color w:val="auto"/>
          <w:vertAlign w:val="superscript"/>
        </w:rPr>
        <w:t>®</w:t>
      </w:r>
      <w:r>
        <w:rPr>
          <w:rFonts w:ascii="Arial" w:cs="Arial" w:eastAsia="Arial" w:hAnsi="Arial"/>
          <w:sz w:val="18"/>
          <w:szCs w:val="18"/>
          <w:color w:val="auto"/>
        </w:rPr>
        <w:t>, PhenoSenseGT</w:t>
      </w:r>
      <w:r>
        <w:rPr>
          <w:rFonts w:ascii="Arial" w:cs="Arial" w:eastAsia="Arial" w:hAnsi="Arial"/>
          <w:sz w:val="25"/>
          <w:szCs w:val="25"/>
          <w:color w:val="auto"/>
          <w:vertAlign w:val="superscript"/>
        </w:rPr>
        <w:t>®</w:t>
      </w:r>
      <w:r>
        <w:rPr>
          <w:rFonts w:ascii="Arial" w:cs="Arial" w:eastAsia="Arial" w:hAnsi="Arial"/>
          <w:sz w:val="18"/>
          <w:szCs w:val="18"/>
          <w:color w:val="auto"/>
        </w:rPr>
        <w:t>, Trofile</w:t>
      </w:r>
      <w:r>
        <w:rPr>
          <w:rFonts w:ascii="Arial" w:cs="Arial" w:eastAsia="Arial" w:hAnsi="Arial"/>
          <w:sz w:val="25"/>
          <w:szCs w:val="25"/>
          <w:color w:val="auto"/>
          <w:vertAlign w:val="superscript"/>
        </w:rPr>
        <w:t>®</w:t>
      </w:r>
      <w:r>
        <w:rPr>
          <w:rFonts w:ascii="Arial" w:cs="Arial" w:eastAsia="Arial" w:hAnsi="Arial"/>
          <w:sz w:val="18"/>
          <w:szCs w:val="18"/>
          <w:color w:val="auto"/>
        </w:rPr>
        <w:t>, and GenoSure PRIme complement the existing HIV GenoSure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assay and provide an industry-leading, comprehensive portfolio of HIV resistance testing services. LCD also provides extensive testing services for HCV infections, including both viral load determinations and strain genotyping and host genetic factors (e.g., the IL-28B and HCV GenoSure NS3/4A tests). LCD continues to develop molecular assays for infectious disease.</w:t>
      </w:r>
    </w:p>
    <w:p>
      <w:pPr>
        <w:spacing w:after="0" w:line="205"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b w:val="1"/>
          <w:bCs w:val="1"/>
          <w:i w:val="1"/>
          <w:iCs w:val="1"/>
          <w:color w:val="auto"/>
        </w:rPr>
        <w:t xml:space="preserve">Obstetrics/Gynecology. </w:t>
      </w:r>
      <w:r>
        <w:rPr>
          <w:rFonts w:ascii="Arial" w:cs="Arial" w:eastAsia="Arial" w:hAnsi="Arial"/>
          <w:sz w:val="18"/>
          <w:szCs w:val="18"/>
          <w:color w:val="auto"/>
        </w:rPr>
        <w:t>LCD offers a comprehensive menu of women's health testing, including NuSwab</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quality convenient STD testing,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liquid-based Pap testing with image-guided cervical cytology for improved cervical cancer detection, and out-of-the-vial Pap testing with options for human papillomavirus (HPV), chlamydia, and gonorrhea. LCD also offers tests and technologies that span the continuum of care for reproductive health, including maternal serum screening, prenatal diagnostics, ethnicity carrier screening, testing for causes of infertility or miscarriage and postnatal testing services.</w:t>
      </w:r>
    </w:p>
    <w:p>
      <w:pPr>
        <w:spacing w:after="0" w:line="20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Pharmacogenetics. </w:t>
      </w:r>
      <w:r>
        <w:rPr>
          <w:rFonts w:ascii="Arial" w:cs="Arial" w:eastAsia="Arial" w:hAnsi="Arial"/>
          <w:sz w:val="18"/>
          <w:szCs w:val="18"/>
          <w:color w:val="auto"/>
        </w:rPr>
        <w:t>LCD provides access to the latest tests in the emerging field of pharmacogenetics. These tests can help physicians understand how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will metabolize certain drugs, allowing them to select the most appropriate therapies or adjust dosing.</w:t>
      </w:r>
    </w:p>
    <w:p>
      <w:pPr>
        <w:spacing w:after="0" w:line="166" w:lineRule="exact"/>
        <w:rPr>
          <w:sz w:val="20"/>
          <w:szCs w:val="20"/>
          <w:color w:val="auto"/>
        </w:rPr>
      </w:pPr>
    </w:p>
    <w:p>
      <w:pPr>
        <w:jc w:val="both"/>
        <w:ind w:left="340"/>
        <w:spacing w:after="0" w:line="281" w:lineRule="auto"/>
        <w:rPr>
          <w:sz w:val="20"/>
          <w:szCs w:val="20"/>
          <w:color w:val="auto"/>
        </w:rPr>
      </w:pPr>
      <w:r>
        <w:rPr>
          <w:rFonts w:ascii="Arial" w:cs="Arial" w:eastAsia="Arial" w:hAnsi="Arial"/>
          <w:sz w:val="17"/>
          <w:szCs w:val="17"/>
          <w:b w:val="1"/>
          <w:bCs w:val="1"/>
          <w:i w:val="1"/>
          <w:iCs w:val="1"/>
          <w:color w:val="auto"/>
        </w:rPr>
        <w:t>Identity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forensic identity testing used in connection with criminal proceedings and parentage evaluation services that assist in determining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parentage for child support enforcement proceedings and determining genetic relationships for immigration purposes. Parentage testing involves the evaluation of immunological and genetic markers in specimens obtained from the child, the mother and the alleged father. LCD also provides testing services in reconstruction cases, which assist in determining parentage without the presence of the parent in question.</w:t>
      </w:r>
    </w:p>
    <w:p>
      <w:pPr>
        <w:spacing w:after="0" w:line="165"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Occupational Testing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provides testing services for the detection of drug and alcohol abuse for private and government customers.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services are designed to produce forensic quality test results that satisfy the rigorous requirements of regulated and non-regulated workplace drug testing programs. LCD also provides other analytical testing and a variety of support services.</w:t>
      </w:r>
    </w:p>
    <w:p>
      <w:pPr>
        <w:spacing w:after="0" w:line="18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Chronic Disease Programs. </w:t>
      </w:r>
      <w:r>
        <w:rPr>
          <w:rFonts w:ascii="Arial" w:cs="Arial" w:eastAsia="Arial" w:hAnsi="Arial"/>
          <w:sz w:val="18"/>
          <w:szCs w:val="18"/>
          <w:color w:val="auto"/>
        </w:rPr>
        <w:t>Through Litholink, LCD uses a programmatic approach to the comprehensive treatment of chronic diseases,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kidney disease, cardiovascular disease, metabolic bone disease, diabetes, and offers CDS reports to both physicians and patients. LCD believes these chronic disease programs represent potential significant savings to the healthcare system by increasing the detection of early-stage diseases and effectively managing chronic disease conditions.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New Tests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Advances in medicine continue to fundamentally change diagnostic testing. New tests are allowing clinical laboratories to provide unprecedented amounts of health-related information to physicians and patients. New molecular diagnostic tests that have been introduced over the past several years, including a gene-based test for HPV, HIV drug resistance assays, and molecular genetic testing for cystic fibrosis, have now become part of standard clinical practice. LCD continued its industry leadership in gene-based and esoteric testing in 2015, generating more than $2.0 billion in revenue from these testing services. As science continues to advance, LCD expects new testing technologies to emerge and therefore intends to continue to invest in advanced testing capabilities so that it can remain on the cutting edge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sales force, LCD rapidly introduces new testing technologies to physician customers. This differentiation is important in the retention and growth of business.</w:t>
      </w:r>
    </w:p>
    <w:p>
      <w:pPr>
        <w:spacing w:after="0" w:line="18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2015, LCD continued its emphasis on scientific innovation and leadership with the introduction of significant test menu and automation enhancements. LCD is focused on the expansion of existing programs in molecular diagnostics as well as the introduction of new assay and assay platforms through licensing partnerships, acquisitions and internal development. Evidence of the commitment to the development of new diagnostics and applications for those diagnostics is evidenced by the annual publication of approximately 150 publications (e.g. articles, book chapters, books and abstracts) and presentations at scientific meetings and in presentations in academic medical center grand rounds and seminars. Examples of new tests and services introduced in 2015 include:</w:t>
      </w:r>
    </w:p>
    <w:p>
      <w:pPr>
        <w:spacing w:after="0" w:line="193"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Risk Assessment </w:t>
      </w:r>
      <w:r>
        <w:rPr>
          <w:rFonts w:ascii="Arial" w:cs="Arial" w:eastAsia="Arial" w:hAnsi="Arial"/>
          <w:sz w:val="18"/>
          <w:szCs w:val="18"/>
          <w:color w:val="auto"/>
        </w:rPr>
        <w:t>- In September 2014, LabCorp acquired LipoScience, Inc. (LipoScience), and in 2015 its services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into LCD's Burlington, NC laboratory, which now provides in-house testing for NMR LDL-particles, an advanced method for the assessment of cardiovascular risk.</w:t>
      </w:r>
    </w:p>
    <w:p>
      <w:pPr>
        <w:spacing w:after="0" w:line="181" w:lineRule="exact"/>
        <w:rPr>
          <w:sz w:val="20"/>
          <w:szCs w:val="20"/>
          <w:color w:val="auto"/>
        </w:rPr>
      </w:pPr>
    </w:p>
    <w:p>
      <w:pPr>
        <w:jc w:val="both"/>
        <w:ind w:left="240"/>
        <w:spacing w:after="0" w:line="277" w:lineRule="auto"/>
        <w:rPr>
          <w:sz w:val="20"/>
          <w:szCs w:val="20"/>
          <w:color w:val="auto"/>
        </w:rPr>
      </w:pPr>
      <w:r>
        <w:rPr>
          <w:rFonts w:ascii="Arial" w:cs="Arial" w:eastAsia="Arial" w:hAnsi="Arial"/>
          <w:sz w:val="18"/>
          <w:szCs w:val="18"/>
          <w:b w:val="1"/>
          <w:bCs w:val="1"/>
          <w:i w:val="1"/>
          <w:iCs w:val="1"/>
          <w:color w:val="auto"/>
        </w:rPr>
        <w:t xml:space="preserve">Endocrine - </w:t>
      </w:r>
      <w:r>
        <w:rPr>
          <w:rFonts w:ascii="Arial" w:cs="Arial" w:eastAsia="Arial" w:hAnsi="Arial"/>
          <w:sz w:val="18"/>
          <w:szCs w:val="18"/>
          <w:color w:val="auto"/>
        </w:rPr>
        <w:t>LCD launched a mass spectroscopy based assay for thyroglobulin (in the presence of antibodies) and the Litholink CDS group developed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Diabetes Patient Education report for patients with Type 2 Diabetes.</w:t>
      </w:r>
    </w:p>
    <w:p>
      <w:pPr>
        <w:spacing w:after="0" w:line="170" w:lineRule="exact"/>
        <w:rPr>
          <w:sz w:val="20"/>
          <w:szCs w:val="20"/>
          <w:color w:val="auto"/>
        </w:rPr>
      </w:pPr>
    </w:p>
    <w:p>
      <w:pPr>
        <w:jc w:val="both"/>
        <w:ind w:left="240"/>
        <w:spacing w:after="0" w:line="226" w:lineRule="auto"/>
        <w:rPr>
          <w:sz w:val="20"/>
          <w:szCs w:val="20"/>
          <w:color w:val="auto"/>
        </w:rPr>
      </w:pPr>
      <w:r>
        <w:rPr>
          <w:rFonts w:ascii="Arial" w:cs="Arial" w:eastAsia="Arial" w:hAnsi="Arial"/>
          <w:sz w:val="18"/>
          <w:szCs w:val="18"/>
          <w:b w:val="1"/>
          <w:bCs w:val="1"/>
          <w:i w:val="1"/>
          <w:iCs w:val="1"/>
          <w:color w:val="auto"/>
        </w:rPr>
        <w:t xml:space="preserve">Infectious Diseases - </w:t>
      </w:r>
      <w:r>
        <w:rPr>
          <w:rFonts w:ascii="Arial" w:cs="Arial" w:eastAsia="Arial" w:hAnsi="Arial"/>
          <w:sz w:val="18"/>
          <w:szCs w:val="18"/>
          <w:color w:val="auto"/>
        </w:rPr>
        <w:t>LCD launched GenoSure Archive</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laboratory test to help optimize antiretroviral drug regimens in virally suppressed HIV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LCD launched two new HCV drug resistance assays, HCV NS5A and NS5B, which expand LCD's portfolio of HCV resistance tests that already included HCV GenoSure NS3/4A, launched in 2011.</w:t>
      </w:r>
    </w:p>
    <w:p>
      <w:pPr>
        <w:spacing w:after="0" w:line="204"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 xml:space="preserve">Breast Cancer Tests - </w:t>
      </w:r>
      <w:r>
        <w:rPr>
          <w:rFonts w:ascii="Arial" w:cs="Arial" w:eastAsia="Arial" w:hAnsi="Arial"/>
          <w:sz w:val="18"/>
          <w:szCs w:val="18"/>
          <w:color w:val="auto"/>
        </w:rPr>
        <w:t>LCD transitioned its suite of BRCA 1 and 2 tests, which identify gene mutations or alterations that signal an increased risk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specific types of cancer, including breast cancer and ovarian cancer, to next-generation sequencing testing. In 2015, LCD entered into a cooperative agreement with Inserm, the French National Institute of Health and Medical Research Institution, and Quest Diagnostics to launch BRCA Share™, a novel datashare initiative to accelerate research on BRCA gene mutations.</w:t>
      </w:r>
    </w:p>
    <w:p>
      <w:pPr>
        <w:spacing w:after="0" w:line="187"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Coagulation - </w:t>
      </w:r>
      <w:r>
        <w:rPr>
          <w:rFonts w:ascii="Arial" w:cs="Arial" w:eastAsia="Arial" w:hAnsi="Arial"/>
          <w:sz w:val="18"/>
          <w:szCs w:val="18"/>
          <w:color w:val="auto"/>
        </w:rPr>
        <w:t>In 2015, LCD introduced a mass spectroscopy based method serotonin release assay. This assay is important for diagnosing heparin-induced thrombocytopenia (HIT) and is the first non-radio labeled assay to be offered for such testing. This method shortens the turnaround time for reporting of results.</w:t>
      </w:r>
    </w:p>
    <w:p>
      <w:pPr>
        <w:spacing w:after="0" w:line="181"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 xml:space="preserve">Obstetrics and Gynecology - </w:t>
      </w:r>
      <w:r>
        <w:rPr>
          <w:rFonts w:ascii="Arial" w:cs="Arial" w:eastAsia="Arial" w:hAnsi="Arial"/>
          <w:sz w:val="18"/>
          <w:szCs w:val="18"/>
          <w:color w:val="auto"/>
        </w:rPr>
        <w:t>In 2014, LCD launched the informaSeq Prenatal Test. This test is an advanced, non-invasive, next-generation sequencing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prenatal screening test that can assess risk for multiple fetal chromosomal aneuploidies, or abnormalities in the number of chromosomes, from a single maternal blood draw. Through 2015, the test has been updated to include sex chromosome determination and LCD is preparing to launch additional screening for fetal fraction determination.</w:t>
      </w:r>
    </w:p>
    <w:p>
      <w:pPr>
        <w:spacing w:after="0" w:line="187"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 xml:space="preserve">Immunotherapeutics and Oncology - </w:t>
      </w:r>
      <w:r>
        <w:rPr>
          <w:rFonts w:ascii="Arial" w:cs="Arial" w:eastAsia="Arial" w:hAnsi="Arial"/>
          <w:sz w:val="18"/>
          <w:szCs w:val="18"/>
          <w:color w:val="auto"/>
        </w:rPr>
        <w:t>In 2015, the Company played a pivotal role in the clinical trials that led to the approval of two immunotherapeutics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non-small cell lung cancer, and LCD was one of the first laboratories to offer the PD-L1 companion diagnostic and complementary diagnostic tests for those innovative therapeutics. The Company also made available the Lynch Syndrome cascade of tests for the diagnosis of inherited risk in colorectal cancer patients.</w:t>
      </w:r>
    </w:p>
    <w:p>
      <w:pPr>
        <w:spacing w:after="0" w:line="187" w:lineRule="exact"/>
        <w:rPr>
          <w:sz w:val="20"/>
          <w:szCs w:val="20"/>
          <w:color w:val="auto"/>
        </w:rPr>
      </w:pPr>
    </w:p>
    <w:p>
      <w:pPr>
        <w:jc w:val="both"/>
        <w:ind w:left="240"/>
        <w:spacing w:after="0" w:line="216" w:lineRule="auto"/>
        <w:rPr>
          <w:sz w:val="20"/>
          <w:szCs w:val="20"/>
          <w:color w:val="auto"/>
        </w:rPr>
      </w:pPr>
      <w:r>
        <w:rPr>
          <w:rFonts w:ascii="Arial" w:cs="Arial" w:eastAsia="Arial" w:hAnsi="Arial"/>
          <w:sz w:val="18"/>
          <w:szCs w:val="18"/>
          <w:b w:val="1"/>
          <w:bCs w:val="1"/>
          <w:i w:val="1"/>
          <w:iCs w:val="1"/>
          <w:color w:val="auto"/>
        </w:rPr>
        <w:t xml:space="preserve">Phlebotomy - </w:t>
      </w:r>
      <w:r>
        <w:rPr>
          <w:rFonts w:ascii="Arial" w:cs="Arial" w:eastAsia="Arial" w:hAnsi="Arial"/>
          <w:sz w:val="18"/>
          <w:szCs w:val="18"/>
          <w:color w:val="auto"/>
        </w:rPr>
        <w:t>In 2015, LCD expanded access to AccuDraw</w:t>
      </w:r>
      <w:r>
        <w:rPr>
          <w:rFonts w:ascii="Arial" w:cs="Arial" w:eastAsia="Arial" w:hAnsi="Arial"/>
          <w:sz w:val="25"/>
          <w:szCs w:val="25"/>
          <w:color w:val="auto"/>
          <w:vertAlign w:val="superscript"/>
        </w:rPr>
        <w:t>®</w:t>
      </w:r>
      <w:r>
        <w:rPr>
          <w:rFonts w:ascii="Arial" w:cs="Arial" w:eastAsia="Arial" w:hAnsi="Arial"/>
          <w:sz w:val="18"/>
          <w:szCs w:val="18"/>
          <w:color w:val="auto"/>
        </w:rPr>
        <w:t>, its proprietary specimen collection and handling software) to all clients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website at www.LabCorp.com.</w:t>
      </w:r>
    </w:p>
    <w:p>
      <w:pPr>
        <w:spacing w:after="0" w:line="203"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Genomic Testing - </w:t>
      </w:r>
      <w:r>
        <w:rPr>
          <w:rFonts w:ascii="Arial" w:cs="Arial" w:eastAsia="Arial" w:hAnsi="Arial"/>
          <w:sz w:val="18"/>
          <w:szCs w:val="18"/>
          <w:color w:val="auto"/>
        </w:rPr>
        <w:t>LCD introduced ExomeReveal, a whole exome sequencing testing service. Increasing evidence suggests that early genetic diagnosis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improve clinical outcomes, and ExomeReveal will provide genome-wide interpretation for children with serious childhood genetic diseases as well as additional diagnostic information for patients of any age. The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launch of VistaSeq provides an assessment of inherited genetic mutations within a panel of 27 genes known to be associated with hereditary cancer syndromes.</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LCD continues its collaboration with university, hospital and academic institutions such as Duke University, Johns Hopkins University, Boston University, Columbia University, Mt. Sinai Hospital and Yale University to license and commercialize new diagnostic tests.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Technology-Enabled Solutions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LCD’s technology-enabled solutions include innovative decision support programs for chronic diseases, population health analytics tools, the LabCorp Beacon platform and Beacon LBS. These industry-leading, technology-enabled solutions are helping to improve health and improve lives by changing the way care is provided.</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During 2015, LCD delivered more than 5 million enhanced CDS reports for chronic health conditions, including kidney disease, cardiovascular disease, metabolic bone disease and diabetes. LCD’s proprietary CDS reports integrate patient-specific diagnostic information and evidence-based healthcare content to help healthcare providers and patients better manage health. In addition, these decision support programs promote physician adherence to evidence-based treatment guidelines.</w:t>
      </w:r>
    </w:p>
    <w:p>
      <w:pPr>
        <w:spacing w:after="0" w:line="18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LCD also has new population health analytics programs in development to provide healthcare business intelligence tools to hospitals, physician practices, and accountable care organizations (ACOs). These tools are intended to assist customers in their compliance and reporting requirements with respect to efficient management of their productivity, quality and patient outcome metrics. LCD's robust rules engine maintains a large number of clinical quality measures that are highly customizable and support compliance with meaningful use and quality reporting requirements such as ACO standards, Joint Commission standards and the CMS Physician Quality Reporting System (PQRS). Real time clinical alerts highlight gaps in care for patients and patient populations.</w:t>
      </w:r>
    </w:p>
    <w:p>
      <w:pPr>
        <w:spacing w:after="0" w:line="19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centralized and proprietary LabCorp Beacon platform is a series of assets and functionalities that enhance the customer experience and provide an end-to-end lab solution. These assets and functionalities include:</w:t>
      </w:r>
    </w:p>
    <w:p>
      <w:pPr>
        <w:spacing w:after="0" w:line="170" w:lineRule="exact"/>
        <w:rPr>
          <w:sz w:val="20"/>
          <w:szCs w:val="20"/>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patient and payer portals;</w:t>
      </w:r>
    </w:p>
    <w:p>
      <w:pPr>
        <w:spacing w:after="0" w:line="23"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Express electronic ordering for essentially all of LCD's brands and services;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results viewing and enhanced reports;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 analytics that provide one-click trending of patient, test and population data;</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CDS tools at the point of ordering and results;</w:t>
      </w:r>
    </w:p>
    <w:p>
      <w:pPr>
        <w:spacing w:after="0" w:line="9" w:lineRule="exact"/>
        <w:rPr>
          <w:rFonts w:ascii="Arial" w:cs="Arial" w:eastAsia="Arial" w:hAnsi="Arial"/>
          <w:sz w:val="18"/>
          <w:szCs w:val="18"/>
          <w:color w:val="auto"/>
        </w:rPr>
      </w:pPr>
    </w:p>
    <w:p>
      <w:pPr>
        <w:ind w:left="960" w:right="140" w:hanging="331"/>
        <w:spacing w:after="0" w:line="25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AccuDraw and LabCorp Touch systems that provide graphical, step-by-step guidance to help improve accuracy, workflow and turnaround time in the collection and processing of specimens at the point of care;</w:t>
      </w: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Online appointment scheduling;</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LabCorp Beacon: Mobile, which provides solutions for market leading mobile devices; and</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Services-oriented architecture with rules-based engines, content aggregation and seamless integration with practice workflow.</w:t>
      </w:r>
    </w:p>
    <w:p>
      <w:pPr>
        <w:spacing w:after="0" w:line="21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LCD's BeaconLBS business provides a technology-enabled solution that provides point-of-care decision support through interfaces with test ordering systems to assist physicians in lab and test selection. BeaconLBS helps physicians to order the appropriate test for the patient at the appropriate time. Physicians, patients, healthcare delivery systems and payers are expected to benefit from this innovation, which will improve the quality of lab services, support evidence-based guidelines for patient care, and more effectively manage trends without disrupting physician work flow. The BeaconLBS rules engine interfaces with payer policies for ordering, utilization, adjudication and payment.</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2013, BeaconLBS signed an agreement with UnitedHealthcare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implement the laboratory benefit management program in Florida utilizing</w:t>
      </w:r>
    </w:p>
    <w:p>
      <w:pPr>
        <w:spacing w:after="0"/>
        <w:rPr>
          <w:sz w:val="20"/>
          <w:szCs w:val="20"/>
          <w:color w:val="auto"/>
        </w:rPr>
      </w:pPr>
      <w:r>
        <w:rPr>
          <w:rFonts w:ascii="Arial" w:cs="Arial" w:eastAsia="Arial" w:hAnsi="Arial"/>
          <w:sz w:val="17"/>
          <w:szCs w:val="17"/>
          <w:color w:val="auto"/>
        </w:rPr>
        <w:t>BeaconLBS. UnitedHealthcare launched the laboratory benefit management program with BeaconLBS in Florida on October 1, 2014. In April 2015,</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BeaconLBS achieved its targeted implementation for UnitedHealthcare in Florida and LCD began recognizing revenue for providing this service.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Laboratory Services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Billing for laboratory services is a complicated process involving many payers such as MCOs, Medicare, Medicaid, physicians and physician groups, hospitals, patients and employer groups, all of which have different billing requirements. In addition, billing arrangements with third-party administrators may further complicate the billing process. Tests ordered by a physician may be billed to different payers depending on the medical benefits of a particular patient. Most testing services are billed to a party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 the physician or other authorized person who ordered the test. A growing portion of the managed care fee-for-service revenues are derived from patients in the form of deductibles, coinsurance, non-covered tests and copayments.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LCD utilizes a centralized billing system in the collection of approximately 93.6% of its domestic revenue (88.4% of consolidated LCD revenue). This system generates bills to LCD customers based on payer type. Client billing is typically generated monthly, whereas patient and third-party billing are typically generated daily. Agings of accounts receivable are then monitored by billing personnel and re-bills and follow-up activities are conducted as necessary. Bad debt expense is recorded within selling, general and administrative expenses as a percentage of sales considered necessary to maintain the allowance for doubtful accounts at an appropriate level, based on LCD's experience with its accounts receivable. LCD writes off accounts against the allowance for doubtful accounts when accounts receivable are deemed to be uncollectible. For client billing, third party and managed care, accounts are written off when all reasonable collection efforts prove to be unsuccessful. Patient accounts are written off after the normal dunning cycle has occurred and the account has been transferred to a third-party collection agency.</w:t>
      </w:r>
    </w:p>
    <w:p>
      <w:pPr>
        <w:spacing w:after="0" w:line="19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 significant portion of LCD's bad debt expense is related to accounts receivable from patients who are unwilling or unable to pay. In 2015, LCD continued its focus on process and account management initiatives to reduce the negative impact of bad debt expense related to patient accounts receivable. As part of Project LaunchPad, LCD is identifying clients with high concentrations of write offs and implementing strategies to improve the financial performance of those accounts.</w:t>
      </w:r>
    </w:p>
    <w:p>
      <w:pPr>
        <w:spacing w:after="0" w:line="18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Another component of LCD’s bad debt expense is the result of non-credit related issues that slow the billing process, such as missing or incorrect billing information on test requisitions. LCD vigorously attempts to obtain any missing information or rectify any incorrect billing information received from the healthcare provider. However, LCD typically performs the requested tests and returns the test results regardless of whether billing information is incorrect or incomplete. LCD believes that this experience is similar to that of its primary competitors. LCD continues to focus on process initiatives aimed at reducing the impact of these non-credit related issues by reducing the number of requisitions received that are missing billing information or have incorrect information. This is accomplished through on-going identification of root-cause issues, deploying technology-enabled solutions, training provided to internal and external resources involved in the patient data capture process, and an emphasis on the use of electronic test ordering.</w:t>
      </w:r>
    </w:p>
    <w:p>
      <w:pPr>
        <w:spacing w:after="0" w:line="17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each year and can be adjusted at the government's discretion based upon the actual volume and mix of testing services performed by the licensed providers in the province during the year. In 2015, the amount of the Company's capitated revenue derived from the Ontario government sponsored healthcare plan was CN$189.8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Market Changes on the Clinical Laboratory Business</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delivery of, and reimbursement for, healthcare continues to change,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utilization for the clinical laboratory industry by increasing complexity and adding new regulatory and administrative requirements. From time to time, government has also considered changes to the Medicare and Medicaid fee schedules, and LCD believes that pressure to reduce government reimbursement will continue.</w:t>
      </w:r>
    </w:p>
    <w:p>
      <w:pPr>
        <w:spacing w:after="0" w:line="17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Fees for most laboratory services reimbursed by Medicare are established in the Clinical Laboratory Fee Schedule (CLFS), and fees for other testing reimbursed by Medicare, primarily related to pathology, are covered by the Physician Fee Schedule (PFS). During 2015, approximately 12.3% of LCD’s revenue was reimbursed under the CLFS (12.6% in 2014), and approximately 0.9% was reimbursed under the PFS (1.0% in 2014). Over the past several years, LCD has experienced governmental pay reductions as a direct result of the Patient Protection and Affordable Care Act (ACA), the Medicare Access and CHIP Reauthorization Act of 2015 (MACRA) and the Achieving a Better Life Experience Act of 2014 (ABLE Act). In addition, the Protecting Access to Medicare Act (PAMA), which became law on April 1, 2014, is expected to result in a future net reduction in reimbursement revenue under the CLFS. These laws include provisions designed to control healthcare expenses reimbursed by government programs through a combination of reductions to fee schedules, incentives to providers to participate in alternative payment models such as risk-sharing and new methods to establish and adjust fees.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During 2013, government payment reductions and molecular pathology payment issues (largely driven by payer policy changes) reduced the Company’s net revenue by more than $100.0 million. The negative impact from these reimbursement challenges was largely sustained throughout 2014 and 2015. In addition to that reduction, in 2014, LCD experienced payments reductions from CLFS of $6.0 million and from PFS of $6.6 million. During 2015, LCD had also experienced a 0.25% payment reduction under the CLFS, equal to approximately $2.0 million in net revenue, which was offset by an increase in reimbursement from the PFS of approximately $2.1 million. During 2016, LCD will receive a 0.10% payment increase under the CLFS, representing approximately $0.76 million. Further, due to reductions in the PFS, LCD will also realize a $10.7 million reduction in net revenue over the two year period of 2016 and 2017. Due to provisions outlined in PAMA and the ABLE Act, the reduction in the 2016 PFS is limited in the first year of implementation. Accordingly, $2.4 million of the total $10.7 million reduction will be implemented in 2016, with the balance of $8.3 million to be realized as a reduction in 2017.</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PAMA, beginning in 2017, CMS will be required to set and make adjustments to the CLFS using market-based information that reflects the scope of prices paid across the laboratory industry. On October 1, 2015, CMS issued a proposed rule to implement PAMA that would require applicable laboratories, including LCD, to begin reporting their test-specific private payer payment amounts to CMS during the first quarter of 2016. CMS intends to use that private market data to calculate weighted median prices for each test (based on applicable CPT codes) that would represent the new CLFS rates beginning in 2017, subject to certain phase-in limits. For 2017-2019, a test price cannot be reduced by more than 10.0% per year; for 2020-2022, a test price cannot be reduced by more than 15.0% per year. Reporting and pricing will occur every three years, or annually with respect to certain types of tests, to update the CLFS thereafter.</w:t>
      </w:r>
    </w:p>
    <w:p>
      <w:pPr>
        <w:spacing w:after="0" w:line="18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American Clinical Laboratory Association (ACLA) and the laboratory community provided extensive comments on the proposed rule and will continue to work with CMS to try to ensure the final regulation accurately reflects the statutory language on applicable laboratories, and results in a reimbursement framework that reflects the broad scope of the laboratory market, encourages innovation, and maintains access to laboratory services for Medicare beneficiaries. The Company continues to evaluate the potential impact of the proposed rule, but since rulemaking to implement the provisions of PAMA has not yet been finalized, it is too early to assess the impact of PAMA.</w:t>
      </w:r>
    </w:p>
    <w:p>
      <w:pPr>
        <w:spacing w:after="0" w:line="18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addition, market-based changes have affected and will continue to affect the clinical laboratory business. Reimbursement from commercial payors for diagnostic testing has shifted and will continue to shift away from traditional, fee-for-service model to alternatives including value-based, bundled pay-for-performance and other risk-sharing payment models.. The growth of the managed care sector and consolidation of MCOs present various challenges and opportunities to LCD and other clinical laboratories. In 2006, the Company signed a ten-year agreement with UnitedHealthcare to become its exclusive national laboratory. This agreement represented an industry first in terms of its length and exclusivity at a national level. In September 2011, the Company extended this agreement for an additional two years through the end of 2018. The various MCOs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In addition, some MCOs use capitation to fix the cost of laboratory testing services for their enrollees. Under a capitated reimbursement mechanism, the clinical laboratory and the MCO agree to a per member, per month payment for all covered laboratory tests provided to MCO members during the month, regardless of the number or cost of the tests performed. For the year ended December 31, 2015, capitated contracts with MCOs accounted for approximately $219.9 million, or 3.5% of LCD's net revenues. LCD's ability to attract and retain MCO clients has become even more important as the impact of various healthcare reform initiatives continue, including expanded Health Insurance Exchanges and ACOs.</w:t>
      </w:r>
    </w:p>
    <w:p>
      <w:pPr>
        <w:spacing w:after="0" w:line="17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Despite the potential market changes discussed above, LCD believes that the volume of clinical laboratory testing will be positively influenced by several factors, including an expansion of Medicaid, managed care, and private insurance exchanges. In addition, LCD believe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w:t>
      </w:r>
    </w:p>
    <w:p>
      <w:pPr>
        <w:spacing w:after="0" w:line="173"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LCD believes its enhanced esoteric menu, geographic footprint and operating efficiency provide a strong platform for growth. In particular, LCD believes that it will benefit from the development of and increased interest in new companion and complementary diagnostics. Companion diagnostics are tests that must be used before a patient can be treated with a specific therapeutic, to help identify if the therapeutic will be effective or if it may cause adverse events. Complementary diagnostics are not required for determining who should receive the therapeutic, but can give physicians information about a patient’s potential response to a specific therapeutic or class of therapeutics. LCD and CDD are uniquely positioned to provide the full spectrum of support for the development and commercialization of companion and complementary diagnostics and their associated treatments.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impact of these factors is expected to be partially offset by declines in volume as a result of increased controls over the utilization of laboratory services by Medicare, Medicaid, and other third-party payers, particularly MCOs. In addition, continued movement by patients into consumer driven health plans may have an impact on the utilization of laboratory testing.</w:t>
      </w:r>
    </w:p>
    <w:p>
      <w:pPr>
        <w:spacing w:after="0" w:line="181"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Covance Drug Development Segment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CDD, a leader in drug development services, provides a range of drug development solutions on a worldwide basis, primarily to companies in the pharmaceutical and biotechnology industries. CDD has more than 14,000 employees worldwide and a global network of operations with offices in more than 30 countries. In addition, CDD supports trial activity in approximately 100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Industry</w:t>
      </w:r>
    </w:p>
    <w:p>
      <w:pPr>
        <w:spacing w:after="0" w:line="225" w:lineRule="exact"/>
        <w:rPr>
          <w:sz w:val="20"/>
          <w:szCs w:val="20"/>
          <w:color w:val="auto"/>
        </w:rPr>
      </w:pPr>
    </w:p>
    <w:p>
      <w:pPr>
        <w:jc w:val="both"/>
        <w:ind w:firstLine="301"/>
        <w:spacing w:after="0" w:line="271" w:lineRule="auto"/>
        <w:rPr>
          <w:sz w:val="20"/>
          <w:szCs w:val="20"/>
          <w:color w:val="auto"/>
        </w:rPr>
      </w:pPr>
      <w:r>
        <w:rPr>
          <w:rFonts w:ascii="Arial" w:cs="Arial" w:eastAsia="Arial" w:hAnsi="Arial"/>
          <w:sz w:val="17"/>
          <w:szCs w:val="17"/>
          <w:color w:val="auto"/>
        </w:rPr>
        <w:t>Drug development services companies like CDD are also referred to as contract research organizations (CROs) and typically derive substantially all of their revenue from research and development (R&amp;D) as well as marketing expenditures of the biopharmaceutical industry. CDD is the only CRO offering comprehensive global drug development services from preclinical research through all phases of clinical development and into commercialization. Outsourcing of R&amp;D services from biopharmaceutical companies to CROs has significantly increased in the past, and is expected to continue increasing in the future, because of several factors, including: pressures to contain costs, limitations on internal R&amp;D capacity, the need to reduce drug development timelines, customer demand for simultaneous research in multiple countries, stringent government regulation, and therapeutic and other expertise that customers lack internally. The investment and amount of time required to develop new drugs has been increasing, and these trends create opportunities for CDD and other CROs that can help make the drug development process more efficient.</w:t>
      </w:r>
    </w:p>
    <w:p>
      <w:pPr>
        <w:spacing w:after="0" w:line="1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full-service CROs with global capabilities. CDD competes against these small and full-service CROs, as well as in-house departments of pharmaceutical companies, and to a lesser extent, selected universities and teaching hospitals.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is competition for customers on the basis of many factors, including: reputation for on-time quality performance; expertise and experience in specific areas, such as operations, technology, and therapeutic areas; scope of service offerings; strengths in various geographic markets; price; technological expertise and efficient drug development processes; ability to acquire, process, analyze and report data in a rapid and accurate manner; quality of relationships; ability to manage large-scale clinical trials domestically and internationally; quality of facilities; expertise and experience in market access services; and size and scale. CDD believes that it competes favorably in these areas.</w:t>
      </w:r>
    </w:p>
    <w:p>
      <w:pPr>
        <w:spacing w:after="0" w:line="18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Significant competitors for CDD's drug development services include Quintiles Transnational Holdings Inc., PAREXEL International Corporation, Pharmaceutical Product Development, LLC, ICON plc, INC Research Holdings, Inc. and Charles River Laboratories International, Inc., among others.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Development Services</w:t>
      </w:r>
    </w:p>
    <w:p>
      <w:pPr>
        <w:spacing w:after="0" w:line="225" w:lineRule="exact"/>
        <w:rPr>
          <w:sz w:val="20"/>
          <w:szCs w:val="20"/>
          <w:color w:val="auto"/>
        </w:rPr>
      </w:pPr>
    </w:p>
    <w:p>
      <w:pPr>
        <w:jc w:val="both"/>
        <w:ind w:firstLine="230"/>
        <w:spacing w:after="0" w:line="274" w:lineRule="auto"/>
        <w:rPr>
          <w:sz w:val="20"/>
          <w:szCs w:val="20"/>
          <w:color w:val="auto"/>
        </w:rPr>
      </w:pPr>
      <w:r>
        <w:rPr>
          <w:rFonts w:ascii="Arial" w:cs="Arial" w:eastAsia="Arial" w:hAnsi="Arial"/>
          <w:sz w:val="16"/>
          <w:szCs w:val="16"/>
          <w:color w:val="auto"/>
        </w:rPr>
        <w:t>CDD’s early development service offerings include research models, lead optimization, analytical services, safety assessment, and chemistry manufacturing and control (CMC) services for drug development. CDD also offers solution-based approaches to early development, including access to a team of experienced program development directors and project managers to help guide strategic decisions and manage molecule development in an integrated, streamlined manner. CDD's innovations in the preclinical area include technologies for enhanced client access to data, such as: StudyTracker, electronic animal identification, multimedia study reports and animal and test tube measures of induced cell proliferation or reproduction. StudyTracker</w:t>
      </w:r>
      <w:r>
        <w:rPr>
          <w:rFonts w:ascii="Arial" w:cs="Arial" w:eastAsia="Arial" w:hAnsi="Arial"/>
          <w:sz w:val="22"/>
          <w:szCs w:val="22"/>
          <w:color w:val="auto"/>
          <w:vertAlign w:val="superscript"/>
        </w:rPr>
        <w:t>®</w:t>
      </w:r>
      <w:r>
        <w:rPr>
          <w:rFonts w:ascii="Arial" w:cs="Arial" w:eastAsia="Arial" w:hAnsi="Arial"/>
          <w:sz w:val="16"/>
          <w:szCs w:val="16"/>
          <w:color w:val="auto"/>
        </w:rPr>
        <w:t>, an internet-based client access product, allows clients of toxicology, bioanalytical, metabolism and reproductive and developmental toxicology services to review study data and schedules on a near real-time basis. CDD has preclinical laboratories in the U.S., the U.K., Germany and China.</w:t>
      </w:r>
    </w:p>
    <w:p>
      <w:pPr>
        <w:spacing w:after="0" w:line="180" w:lineRule="exact"/>
        <w:rPr>
          <w:sz w:val="20"/>
          <w:szCs w:val="20"/>
          <w:color w:val="auto"/>
        </w:rPr>
      </w:pPr>
    </w:p>
    <w:p>
      <w:pPr>
        <w:jc w:val="both"/>
        <w:ind w:left="240"/>
        <w:spacing w:after="0" w:line="293" w:lineRule="auto"/>
        <w:rPr>
          <w:sz w:val="20"/>
          <w:szCs w:val="20"/>
          <w:color w:val="auto"/>
        </w:rPr>
      </w:pPr>
      <w:r>
        <w:rPr>
          <w:rFonts w:ascii="Arial" w:cs="Arial" w:eastAsia="Arial" w:hAnsi="Arial"/>
          <w:sz w:val="16"/>
          <w:szCs w:val="16"/>
          <w:b w:val="1"/>
          <w:bCs w:val="1"/>
          <w:i w:val="1"/>
          <w:iCs w:val="1"/>
          <w:color w:val="auto"/>
        </w:rPr>
        <w:t xml:space="preserve">Research Models. </w:t>
      </w:r>
      <w:r>
        <w:rPr>
          <w:rFonts w:ascii="Arial" w:cs="Arial" w:eastAsia="Arial" w:hAnsi="Arial"/>
          <w:sz w:val="16"/>
          <w:szCs w:val="16"/>
          <w:color w:val="auto"/>
        </w:rPr>
        <w:t>CDD is an Association for Assessment and Accreditation of Laboratory Animal Care accredited provider of purpose-bred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models globally. Due to regulation by the U.S. Food and Drug Administration (FDA) and other foreign regulatory bodies, safety and efficacy testing on research models is required as part of the drug development process prior to testing in humans. CDD has a strong commitment to animal welfare, and has instituted progressive enrichment practices and rigorous health testing standards that exceed industry safeguard to protect the health of CDD's models. CDD is also committed to seeking out alternatives to the use of research models where possible. CDD's research models include standard lines as well as disease state and genetically altered models to accommodate clients’ needs. CDD offers purpose-bred specific pathogen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free (SPF) rabbits, canines, nonhuman primates, and other species, as well as blood and tissue products and surgical/technical services including telemetry.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purpose-bred research animals are provided to pharmaceutical and biotechnology companies, university research centers and CROs.</w:t>
      </w:r>
    </w:p>
    <w:p>
      <w:pPr>
        <w:spacing w:after="0" w:line="211"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b w:val="1"/>
          <w:bCs w:val="1"/>
          <w:i w:val="1"/>
          <w:iCs w:val="1"/>
          <w:color w:val="auto"/>
        </w:rPr>
        <w:t>Lead Optimization</w:t>
      </w:r>
      <w:r>
        <w:rPr>
          <w:rFonts w:ascii="Arial" w:cs="Arial" w:eastAsia="Arial" w:hAnsi="Arial"/>
          <w:sz w:val="17"/>
          <w:szCs w:val="17"/>
          <w:color w:val="auto"/>
        </w:rPr>
        <w:t>. Lead optimization services are designed to enhance the connection between in vivo pharmacology and toxicity. Lead optimization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include non-GLP toxicology, in vivo pharmacology with model development and integrated safety and efficacy capabilities, nonclinical imaging, nonclinical pathology services, pharmacokinetic/toxicokinetic (PK/TK) analysis/reporting and immunology services.</w:t>
      </w:r>
    </w:p>
    <w:p>
      <w:pPr>
        <w:spacing w:after="0" w:line="166"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b w:val="1"/>
          <w:bCs w:val="1"/>
          <w:i w:val="1"/>
          <w:iCs w:val="1"/>
          <w:color w:val="auto"/>
        </w:rPr>
        <w:t>Analytical Services</w:t>
      </w:r>
      <w:r>
        <w:rPr>
          <w:rFonts w:ascii="Arial" w:cs="Arial" w:eastAsia="Arial" w:hAnsi="Arial"/>
          <w:sz w:val="18"/>
          <w:szCs w:val="18"/>
          <w:color w:val="auto"/>
        </w:rPr>
        <w:t>. Bioanalytical testing services help determine the appropriate dose and frequency of drug application from late discovery evaluation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Phase III clinical testing on a full-scale, globally integrated basis. CDD’s analytical services offering includes liquid chromatography-mass spectroscopy (LC-MS) immunoanalytical solutions and specialty support, translational biomarker solutions, discovery bioanalysis, vaccine analysis, PK/TK analysis and reporting, and organic synthesis. In addition, CDD offers a growing list of validated, nonproprietary assays for hundreds of compounds, eliminating method development and validation time, and reducing program cost. CDD has dedicated lab facilities across three continents providing in vitro drug metabolism, in vivo radiolabeled absorption, distribution, metabolism and excretion (ADME) studies, metabolite identification/profiling and nonclinical PK screening in addition to radiosynthesis services. CDD also provides pharmaceutical chemistry services that determine the metabolic profile and bioavailability of drug candidates.</w:t>
      </w:r>
    </w:p>
    <w:p>
      <w:pPr>
        <w:spacing w:after="0" w:line="192"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b w:val="1"/>
          <w:bCs w:val="1"/>
          <w:i w:val="1"/>
          <w:iCs w:val="1"/>
          <w:color w:val="auto"/>
        </w:rPr>
        <w:t xml:space="preserve">Safety Assessment. </w:t>
      </w:r>
      <w:r>
        <w:rPr>
          <w:rFonts w:ascii="Arial" w:cs="Arial" w:eastAsia="Arial" w:hAnsi="Arial"/>
          <w:sz w:val="18"/>
          <w:szCs w:val="18"/>
          <w:color w:val="auto"/>
        </w:rPr>
        <w:t>Safety assessment services include general, genetic, and immunotoxicology services, in addition to nonclinical pathology,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pharmacology services and developmental and reproductive toxicology (DART) studies. CDD’s drug development services employ state-of-the-art technology and an integrated program for both large and small molecules with facilities across three continents. CDD's nonclinical pathology group is comprised of certified veterinary pathologists who provide critical insights and recommendations to help clients navigate the drug development process. CDD’s safety pharmacology services utilize Value Added Safety Pharmacology &amp; Toxicology (VAST) to economically assess pharmacology endpoints during toxicology studies to minimize safety issues during the clinical phases. DART services help clients assess the birth defect risk for potential drug candidates.</w:t>
      </w:r>
    </w:p>
    <w:p>
      <w:pPr>
        <w:spacing w:after="0" w:line="189" w:lineRule="exact"/>
        <w:rPr>
          <w:sz w:val="20"/>
          <w:szCs w:val="20"/>
          <w:color w:val="auto"/>
        </w:rPr>
      </w:pPr>
    </w:p>
    <w:p>
      <w:pPr>
        <w:jc w:val="both"/>
        <w:ind w:left="240"/>
        <w:spacing w:after="0" w:line="279" w:lineRule="auto"/>
        <w:rPr>
          <w:sz w:val="20"/>
          <w:szCs w:val="20"/>
          <w:color w:val="auto"/>
        </w:rPr>
      </w:pPr>
      <w:r>
        <w:rPr>
          <w:rFonts w:ascii="Arial" w:cs="Arial" w:eastAsia="Arial" w:hAnsi="Arial"/>
          <w:sz w:val="17"/>
          <w:szCs w:val="17"/>
          <w:b w:val="1"/>
          <w:bCs w:val="1"/>
          <w:i w:val="1"/>
          <w:iCs w:val="1"/>
          <w:color w:val="auto"/>
        </w:rPr>
        <w:t xml:space="preserve">Biopharm CMC Manufacturing. </w:t>
      </w:r>
      <w:r>
        <w:rPr>
          <w:rFonts w:ascii="Arial" w:cs="Arial" w:eastAsia="Arial" w:hAnsi="Arial"/>
          <w:sz w:val="17"/>
          <w:szCs w:val="17"/>
          <w:color w:val="auto"/>
        </w:rPr>
        <w:t>CMC offers packages supporting FDA Investigational New Drug Application and New Drug Application/Biologic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 Application submissions, as well as programs to help CDD's clients meet acceptance criteria for the release of drug product for both biologics and small molecules. CMC provides well-coordinated capabilities and expertise operating within a global quality system framework to deliver robust, cost-effective solutions. Capabilities include safety, identity, strength, quality and purity assessments for biologics.</w:t>
      </w:r>
    </w:p>
    <w:p>
      <w:pPr>
        <w:spacing w:after="0" w:line="171" w:lineRule="exact"/>
        <w:rPr>
          <w:sz w:val="20"/>
          <w:szCs w:val="20"/>
          <w:color w:val="auto"/>
        </w:rPr>
      </w:pPr>
    </w:p>
    <w:p>
      <w:pPr>
        <w:jc w:val="both"/>
        <w:ind w:left="240"/>
        <w:spacing w:after="0" w:line="276" w:lineRule="auto"/>
        <w:rPr>
          <w:sz w:val="20"/>
          <w:szCs w:val="20"/>
          <w:color w:val="auto"/>
        </w:rPr>
      </w:pPr>
      <w:r>
        <w:rPr>
          <w:rFonts w:ascii="Arial" w:cs="Arial" w:eastAsia="Arial" w:hAnsi="Arial"/>
          <w:sz w:val="17"/>
          <w:szCs w:val="17"/>
          <w:b w:val="1"/>
          <w:bCs w:val="1"/>
          <w:i w:val="1"/>
          <w:iCs w:val="1"/>
          <w:color w:val="auto"/>
        </w:rPr>
        <w:t xml:space="preserve">Early Phase Development Solutions. </w:t>
      </w:r>
      <w:r>
        <w:rPr>
          <w:rFonts w:ascii="Arial" w:cs="Arial" w:eastAsia="Arial" w:hAnsi="Arial"/>
          <w:sz w:val="17"/>
          <w:szCs w:val="17"/>
          <w:color w:val="auto"/>
        </w:rPr>
        <w:t>Early Phase Development Solutions (EPDS) offers clients access to a focused, multi-disciplinary team of experts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help craft integrated solutions to rapidly identify and develop lead drug candidates and reduce development challenges. EPDS provides clients with seamless integration of the complete array of CDD nonclinical services with a focus on scientific integrity and human subject safety. EPDS also offers an innovative parallel study approach for shorter proof of concept studies; this approach can increase clinical return on investment through application of medical, scientific and therapeutic expertise, along with patient stratification strategies.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Laboratory Services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Through its global network of central laboratories in the U.S., Switzerland, Belgium, Singapore and China, CDD provides central laboratory testing services to biotechnology and pharmaceutical customers. CDD also has an alliance for central laboratory services testing in Japan with BML, Inc., a leading Japanese laboratory testing company.</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CDD’s capabilities provide clients the flexibility to conduct studies on a global basis. The data it provides can be combinable and result in global clinical trial reference ranges because CDD uses consistent laboratory equipment, methods, reagents and calibrators for studies where data is combined from different regions. Combinable data eliminates the cumbersome process of harmonizing results generated using different methods in different laboratories on different equipment. CDD also offers LabLink, an internet-based client access program that allows clients to review and query clinical trial lab data on a near real-time basis.</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CDD operates the world’s largest automated clinical trial sample collection kit production line, located in Indianapolis, Ind. This facility supplies kits and supplies to investigator sites around the world, promoting global consistency in sample collection. Extensive automation in the kit production process enables kits to be produced with 5.5 sigma precision, while maintaining the scalability needed to meet increasing global demand. CDD has a biorepository facilities in Greenfield, Ind. and Kannapolis, N.C. dedicated to long-term storage of clinical trial specimens. These facilities are able to store a wide range of specimens, including plasma, serum, whole blood, peripheral blood, DNA and tissue.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Five of CDD's central laboratories are ISO 15189 certified to provide clients with the assurance that comes with a rigorous global standard. In addition, CDD has implemented a novel model for external lab selection and management that provides rigor and reduces internal resource drain for trial sponsors. The extended laboratory management solutions team focuses on managing all aspects of referral laboratory services, including vendor negotiations, governance, quality management, data services and contract services.</w:t>
      </w:r>
    </w:p>
    <w:p>
      <w:pPr>
        <w:spacing w:after="0" w:line="18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to high volume safety testing, CDD offers a scientifically rich and diverse menu of specialty testing capabilities, spanning the clinical development continuum. These include applied genomics, next generation sequencing, anatomic pathology and histology, flow cytometry, clinical immunoassays and preclinical and exploratory biomarker development. CDD also offers differentiated capabilities and unparalled experience in companion and complementary diagnostic services to support the parallel development of a new medicine and its associated diagnostic assay. CDD’s dedicated team has helped develop more than two-thirds of all currently available FDA-approved companion diagnostics, and CDD was the exclusive laboratory to partner on clinical trials and regulatory submissions for three very important oncology companion diagnostics that received FDA approval in 2015. CDD can support both in vitro diagnostic (IVD) companion diagnostic development and laboratory-developed test (LDT) development. By combining CDD’s strength in central laboratory and early-stage clinical development with LCD’s strength in test commercialization, the Company is well positioned to offer comprehensive, end-to-end support for companion diagnostic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and Commercialization Services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 offers a comprehensive range of clinical trial services, including the full management of Phase I through IV clinical studies. CDD has extensive experience in all significant therapeutic areas, and provides the following core services either on an individual or aggregated basis to meet its clients’ needs: study design and modeling; coordination of study activities; trial logistics; monitoring of study site performance; clinical data management and biostatistical analysis; and medical writing and regulatory services.</w:t>
      </w:r>
    </w:p>
    <w:p>
      <w:pPr>
        <w:spacing w:after="0" w:line="187"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CDD has extensive experience in designing and managing global clinical trials and regional clinical trial activities in North America, Europe, Latin America and the Asia Pacific region. These trials may be conducted separately or simultaneously as part of a multinational or global development plan. CDD can manage every aspect of clinical trials from clinical development plans and protocol design to new drug applications and other supporting services.</w:t>
      </w:r>
    </w:p>
    <w:p>
      <w:pPr>
        <w:spacing w:after="0" w:line="14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CDD provides clinical pharmacology services, including first-in-human trials, and early patient proof of concept studies of new pharmaceuticals at its five clinics located throughout the U.S. and Europe.</w:t>
      </w:r>
    </w:p>
    <w:p>
      <w:pPr>
        <w:spacing w:after="0" w:line="170" w:lineRule="exact"/>
        <w:rPr>
          <w:sz w:val="20"/>
          <w:szCs w:val="20"/>
          <w:color w:val="auto"/>
        </w:rPr>
      </w:pPr>
    </w:p>
    <w:p>
      <w:pPr>
        <w:jc w:val="both"/>
        <w:ind w:right="20" w:firstLine="162"/>
        <w:spacing w:after="0" w:line="297" w:lineRule="auto"/>
        <w:rPr>
          <w:sz w:val="20"/>
          <w:szCs w:val="20"/>
          <w:color w:val="auto"/>
        </w:rPr>
      </w:pPr>
      <w:r>
        <w:rPr>
          <w:rFonts w:ascii="Arial" w:cs="Arial" w:eastAsia="Arial" w:hAnsi="Arial"/>
          <w:sz w:val="16"/>
          <w:szCs w:val="16"/>
          <w:color w:val="auto"/>
        </w:rPr>
        <w:t>CDD offers a range of commercialization solutions, which include life cycle management and post-approval studies, which are typically conducted after a drug has successfully undergone clinical efficacy and safety testing and the New Drug Application has been submitted to the FDA and/or other regulatory bodies. CDD also offers market access solutions, including reimbursement consulting and hotlines, patient assistance programs, health economic and outcomes research services, observational studies, real world evidence and analytics services, and value communication services. Pharmaceutical and biotechnology companies purchase these services to serve patients in need of therapy and to help optimize their return on R&amp;D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 Technology-Enabled Solutions</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CDD’s Xcellerate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informatics platform integrates multiple sources of data to deliver unique and timely information throughout the course of client studies. Xcellerate is a technology-enabled platform designed by CDD to help reduce the cost, time, complexity and risk associated with clinical trials. Key Xcellerate modules include Forecasting &amp; Site Selection, Clinical Trial Management, Monitoring, and Insights. Xcellerate Forecasting &amp; Site Selection enables clients to make more predictive choices to identify the optimal sites and investigators by drawing on the world’s largest proprietary clinical trial knowledge base. Xcellerate Clinical Trial Management provides near real time information on trial results and execution. Xcellerate Monitoring enables clients to proactively identify and mitigate risks by monitoring medical, statistical and operational data across the client’s portfolio of clinical trials. Xcellerate Insights supports analysis of a trial’s most recent operational metrics in a secure collaborative portal.</w:t>
      </w:r>
    </w:p>
    <w:p>
      <w:pPr>
        <w:spacing w:after="0" w:line="19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Xcellerate, CDD’s proprietary technology assets include CDD’s investigator database and analytic methodologies utilized to design and manage patient enrollment, site selection, and investigator selection to produce higher quality and faster clinical trials resulting in reduced costs and increased market potential for biopharmaceutical company clients. CDD and LCD are also collaborating to use LCD information to support clinical trial recruitment and post-trial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 provides testing and drug development services to a broad range of healthcare providers, biopharmaceutical companies and other customers.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primary client groups serviced by the Company include:</w:t>
      </w:r>
    </w:p>
    <w:p>
      <w:pPr>
        <w:spacing w:after="0" w:line="22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MCOs. </w:t>
      </w:r>
      <w:r>
        <w:rPr>
          <w:rFonts w:ascii="Arial" w:cs="Arial" w:eastAsia="Arial" w:hAnsi="Arial"/>
          <w:sz w:val="17"/>
          <w:szCs w:val="17"/>
          <w:color w:val="auto"/>
        </w:rPr>
        <w:t>The Company serves many MCOs. These organizations have different contracting philosophies, that are influenced by the design of the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also may offer Managed Medicare or Managed Medicaid plans. MCOs may also offer Managed care or Managed Medicaid plans. In addition, some MCOs use capitation to fix the cost of laboratory testing services for their enrollees. Under a capitated reimbursement mechanism, the clinical laboratory and the MCO agree to a per member, per month payment for all covered laboratory tests.</w:t>
      </w:r>
    </w:p>
    <w:p>
      <w:pPr>
        <w:spacing w:after="0" w:line="17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Pharmaceutical and Biotechnology Companies. </w:t>
      </w:r>
      <w:r>
        <w:rPr>
          <w:rFonts w:ascii="Arial" w:cs="Arial" w:eastAsia="Arial" w:hAnsi="Arial"/>
          <w:sz w:val="18"/>
          <w:szCs w:val="18"/>
          <w:color w:val="auto"/>
        </w:rPr>
        <w:t>The Company serves hundreds of biopharmaceutical companies, ranging from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and biotechnology companies to small and start-up organizations. Contracts with these institutions generally take the form of fee-for-service or fixed-price arrangements.</w:t>
      </w:r>
    </w:p>
    <w:p>
      <w:pPr>
        <w:spacing w:after="0" w:line="18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b w:val="1"/>
          <w:bCs w:val="1"/>
          <w:i w:val="1"/>
          <w:iCs w:val="1"/>
          <w:color w:val="auto"/>
        </w:rPr>
        <w:t xml:space="preserve">Independent Physicians and Physician Groups. </w:t>
      </w:r>
      <w:r>
        <w:rPr>
          <w:rFonts w:ascii="Arial" w:cs="Arial" w:eastAsia="Arial" w:hAnsi="Arial"/>
          <w:sz w:val="18"/>
          <w:szCs w:val="18"/>
          <w:color w:val="auto"/>
        </w:rPr>
        <w:t>Physicians requiring testing for their patients are one of the Company’s primary sources of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services. Fees for clinical laboratory testing services rendered for these physicians are billed either to the physician, the patient or the patient’s third-party payer, such as an insurance company, Medicare or Medicaid. Billings are typically on a fee-for-service basis. If the billings are to the physician, they are based on a customer fee schedule and are subject to negotiation. Otherwise, the patient or third-party payer is billed at the Company's patient fee schedule, subject to third-party payer contract terms and negotiation by physicians on behalf of their patients. Patient sales are recorded at the Company’s patient fee schedule, net of any discounts negotiated with physicians on behalf of their patients, or fees made available through charity care or an uninsured patient program. Revenues received from Medicare and Medicaid billings are based on government-set fee schedules and reimbursement rules.</w:t>
      </w:r>
    </w:p>
    <w:p>
      <w:pPr>
        <w:spacing w:after="0" w:line="192"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b w:val="1"/>
          <w:bCs w:val="1"/>
          <w:i w:val="1"/>
          <w:iCs w:val="1"/>
          <w:color w:val="auto"/>
        </w:rPr>
        <w:t xml:space="preserve">Hospitals. </w:t>
      </w:r>
      <w:r>
        <w:rPr>
          <w:rFonts w:ascii="Arial" w:cs="Arial" w:eastAsia="Arial" w:hAnsi="Arial"/>
          <w:sz w:val="17"/>
          <w:szCs w:val="17"/>
          <w:color w:val="auto"/>
        </w:rPr>
        <w:t>The Company provides hospitals with services ranging from core and specialty testing to laboratory management services. Hospitals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 an on-site laboratory to perform immediately needed testing for patients receiving care. However, they also refer less time-sensitive procedures, less frequently needed procedures and highly specialized procedures to outside facilities, including independent clinical laboratories and larger medical centers. The Company typically charges hospitals for any such tests on a fee-for-service basis that is derived from the Company’s client fee schedule. Fees for management services are typically billed monthly at contractual rates.</w:t>
      </w:r>
    </w:p>
    <w:p>
      <w:pPr>
        <w:spacing w:after="0" w:line="1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Other Clients. </w:t>
      </w:r>
      <w:r>
        <w:rPr>
          <w:rFonts w:ascii="Arial" w:cs="Arial" w:eastAsia="Arial" w:hAnsi="Arial"/>
          <w:sz w:val="18"/>
          <w:szCs w:val="18"/>
          <w:color w:val="auto"/>
        </w:rPr>
        <w:t>The Company serves other clients, including government agencies (in addition to government reimbursement programs such as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Medicaid), large employers, food manufacturers, other independent clinical laboratories that do not have the breadth of the Company’s testing capabilities and in jurisdictions where permitted, consumers who may order diagnostic testing directly. These clients typically pay on a negotiated fee-for-service basis or based on a set fee schedule.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returning capital to shareholders.</w:t>
      </w:r>
    </w:p>
    <w:p>
      <w:pPr>
        <w:spacing w:after="0" w:line="13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Since 2010, the Company has invested net cash of approximately $5.8 billion and equity of $1.8 billion in strategic business acquisitions ($2.2 billion over the same period excluding the Acquisition). These acquisitions have significantly expanded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areas, and meet or exceed the Company’s financial criteria.</w:t>
      </w:r>
    </w:p>
    <w:p>
      <w:pPr>
        <w:spacing w:after="0" w:line="188"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On February 19, 2015, the Company completed the Acquisition, for $6,150.7 billion. Covance stockholders received $75.76 in cash and 0.2686 shares of the Company's common stock for each share of Covance common stock they owned immediately prior to the consummation of the Acquisition. Upon completion of the Acquisition, former Covance stockholders owned approximately 15.5% of the outstanding shares of the Company's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Since 2003, the Company has repurchased approximately $5.9 billion in shares at an average price of approximately $69 per share. Following the announcement of the Acquisition, the Company suspended its share repurchases. The Company does not anticipate resuming its share repurchase activity until it approaches its targeted ratio of total debt to consolidated EBITDA of 2.5 to 1.0. However, the Company will continue to evaluate all opportunities for strategic deployment of capital in light of market conditions. During 2015, the Company repaid $500.0 million of its senior notes and $285.0 million of its term loan. In addition, the Company borrowed and repaid $460.0 million of debt within the year.</w:t>
      </w:r>
    </w:p>
    <w:p>
      <w:pPr>
        <w:spacing w:after="0" w:line="17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Since 2010, capital expenditures were $1.1 billion, representing approximately 3.0% of the Company’s total net revenue during the same period. The Company expects capital expenditures in 2016 to be approximately 3.0% of net revenues primarily in connection with projects to support growth in the Company's core businesses, projects related to Project LaunchPad and further Covance integration initiatives.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experiences seasonality in both segments of its business. For example, testing volume generally declines during the year-end holiday period and other major holidays. Testing volume can also decline due to inclement weather, reducing net revenues and cash flows. CDD's operations are also impacted by changes in the global economy, exchange rate fluctuations, the progress of ongoing studies and the start-up of new studies, as well as the level of expenditures made by the pharmaceutical and biotechnology industries in R&amp;D. Given the seasonality of the business, comparison of results for successive quarters may not accurately reflect trends or results for the full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 Partnerships</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holds investments in three joint venture partnerships, two located in Alberta, Canada, and one located in Florence, South Carolina. These businesses primarily represent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 The Company does not consolidate the results of these joint ventures. Effective June 30, 2015, the Company liquidated its interest in a joint venture partnership that had been located in Milwaukee, Wisconsin.</w:t>
      </w:r>
    </w:p>
    <w:p>
      <w:pPr>
        <w:spacing w:after="0" w:line="17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first Canadian partnership is a leader in Occupational testing across Canada similar to LCD's U.S. Occupational testing services. The second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Client Service</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offers its diagnostic services through a sales force focused on serving the specific needs of customers in different market segments. These market segments generally include Primary Care, Obstetrics-Gynecology, Specialty Medicine (e.g., Infectious Disease, Endocrinology, Gastroenterology and Rheumatology), Oncology and Hospitals. LCD competes primarily on the basis of quality of testing, breadth of menu, price, innovation of services, convenience and access points throughout the nation.</w:t>
      </w:r>
    </w:p>
    <w:p>
      <w:pPr>
        <w:spacing w:after="0" w:line="187"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17"/>
          <w:szCs w:val="17"/>
          <w:color w:val="auto"/>
        </w:rPr>
        <w:t>CDD’s global sales activities are conducted by sales personnel in North America, Europe, South America and the Asia Pacific region. The sales force provides client coverage across the biopharmaceutical industry for services including lead optimization, preclinical safety assessment, analytical services, clinical solutions, central laboratories and market access solutions. Client segments called upon include global and regional pharmaceutical and biotech companies and academic institutions. CDD positions itself as the company that delivers Solutions Made Real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its clients, bringing high quality, innovation, scientific depth and the ability to help clients develop drugs along the entire continuum of development.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LCD's and CDD’s sales forces are compensated through a combination of salaries, commissions and bonuses at levels commensurate with each individual’s qualifications, performance and responsibilities. LCD's general sales force and CDD's sales team are responsible for both new sales and for customer retention and relationship building. LCD's general sales force is also supported by a team of clinical specialists who focus on selling esoteric testing and meeting the unique needs of the specialty medicine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2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The Company is committed to developing and commercializing technology-enabled solutions to support its operations and change the way care is provided. The Company operates standard platforms for its core business services including laboratory diagnostics, drug development, billing, financial and reporting systems. These standard systems ensure consistency within our workflows and information as well as a high level of system availability and stability. The Company’s primary laboratory systems, including standardized support for molecular diagnostics, digital pathology and enhanced specialty laboratory solutions, is responsible for processing tests that generate approximately 93.6% of its domestic LCD revenue (approximately 88.4% of total LCD revenue) and 100% of its CDD central laboratory services revenue. The Company's centralized information systems are responsible for tremendous operational efficiencies, enabling the Company to achieve consistent, structured, and standardized operating results and superior patient care.</w:t>
      </w:r>
    </w:p>
    <w:p>
      <w:pPr>
        <w:spacing w:after="0" w:line="16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addition, LCD and CDD each offer proprietary and industry-leading information systems, which are discussed in more detail in the sections dedicated to each of those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LCD and CDD have quality management programs designed to provide that comprehensive quality systems and processes that are appropriate for their respective businesses are in place. This includes licensing, credentialing, training and competency of professional and technical staff, and internal audits. In addition to the external inspections and proficiency testing programs that may be required by regulatory agencies, systems and procedures are in place to emphasize and monitor quality. Many of the Company’s laboratories, facilities and processes are subject to on-site regulatory evaluations, external proficiency testing programs, state surveys as applicable in the U.S. and the Company's own quality audit programs.</w:t>
      </w:r>
    </w:p>
    <w:p>
      <w:pPr>
        <w:spacing w:after="0" w:line="17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Quality also encompasses virtually all facets of the Company’s service, including turnaround time, client service, data integrity, patient satisfaction, and billing, as applicable. The Company’s quality assessment program includes measures that compare its current performance against desired performance goals. Using quality assessment techniques, the Company employs a variety of programs to monitor critical aspects of service to its clients and patients.</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various groups within the Company, including the Company's supply chain management department, CDD's clinical trial services global vendor management department, CDD's central laboratory services expanded laboratory management services department, and CDD's project management staff, provide oversight to monitor and control vendor products and performance, and play an essential role in the Company’s approach to quality through improvements in automation.</w:t>
      </w:r>
    </w:p>
    <w:p>
      <w:pPr>
        <w:spacing w:after="0" w:line="183" w:lineRule="exact"/>
        <w:rPr>
          <w:sz w:val="20"/>
          <w:szCs w:val="20"/>
          <w:color w:val="auto"/>
        </w:rPr>
      </w:pPr>
    </w:p>
    <w:p>
      <w:pPr>
        <w:jc w:val="both"/>
        <w:ind w:firstLine="238"/>
        <w:spacing w:after="0" w:line="266" w:lineRule="auto"/>
        <w:rPr>
          <w:sz w:val="20"/>
          <w:szCs w:val="20"/>
          <w:color w:val="auto"/>
        </w:rPr>
      </w:pPr>
      <w:r>
        <w:rPr>
          <w:rFonts w:ascii="Arial" w:cs="Arial" w:eastAsia="Arial" w:hAnsi="Arial"/>
          <w:sz w:val="18"/>
          <w:szCs w:val="18"/>
          <w:b w:val="1"/>
          <w:bCs w:val="1"/>
          <w:i w:val="1"/>
          <w:iCs w:val="1"/>
          <w:color w:val="auto"/>
        </w:rPr>
        <w:t>LCD Customer Interaction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to continually improve the customers’ experience with LCD are essential. Use of technology and improvements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 within LCD's PSCs are helping to reduce patient wait times by expediting the patient registration process (through LabCorp Patient Appointment Scheduling) and enhance the specimen collection process (through LabCorp Touch and AccuDraw).</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Specimen Management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use of logistics and specimen tracking technology allows the timely transportation, monitoring, and storage of specimens.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continually improving its ability to timely collect, transport and track specimens from collection points to LCD locations.</w:t>
      </w:r>
    </w:p>
    <w:p>
      <w:pPr>
        <w:spacing w:after="0" w:line="207" w:lineRule="exact"/>
        <w:rPr>
          <w:sz w:val="20"/>
          <w:szCs w:val="20"/>
          <w:color w:val="auto"/>
        </w:rPr>
      </w:pPr>
    </w:p>
    <w:p>
      <w:pPr>
        <w:jc w:val="both"/>
        <w:ind w:firstLine="252"/>
        <w:spacing w:after="0" w:line="255" w:lineRule="auto"/>
        <w:rPr>
          <w:sz w:val="20"/>
          <w:szCs w:val="20"/>
          <w:color w:val="auto"/>
        </w:rPr>
      </w:pPr>
      <w:r>
        <w:rPr>
          <w:rFonts w:ascii="Arial" w:cs="Arial" w:eastAsia="Arial" w:hAnsi="Arial"/>
          <w:sz w:val="18"/>
          <w:szCs w:val="18"/>
          <w:b w:val="1"/>
          <w:bCs w:val="1"/>
          <w:i w:val="1"/>
          <w:iCs w:val="1"/>
          <w:color w:val="auto"/>
        </w:rPr>
        <w:t>Quality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regularly performs quality control testing by running quality control samples with known values at the same time patient samples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tested. Quality control test results are entered into LCD's computerized quality control database. In addition, results are continually monitored to detect potential analytical variances during testing. The real-time monitoring for any statistically and clinically significant analytical differences enables technologists and technicians to take immediate and appropriate corrective action prior to release of patient results. CDD operates a variety of quality control systems as appropriate for the type of work being conducted. These may include in-process and post-process quality control checks, use of control materials and reference standards, peer reviews, data review meetings, programmed data edit checks to detect variances and unusual data patterns, dual programming, and mock runs.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ind w:firstLine="293"/>
        <w:spacing w:after="0" w:line="261" w:lineRule="auto"/>
        <w:rPr>
          <w:sz w:val="20"/>
          <w:szCs w:val="20"/>
          <w:color w:val="auto"/>
        </w:rPr>
      </w:pPr>
      <w:r>
        <w:rPr>
          <w:rFonts w:ascii="Arial" w:cs="Arial" w:eastAsia="Arial" w:hAnsi="Arial"/>
          <w:sz w:val="18"/>
          <w:szCs w:val="18"/>
          <w:b w:val="1"/>
          <w:bCs w:val="1"/>
          <w:i w:val="1"/>
          <w:iCs w:val="1"/>
          <w:color w:val="auto"/>
        </w:rPr>
        <w:t>LCD Internal Proficiency Testing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has an extensive internal proficiency testing program in which each laboratory receives samples to test.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proficiency program serves to test LCD's analytical and post-analytical phases of laboratory testing service including order entry, requisitioning systems, accuracy, precision of its testing protocols, and technologist/technician performance. This program supplements the external proficiency programs required by the laboratory accrediting agencies.</w:t>
      </w:r>
    </w:p>
    <w:p>
      <w:pPr>
        <w:spacing w:after="0" w:line="180"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b w:val="1"/>
          <w:bCs w:val="1"/>
          <w:i w:val="1"/>
          <w:iCs w:val="1"/>
          <w:color w:val="auto"/>
        </w:rPr>
        <w:t>Accreditation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participates in numerous externally-administered quality surveillance programs, including the College of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Pathology (CAP) program. CAP is an independent non-governmental organization of board-certified pathologists that offers an accreditation program to which laboratories voluntarily subscribe. CAP has been granted deemed status authority by CMS to inspect clinical laboratories to determine adherence to the Clinical Laboratory Improvement Amendments of 1988 (CLIA) standards. The CAP program involves both on-site inspections of the laboratory and participation in CAP's proficiency testing program for all categories in which the laboratory is accredited. A laboratory's receipt of accreditation by CAP satisfies the CMS requirement for certification. All of the Company's major diagnostic laboratories and CDD's Phase I clinical research units in Evansville, Ind. and Dallas, Texas are accredited by CAP.</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Company's forensic crime laboratory located in Lorton, Va. is accredited to ISO/IEC 17025:2005 by the American Society of Crime Laboratory Directors, Laboratory Accreditation Board (ASCLD/LAB) in the discipline of biology and categories of nuclear DNA, mitochondrial DNA, body fluid identification and individual characteristic database testing. Under the accreditation program managed by the ASCLD/LAB, a crime laboratory undergoes a comprehensive and in-depth inspection to demonstrate that its management, operations, employees, procedures and instruments, physical plant, and security and personnel safety procedures meet stringent quality standards.</w:t>
      </w:r>
    </w:p>
    <w:p>
      <w:pPr>
        <w:spacing w:after="0" w:line="18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full service forensic facilities in the U.K. are accredited to ISO/IEC 17025:2005 by the U.K. Accreditation Service in many areas of forensic analysis. These facilities provide crime scene investigative services, collecting samples for DNA analysis, mitochondrial DNA testing, microscopic analysis of tool marks and paint and other forms of forensic testing.</w:t>
      </w:r>
    </w:p>
    <w:p>
      <w:pPr>
        <w:spacing w:after="0" w:line="181" w:lineRule="exact"/>
        <w:rPr>
          <w:sz w:val="20"/>
          <w:szCs w:val="20"/>
          <w:color w:val="auto"/>
        </w:rPr>
      </w:pPr>
    </w:p>
    <w:p>
      <w:pPr>
        <w:jc w:val="both"/>
        <w:ind w:firstLine="284"/>
        <w:spacing w:after="0" w:line="279" w:lineRule="auto"/>
        <w:rPr>
          <w:sz w:val="20"/>
          <w:szCs w:val="20"/>
          <w:color w:val="auto"/>
        </w:rPr>
      </w:pPr>
      <w:r>
        <w:rPr>
          <w:rFonts w:ascii="Arial" w:cs="Arial" w:eastAsia="Arial" w:hAnsi="Arial"/>
          <w:sz w:val="17"/>
          <w:szCs w:val="17"/>
          <w:color w:val="auto"/>
        </w:rPr>
        <w:t>The Company has multiple labs that have received ISO 15189 accreditation. ISO 15189 is an international standard that recognizes the quality and technical competence of medical laboratories. The Company has fifteen (15) accredited laboratories in the U.S. In addition, the Company has six (6) laboratories accredited to this standard outside of the U.S., and the laboratory operated for CDD pursuant to an alliance with BML, Inc. also has this accreditation. The list below reflects the Company's labs that have achieved this accreditation and the year in which they achieved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Colorado Coagulation, Denver, Colorado - January,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Dynacare-Gamma facility, Laval, Québec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Dublin, Ohio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Endocrine Sciences, Calabasas, California - January,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Dallas, Texas - April,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Denver, Colorado - March,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Genetics, Santa Fe, New Mexico - October,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Genetics, Westborough, Massachusetts - September,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Dynacare-Gamma facility, Montreal, Québec - June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Phoenix, Arizona - April,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Birmingham, Alabama - February,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Oncology, Brentwood, Tenenssee - February,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Viromed, Burlington, North Carolina - January,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Center for Molecular Biology and Pathology (CMBP), Research Triangle Park, North Carolina - February,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LabCorp's Regional Testing Facility, Tampa, Florida - January,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Oncology, Phoenix, Arizona - September,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Central Laboratory Services Inc., Indianapolis, Indiana - August, 2015</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BML Covance Central Laboratory, Tokyo, Japan - March, 2015 (Operated for CDD pursuant to an alliance with BML,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Pharmaceutical Research and Development (Shanghai) Co. Ltd, Shanghai, China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(Asia) Pte. Ltd., Singapore - June,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Covance Central Laboratory Services SA, Geneva, Switzerland - October,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relies on a combination of patents, trademarks, copyrights, trade secrets, nondisclosure and non-competition agreements to establish and protect its proprietary technology. The Company has filed and obtained numerous patents in the U.S. and abroad, and regularly files patent applications, when appropriate, to establish and protect its proprietary technology. From time to time,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December 31, 2015, the Company had over 50,000 full-time equivalent employees worldwide, approximately 19.5% of whom were employed outside of the U.S. U.S. based subsidiaries of LCD have three collective bargaining agreements, which cover approximately 648 employees. Non-US based subsidiaries of CDD have 23 collective bargaining agreements, which cover approximately 951 employees.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success is highly dependent on its ability to attract and retain qualified employees, and the Company believes that it has good working relationships with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the Company operates in a number of distinct operating environments and in a variety of locations worldwide, it is subject to numerous, and sometimes overlapping, regulatory environments.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13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federally-approved accreditation agency. In most cases, that certification is regulated by CMS through CLIA. CLIA requires that applicable clinical laboratories meet quality assurance, quality control and personnel standards. Laboratories also must undergo proficiency testing and are subject to inspections.</w:t>
      </w:r>
    </w:p>
    <w:p>
      <w:pPr>
        <w:spacing w:after="0" w:line="181"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 complexity testing are required to meet more stringent requirements than moderate complexity laboratories. Laboratories performing only waived tests, which are tests determined by the FDA to have a low potential for error and requiring little oversight, may apply for a certificate of waiver exempting them from most of the requirements of CLIA. All major and many smaller Company facilities hold CLIA certificates to perform high complexity testing. The Company's remaining smaller testing sites hold CLIA certificates to perform moderate 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16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16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believes that it is in compliance with all applicable laboratory requirements. The Company's laboratories have continuing programs to ensure that their operations meet all such regulatory requirements, but no assurances can be given that the Company's laboratories will pass all future licensure or certification inspections.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FDA Laws and Regulations</w:t>
      </w:r>
    </w:p>
    <w:p>
      <w:pPr>
        <w:spacing w:after="0" w:line="1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FDA has regulatory responsibility over instruments, test kits, reagents and other devices used by clinical laboratories. The FDA has issued draft guidance regarding FDA regulation of LDTs. There are other regulatory and legislative proposals that would increase general FDA oversight of clinical laboratories and LDTs. The outcome and ultimate impact of such proposals on the business is difficult to predict at this time.</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FDA enforces U.S. laws and regulations that govern the development, testing, manufacturing, labeling, advertising, marketing, distribution and surveillance of diagnostic products, including many of the services and products offered by the Company and many of the client services and products that CDD works on. The FDA periodically inspects and reviews the manufacturing processes and product performance of diagnostic products. The FDA has the authority to take various administrative and legal actions for non-compliance such as fines, product suspensions, warning letters, recalls, injunctions and other civil and criminal sanctions. Other countries where the Company conducts business have similar agencies and laws with which the Company must also comply.</w:t>
      </w:r>
    </w:p>
    <w:p>
      <w:pPr>
        <w:spacing w:after="0" w:line="99" w:lineRule="exact"/>
        <w:rPr>
          <w:sz w:val="20"/>
          <w:szCs w:val="20"/>
          <w:color w:val="auto"/>
        </w:rPr>
      </w:pPr>
    </w:p>
    <w:p>
      <w:pPr>
        <w:jc w:val="both"/>
        <w:ind w:left="80" w:firstLine="216"/>
        <w:spacing w:after="0" w:line="270" w:lineRule="auto"/>
        <w:rPr>
          <w:sz w:val="20"/>
          <w:szCs w:val="20"/>
          <w:color w:val="auto"/>
        </w:rPr>
      </w:pPr>
      <w:r>
        <w:rPr>
          <w:rFonts w:ascii="Arial" w:cs="Arial" w:eastAsia="Arial" w:hAnsi="Arial"/>
          <w:sz w:val="17"/>
          <w:szCs w:val="17"/>
          <w:color w:val="auto"/>
        </w:rPr>
        <w:t>The operation of CDD’s preclinical laboratory facilities and clinical trial operations must conform at all times to good laboratory practice (GLP) and good clinical practice (GCP), respectively, as well as all other applicable standards and regulations. The preclinical and clinical studies that the Company conducts are subject to periodic inspections by the FDA as well as other drug regulatory agencies which may include, without limitation, the Medicines and Healthcare products Regulatory Agency in the U.K. (MHRA), the European Medicines Agency, the China Food and Drug Administration, and the Pharmaceuticals and Medical Devices Agency in Japan to determine compliance with GLP and GCP as well as other applicable standards and regulations. If the FDA determines during an inspection that the Company’s equipment, facilities, laboratories, operations, or processes do not comply with applicable FDA regulations and conditions of GLP and/or GCP, the FDA may issue a formal notice, which may be followed by a warning letter if observations are not addressed satisfactorily. Continued non-compliance may result in the FDA seeking civil, criminal or administrative sanctions and/or remedies against the Company, including suspension of its laboratory operations. Other countries where the Company conducts business have similar laws with which the Company must also comply.</w:t>
      </w:r>
    </w:p>
    <w:p>
      <w:pPr>
        <w:spacing w:after="0" w:line="178" w:lineRule="exact"/>
        <w:rPr>
          <w:sz w:val="20"/>
          <w:szCs w:val="20"/>
          <w:color w:val="auto"/>
        </w:rPr>
      </w:pPr>
    </w:p>
    <w:p>
      <w:pPr>
        <w:jc w:val="both"/>
        <w:ind w:left="80" w:firstLine="216"/>
        <w:spacing w:after="0" w:line="255" w:lineRule="auto"/>
        <w:rPr>
          <w:sz w:val="20"/>
          <w:szCs w:val="20"/>
          <w:color w:val="auto"/>
        </w:rPr>
      </w:pPr>
      <w:r>
        <w:rPr>
          <w:rFonts w:ascii="Arial" w:cs="Arial" w:eastAsia="Arial" w:hAnsi="Arial"/>
          <w:sz w:val="18"/>
          <w:szCs w:val="18"/>
          <w:color w:val="auto"/>
        </w:rPr>
        <w:t>Additionally, certain CDD services and activities, such as CMC services and manufacturing of investigational medicinal product for use in certain Phase I studies managed by CDD, must conform to current good manufacturing practice (cGMP). CDD is subject to periodic inspections by the FDA and the MHRA in order to assess, among other things, cGMP compliance. If the FDA or the MHRA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fines, unanticipated compliance expenditures, suspension of manufacturing, enforcement actions, injunctions, or criminal prosecution. Other countries where the Company conducts business may have similar laws with which the Company may also be required to comply.</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Animal Welfare Act</w:t>
      </w:r>
    </w:p>
    <w:p>
      <w:pPr>
        <w:spacing w:after="0" w:line="13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conduct of animal research at CDD’s facilities in the U.S. must be in compliance with the U.S. Animal Welfare Act (AWA), which governs the care and use of warm-blooded animals used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For continued noncompliance, the USDA may impose fines, suspend and/or revoke animal research licenses or confiscate research animals.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2015, LCD derived approximately 16.0% of its net revenue directly from the Medicare and Medicaid programs. In addition, LCD's other clinical laboratory testing business that is not directly related to Medicare or Medicaid nevertheless depends significantly on continued participation in these programs and in other government healthcare programs, in part because clients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Reimbursement under the Medicare CLFS and PFS are capped at different rates in each Medicare carrier's jurisdiction. State Medicaid programs are prohibited from paying more than the Medicare fee schedule limit for clinical laboratory services furnished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Medicaid recipient.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who manage those plans.</w:t>
      </w:r>
    </w:p>
    <w:p>
      <w:pPr>
        <w:spacing w:after="0" w:line="181"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As discussed previously in Item 1 of Part I, over the past several years LCD has experienced a series of reductions in payment from Medicare, and it expects to experience continued reductions through 2016 and 2017. However, rulemaking to implement PAMA has not yet been finalized, and the methods to be used by CMS to establish fees for laboratory services under the CLFS are not yet determined. Until those rules are final, the Company cannot assess the impact of further fee changes pursuant to PAMA.</w:t>
      </w:r>
    </w:p>
    <w:p>
      <w:pPr>
        <w:spacing w:after="0" w:line="187"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Many pathology services performed by LCD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or relative value units. The Sustainable Growth Rate (SGR), the formula formerly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0.0% updates for 2020-2025, and updates that vary based on participation in alternative payment models in subsequent years. These changes to the conversion factor may be offset by reductions to the relative value units, as was the case with the 2016 PFS reductions. In addition, rates will be adjusted under the new Merit-Based Incentive Payment System beginning in 2019. Approximately 0.9% of LCD's revenue is reimbursed under the PFS.</w:t>
      </w:r>
    </w:p>
    <w:p>
      <w:pPr>
        <w:spacing w:after="0" w:line="18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Because a significant portion of the Company's costs are relatively fixed, further payment reductions to Medicare, Medicaid and other government programs could have a direct adverse effect on the Company's net earnings and cash flows. The Company cannot predict whether changes will be implemented that will result in further payment reductions.</w:t>
      </w:r>
    </w:p>
    <w:p>
      <w:pPr>
        <w:spacing w:after="0" w:line="181"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6"/>
          <w:szCs w:val="16"/>
          <w:color w:val="auto"/>
        </w:rPr>
        <w:t>In addition to changes in reimbursement rates, LCD is also impacted by changes in coverage policies for laboratory tests. Congressional action in 1997 required HHS to adopt uniform coverage, administration and payment policies for many of the most commonly performed lab tests using a negotiated rulemaking process. The negotiated rulemaking committee established uniform policies limiting Medicare coverage for certain tests to patients with specified medical conditions or diagnoses, replacing local Medicare coverage policies which varied around the country. Since the final rules generally became effective in 2002, the use of uniform policies has improved LCD's ability to obtain necessary billing information in some cases. However, Medicare, Medicaid and private payer diagnosis code requirements and payment policies continue to negatively impact LCD's ability to be paid for some of the tests it performs. LCD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Further, several payers continue to require additional information to process claims or have implemented prior authorization policies. Many commercial payers were delayed in becoming aware of the impact of their claim edits and policies which impeded access to services that previously have been covered and reimbursed. These issues had a negative impact on revenue, revenue per requisition, margins and cash flows, which were largely sustained in the years 2013 through 2015, and are expected to have a continuing negative impact. Similarly, CLFS coding and billing changes related to toxicology and other procedures were implemented in 2015 and Palmetto implemented a revised Drugs of Abuse Local Coverage Policy which impacted the handling of such procedures for Medicaid and MCOs. The Company experienced delays in the pricing and implementation of the new toxicology codes, however, largely overcame issues related to price and margins through direct negotiation with the associated payers. Further coding and billing changes related to toxicology testing and other procedure types are to be implemented in 2016. The Company expects delays in the pricing and implementation of these new codes and it is unclear what impact will be experienced related to price and margins.</w:t>
      </w:r>
    </w:p>
    <w:p>
      <w:pPr>
        <w:spacing w:after="0" w:line="17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 Based on currently available information, the Company is unable to predict what type of changes in legislation or regulations, if any, will occur.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Standard Electronic Transactions, Security and Confidentiality of Health Information and Other Personal Information</w:t>
      </w:r>
    </w:p>
    <w:p>
      <w:pPr>
        <w:spacing w:after="0" w:line="13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the U.S., the Health Insurance Portability and Accountability Act of 1996 (HIPAA) was designed to address issues related to the security and confidentiality of health information. In an effort to improve the efficiency and effectiveness of the healthcare system by facilitating the electronic exchange of information in certain financial and administrative transactions, HIPAA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were promulgated. These regulations apply to health plans, healthcare providers that conduct standard transactions electronically and healthcare clearinghouses (covered entities). Five such regulations have been finalized: (i) the Transactions and Code Sets Rule; (ii) the Privacy Rule; (iii) the Security Rule; (iv) the Standard Unique Employer Identifier Rule, which requires the use of a unique employer identifier in connection with certain electronic transactions; and (v) the National Provider Identifier Rule, which requires the use of a unique healthcare provider identifier in connection with certain electronic transactions.</w:t>
      </w:r>
    </w:p>
    <w:p>
      <w:pPr>
        <w:spacing w:after="0" w:line="18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believes that it is in compliance in all material respects with the current Transactions and Code Sets Rule. The Company implemented Version 5010 of the HIPAA Transaction Standards and believes it has fully adopted the ICD-10-CM code set. The costs associated with ICD-10-CM Code Set were substantial, and failure of the Company, third party payers or physicians to apply the new code set could have had an adverse impact on reimbursement, days sales outstanding and cash collections in 2015 and forward. While to date the Company has not experienced any sustained disruption in receipts or indications of substantive reductions to reimbursement and net revenues related to the implementation of the ICD-10-CM code set, future application of restrictive clinical or payment policies could negatively impact the Company. The Company believes it is in compliance in all material respects with applicable laws and regulations for electronic funds transfers and remittance advice transactions.</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access to PHI. The Company believes that it is in compliance in all material respects with the requirements of the HIPAA Privacy Rule.</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Security Rule establishes requirements for safeguarding patient information that is electronically transmitted or electronically stored. The Company believes that it is in compliance in all material respects with the requirements of the HIPAA Security Rule.</w:t>
      </w:r>
    </w:p>
    <w:p>
      <w:pPr>
        <w:spacing w:after="0" w:line="17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U.S. Health Information Technology for Economic and Clinical Health Act (HITECH), which was enacted in February 2009, strengthens and expands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omnibus HIPAA regulation implementing most of the HITECH provisions was issued in January 2013 and made significant changes to the HIPAA Privacy, Security, Enforcement, and Breach Notification Rules. Compliance with most of the changes became required on September 23, 2013. The Company believes its policies and procedures are fully compliant with the HITECH requirements.</w:t>
      </w:r>
    </w:p>
    <w:p>
      <w:pPr>
        <w:spacing w:after="0" w:line="18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Previously laboratories that were CLIA-certified or CLIA-exempt were not subject to the provision in the Privacy Rule that provides individuals with the right of access to PHI. The HIPAA Privacy Rule amendment resulted in the preemption of a number of state laws that prohibit a laboratory from releasing a test report directly to the individual. The Company revised its policies and procedures to comply with these new access requirements and has updated its privacy notice to reflect individuals’ new access rights under this final rule.</w:t>
      </w:r>
    </w:p>
    <w:p>
      <w:pPr>
        <w:spacing w:after="0" w:line="17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Standard Unique Employer Identifier Rule requires that employers have standard national numbers that identify them on standard transactions. The Employer Identification Number (also known as a Federal Tax Identification Number) issued by the Internal Revenue Service was selected as the identifier for employers and was adopted effective July 30, 2002. The Company believes it is in compliance with these requirements.</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 National Provider Identifier (NPI) to identify themselves in standard HIPAA transactions. NPI replaces the unique provider identification number and other provider numbers previously assigned by payers and other entities - for the purpose of identifying providers in standard electronic transactions. The Company believes that it is in compliance with the HIPAA National Provider Identification Rule in all material respects.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total cost associated with meeting the requirements of HIPAA and HITECH is not expected to be material to the Company’s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future regulations and interpretations of HIPAA and HITECH could impose significant costs on the Company.</w:t>
      </w:r>
    </w:p>
    <w:p>
      <w:pPr>
        <w:spacing w:after="0" w:line="21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In addition to the HIPAA regulations described above, there are a number of other national, state and foreign laws regarding the confidentiality and security of medical information, some of which apply to clinical laboratories and CROs. These laws vary widely but they most commonly regulate or restrict the collection, use and disclosure of medical and financial information and other personal information. In some cases, state laws are more restrictive and, therefore, are not preempted by HIPAA. Penalties for violation of these laws may include sanctions against a laboratory's licensure, as well as civil and/or criminal penalties. 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 Additionally, numerous other countries have similar laws governing the collection, use, disclosure and transmission of personal and/or patient information.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1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U.S. government's enforcement efforts have been increasing over the past decade, in part as a result of the enactment of HIPAA, which included several provisions related to fraud and abuse enforcement, including the establishment of a program to coordinate and fund U.S., state and local law enforcement efforts. The Deficit Reduction Act of 2005 also included new requirements directed at Medicaid fraud, including increased spending on enforcement and financial incentives for states to adopt false claims act provisions similar to the U.S. False Claims Act. Recent amendments to the False Claims Act, as well as other enhancements to the U.S. fraud and abuse laws enacted as part of the ACA, are widely expected to further increase fraud and abuse enforcement efforts. For example, the ACA established an obligation to report and refund overpayments from Medicare within 60 days of identification; failure to comply with this new requirement can give rise to additional liability under the False Claims Act and Civil Monetary Penalties statute. On February 16, 2012, CMS issued a proposed rule to establish regulations addressing the reporting and returning of overpayments. On February 11, 2016, CMS issued the final rule defining when an overpayment is identified and adopted a six-year lookback period. The rule is effective 30 days from the publication date.</w:t>
      </w:r>
    </w:p>
    <w:p>
      <w:pPr>
        <w:spacing w:after="0" w:line="1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U.S. healthcare programs'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which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 by case basis. Many states have their own Medicaid anti-kickback laws and several states also have anti-kickback laws that apply to all payers (i.e., not just government healthcare programs).</w:t>
      </w:r>
    </w:p>
    <w:p>
      <w:pPr>
        <w:spacing w:after="0" w:line="18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From time to time, the OIG issues alerts and other guidance on certain practices in the healthcare industry that implicate the Anti-Kickback Statute or other fraud and abuse laws. Examples of such guidance documents particularly relevant to the Company and its operations follow.</w:t>
      </w:r>
    </w:p>
    <w:p>
      <w:pPr>
        <w:spacing w:after="0" w:line="17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In October 1994, the OIG issued a Special Fraud Alert on arrangements for the provision of clinical laboratory services. The Fraud Alert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which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healthcare providers, their families and their employees (i.e., so-called “professional courtesy” testing). The OIG emphasized in the Special Fraud Alert that when one purpose of such arrangements is to induce referrals of program-reimbursed laboratory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testing, both the clinical laboratory and the healthcare provider (e.g., physician) may be liable under the Anti-Kickback Statute, and may be subject to criminal prosecution and exclusion from participation in the Medicare and Medicaid programs. More recently, in June 2014, the OIG issued another Special Fraud Alert addressing compensation paid by laboratories to referring physicians for blood specimen processing and for submitting patient data to registries. This Special Fraud Alert reiterates the OIG's long-standing concerns about payments from laboratories to physicians in excess of the fair market value of the physician's services and payments that reflect the volume or value of referrals of federal U.S. program business.</w:t>
      </w:r>
    </w:p>
    <w:p>
      <w:pPr>
        <w:spacing w:after="0" w:line="17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Another issue the OIG has expressed concern about involves the provision of discounts on laboratory services billed to customers in return for the referral of U.S. healthcare program business. In a 1999 Advisory Opinion, the OIG concluded that a proposed arrangement whereby a laboratory would offer physicians significant discounts on non-U.S. healthcare program laboratory tests might violate the Anti-Kickback Statute. The OIG reasoned that the laboratory could be viewed as providing such discounts to the physician in exchange for referrals by the physician of business to be billed by the laboratory to Medicare at non-discounted rates. The OIG indicated that the arrangement would not qualify for protection under the discount safe harbor to the Anti-Kickback Statute because Medicare and Medicaid would not get the benefit of the discount. Similarly, in a 1999 correspondence, the OIG stated that if any direct or indirect link exists between a discount that a laboratory offers to a skilled nursing facility for tests covered under Medicare’s payments to the skilled nursing facility and the referral of tests billable by the laboratory under Medicare Part B, then the Anti-Kickback Statute would be implicated.</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OIG also has issued guidance regarding joint venture arrangements that may be viewed as suspect under the Anti-Kickback Statute. These documents have relevance to clinical laboratories that are part of (or are considering establishing) joint ventures with potential sources of U.S. healthcare program business. The first guidance document, which focused on investor referrals to such ventures was issued in 1989 and another concerning contractual joint ventures was issued in April 2003. Some of the elements of joint ventures that the OIG identified as “suspect” include: arrangements in which the capital invested by the physicians is disproportionately small and the return on investment is disproportionately large when 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The OIG indicated that the physicians' financial and business risk in the venture was minimal and that the physicians would contract out substantially all laboratory operations, committing very little in the way of financial, capital, or human resources. The OIG was unable to exclude the possibility that the arrangement was designed to permit the laboratory to pay the physician groups for their referrals, and, therefore, was unwilling to find that the arrangement fell within a safe harbor or had sufficient safeguards to protect against fraud or abuse.</w:t>
      </w:r>
    </w:p>
    <w:p>
      <w:pPr>
        <w:spacing w:after="0" w:line="180"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Violations of other fraud and abuse laws can also result in exclusion from participation in U.S. healthcare programs, including Medicare and Medicaid. One basis for such exclusion is an individual or entity’s submission of claims to Medicare or Medicaid that are substantially in excess of that individual or entity’s usual charges for like items or services. In 2003, the OIG issued a notice of proposed rulemaking that would have defined the terms “usual charges” and “substantially in excess” in ways that might have required providers, including LCD, to either lower their charges to Medicare and Medicaid or increase charges to certain other payers to avoid the risk of exclusion. On June 18, 2007, however, the OIG withdrew the proposed rule, saying it preferred to continue evaluating billing patterns on a case-by-case basis. In its withdrawal notice, the OIG also said it “remains concerned about disparities in the amounts charged to Medicare and Medicaid when compared to private payers,” that it continues to believe its exclusion authority for excess charges “provides useful backstop protection for the public fisc from providers that routinely charge Medicare or Medicaid substantially more than their other customers” and that it will continue to use “all tools available … to address instances where Medicare or Medicaid are charged substantially more than other payers.” Thus, although the OIG did not proceed with its rulemaking, an enforcement action under this statutory exclusion basis is possible and, if pursued, could have an adverse effect on the Company. The enforcement by Medicaid officials of similar state law restrictions also could have a material adverse effect on the Company.</w:t>
      </w:r>
    </w:p>
    <w:p>
      <w:pPr>
        <w:spacing w:after="0" w:line="17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Under another U.S. statute, known as the Stark Law or “self-referral” prohibition, physicians who have a financial or a compensation relationship with a clinical laboratory may not, unless an exception applies, refer Medicare patients for testing to the laboratory, regardless of the intent of the parties. Similarly, laboratories may not bill Medicare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clinical laboratory services; iii) an exception for certain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All of the requirements of a Stark Law exception must be met in order for the exception to apply. Many states have their own self-referral laws as well, which in some cases apply to all patient referrals, not just Medicare.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any loss of licensure, arising from any action by any U.S.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13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is subject to licensing and regulation under national, state and local laws and regulations relating to the protection of the environment, and human health and safety and laws and regulations relating to the handling, transportation and disposal of medical specimens,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the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concerning the environment and human health and safety with which the Company must also comply.</w:t>
      </w:r>
    </w:p>
    <w:p>
      <w:pPr>
        <w:spacing w:after="0" w:line="18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2012, the OSHA Hazard Communication Standard was revised based on the adoption of the Globally Harmonized System (GHS) that provides criteria for the classification of chemical hazards. Updated copies of Safety Data Sheets for chemical products used across the Company were obtained prior to the effective date of June 1, 2015.</w:t>
      </w:r>
    </w:p>
    <w:p>
      <w:pPr>
        <w:spacing w:after="0" w:line="18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Testing</w:t>
      </w:r>
    </w:p>
    <w:p>
      <w:pPr>
        <w:spacing w:after="0" w:line="13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Drug testing for public sector employees is regulated by the U.S. Substance Abuse and Mental Health Services Administration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N.C; Raritan, N.J.; Houston, Texas; Southaven, Miss; and St. Paul, Minn are all SAMHSA certified.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use of controlled substances in testing for drugs of abuse is regulated by the U.S. Drug Enforcement Administration.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maintains a comprehensive, company-wide compliance program and continuously evaluates and monitors its compliance with all Medicare, Medicaid, FDA, and other rules and regulations in the U.S. and the other countries where the Company has operations. The objective of the Company’s compliance program is to develop, implement and update compliance safeguards as necessary. Emphasis is placed on developing compliance policies and guidelines, personnel training programs and various monitoring and audit procedures to achieve implementation and maintain compliance with all applicable rules and regulations.</w:t>
      </w:r>
    </w:p>
    <w:p>
      <w:pPr>
        <w:spacing w:after="0" w:line="18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seeks to conduct its business in compliance with all statutes, regulations, and other requirements applicable to its clinical laboratory operations and drug development business. The clinical laboratory testing industry and drug development industries are, however, subject to extensive regulation, and many of these statutes and regulations have not been interpreted by the courts. There can be no assurance that applicable statutes and regulations will not be interpreted or applied by a prosecutorial, regulatory or judicial authority in a manner that would adversely affect the Company. Potential sanctions for violation of these statutes and regulations include significant fines and the loss of various licenses, certificates, and authorizations, which could have a material adverse effect on the Company’s business.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Investors should carefully consider all of the information set forth in this report, including the following risk factors, before deciding to invest in any of the Company’s securities. The risks below are not the only ones that the Company faces. Additional risks not presently known to the Company, or that the Company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report also includes forward-looking statements that involve risks or uncertainties. The Company’s results could differ materially from those anticipated in these forward-looking statements as a result of certain factors, including the risks described below and elsewhere. See “Forward Looking Statements” in Item 7.</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 or approvals or changes in other laws, regulations or policies may adversely affect governmental and third-party coverage and reimbursement for clinical laboratory testing and may have a material adverse effect upon the Company.</w:t>
      </w:r>
    </w:p>
    <w:p>
      <w:pPr>
        <w:spacing w:after="0" w:line="180"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Further reductions of reimbursement for Medicare and Medicaid services or changes in policy regarding coverage of tests or other requirements for payment, such as prior authorization or a physician or qualified practitioner’s signature on test requisitions, may be implemented from time to time. Reimbursement for pathology services performed by LCD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clinical laboratory industry by adding more complex new regulatory and administrative requirements. Further changes in third-party payer regulations or policies may have a material adverse impact on LCD's business. Actions by agencies regulating insurance or changes in other laws, regulations, or policies may also have a material adverse effect upon LCD's business.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the Medicare and Medicaid programs if it violates healthcare anti-fraud and abuse laws.</w:t>
      </w:r>
    </w:p>
    <w:p>
      <w:pPr>
        <w:spacing w:after="0" w:line="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is subject to extensive government regulation at the national, state and local levels. The Company’s failure to meet governmental requirements under these regulations, including those relating to billing practices and financial relationships with physicians and hospitals,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Such occurrences, regardless of their outcome, could damage the Company’s reputation and adversely affect important business relationships it has with third parties.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or those of Medicare, Medicaid or other national, state or local agencies.</w:t>
      </w:r>
    </w:p>
    <w:p>
      <w:pPr>
        <w:spacing w:after="0" w:line="8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clinical laboratory testing industry is subject to extensive regulation, and many of these statutes and regulations have not been interpreted by the courts. CLIA extends federal oversight to virtually all clinical laboratories operating in the U.S. by requiring that they be certified by the federal government or by a federally-approved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w:t>
      </w:r>
    </w:p>
    <w:p>
      <w:pPr>
        <w:spacing w:after="0" w:line="19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FDA regulation of diagnostic products and increased FDA regulation of LDTs could result in increased costs and the imposition of fines or penalties and have a material adverse effect upon the Company’s business.</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regularly inspects and reviews the manufacturing processes and product performance of diagnostic products. LCD’s point-of-collection testing devices are subject to regulation by the FDA.</w:t>
      </w:r>
    </w:p>
    <w:p>
      <w:pPr>
        <w:spacing w:after="0" w:line="92"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7"/>
          <w:szCs w:val="17"/>
          <w:color w:val="auto"/>
        </w:rPr>
        <w:t xml:space="preserve">There are other regulatory and legislative proposals that would increase general FDA oversight of clinical laboratories and LDTs. On July 26, 2007, the FDA issued </w:t>
      </w:r>
      <w:r>
        <w:rPr>
          <w:rFonts w:ascii="Arial" w:cs="Arial" w:eastAsia="Arial" w:hAnsi="Arial"/>
          <w:sz w:val="17"/>
          <w:szCs w:val="17"/>
          <w:i w:val="1"/>
          <w:iCs w:val="1"/>
          <w:color w:val="auto"/>
        </w:rPr>
        <w:t>Draft Guidance for Industry, Clinical Laboratories, and FDA Staff: In Vitro Diagnostic Multivariate Index Assays</w:t>
      </w:r>
      <w:r>
        <w:rPr>
          <w:rFonts w:ascii="Arial" w:cs="Arial" w:eastAsia="Arial" w:hAnsi="Arial"/>
          <w:sz w:val="17"/>
          <w:szCs w:val="17"/>
          <w:color w:val="auto"/>
        </w:rPr>
        <w:t xml:space="preserve">. The guidance proposed certain changes to the agency's general past practice regarding the regulation of certain LDTs and announced that most devices deemed to be In Vitro Diagnostic Multivariate Index Assays (IVDMIAs) would either be Class II or Class III devices, although it is possible that an IVDMIA for a low-risk indication could be class I. Class II medical devices typically require FDA clearance or a premarket notification submission. Class III devices require the submission of an application for Premarket Approval (PMA). On October 3, 2014, the FDA published two additional draft guidance documents: </w:t>
      </w:r>
      <w:r>
        <w:rPr>
          <w:rFonts w:ascii="Arial" w:cs="Arial" w:eastAsia="Arial" w:hAnsi="Arial"/>
          <w:sz w:val="17"/>
          <w:szCs w:val="17"/>
          <w:i w:val="1"/>
          <w:iCs w:val="1"/>
          <w:color w:val="auto"/>
        </w:rPr>
        <w:t>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Regulatory Oversight of Laboratory Developed Tests (LDTs) </w:t>
      </w:r>
      <w:r>
        <w:rPr>
          <w:rFonts w:ascii="Arial" w:cs="Arial" w:eastAsia="Arial" w:hAnsi="Arial"/>
          <w:sz w:val="17"/>
          <w:szCs w:val="17"/>
          <w:color w:val="auto"/>
        </w:rPr>
        <w:t>which provides an overview of how FDA would regulate LDTs through a risk-based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approach and </w:t>
      </w:r>
      <w:r>
        <w:rPr>
          <w:rFonts w:ascii="Arial" w:cs="Arial" w:eastAsia="Arial" w:hAnsi="Arial"/>
          <w:sz w:val="17"/>
          <w:szCs w:val="17"/>
          <w:i w:val="1"/>
          <w:iCs w:val="1"/>
          <w:color w:val="auto"/>
        </w:rPr>
        <w:t>FDA Notification and Medical Device Reporting for Laboratory Developed Tests</w:t>
      </w:r>
      <w:r>
        <w:rPr>
          <w:rFonts w:ascii="Arial" w:cs="Arial" w:eastAsia="Arial" w:hAnsi="Arial"/>
          <w:sz w:val="17"/>
          <w:szCs w:val="17"/>
          <w:color w:val="auto"/>
        </w:rPr>
        <w:t xml:space="preserve"> which describes the process for clinical laboratories to notify the FDA of the LDTs they "manufacture" and describes the Medical Device Reporting (MDR) requirements for LDTs. On May 28, 2015, and October 22, 2015, the House Energy and Commerce Health Subcommittee released discussion drafts of a bill that would reform oversight of in vitro clinical tests (IVCTs), including both LDTs and test kits, under a new regulatory framework in which FDA would regulate IVCTs under a new category separate from medical devices, and regulation of laboratories by the Centers for Medicare and Medicaid Services (CMS) under the Clinical Laboratory Improvement Amendments (CLIA) would be modernized. On November 16, 2015, the FDA issued a report titled, </w:t>
      </w:r>
      <w:r>
        <w:rPr>
          <w:rFonts w:ascii="Arial" w:cs="Arial" w:eastAsia="Arial" w:hAnsi="Arial"/>
          <w:sz w:val="17"/>
          <w:szCs w:val="17"/>
          <w:i w:val="1"/>
          <w:iCs w:val="1"/>
          <w:color w:val="auto"/>
        </w:rPr>
        <w:t>The Public Health Evidence for FDA Oversight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Laboratory Developed Tests: 20 Case Studies </w:t>
      </w:r>
      <w:r>
        <w:rPr>
          <w:rFonts w:ascii="Arial" w:cs="Arial" w:eastAsia="Arial" w:hAnsi="Arial"/>
          <w:sz w:val="17"/>
          <w:szCs w:val="17"/>
          <w:color w:val="auto"/>
        </w:rPr>
        <w:t>(LDT Report). The LDT Report compiles 20 case studies involving LDTs where FDA alleges that non-compliance with FDA regulations led to serious issues, such as false positive or false-negative results, causing potential or actual harm to patients. On December 29, 2015, FDA published notice of its intent to finalize guidance on its policy for regulatory oversight of LDTs in 2016. The outcome and ultimate impact of such proposals on the business is difficult to predict at this time.</w:t>
      </w:r>
    </w:p>
    <w:p>
      <w:pPr>
        <w:spacing w:after="0" w:line="193" w:lineRule="exact"/>
        <w:rPr>
          <w:sz w:val="20"/>
          <w:szCs w:val="20"/>
          <w:color w:val="auto"/>
        </w:rPr>
      </w:pPr>
    </w:p>
    <w:p>
      <w:pPr>
        <w:jc w:val="both"/>
        <w:ind w:right="60" w:firstLine="243"/>
        <w:spacing w:after="0" w:line="264" w:lineRule="auto"/>
        <w:rPr>
          <w:sz w:val="20"/>
          <w:szCs w:val="20"/>
          <w:color w:val="auto"/>
        </w:rPr>
      </w:pPr>
      <w:r>
        <w:rPr>
          <w:rFonts w:ascii="Arial" w:cs="Arial" w:eastAsia="Arial" w:hAnsi="Arial"/>
          <w:sz w:val="18"/>
          <w:szCs w:val="18"/>
          <w:color w:val="auto"/>
        </w:rPr>
        <w:t>Current FDA regulation of the Company’s diagnostic products and potential future increased regulation of the Company’s LDTs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environmental, health and safety laws and regulations, including the Occupational Safety and Health Administration Act and the Needlestick Safety and Prevention Act, could result in fines and penalties and loss of licensure, and have a material adverse effect upon the Company’s business.</w:t>
      </w:r>
    </w:p>
    <w:p>
      <w:pPr>
        <w:spacing w:after="0" w:line="18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As previously discussed Item 1 of Part I of this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which would have a material adverse effect on its business. In addition, compliance with future legislation could impose additional requirements on the Company that may be costly.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Regulations requiring the use of standard transactions for healthcare services issued under HIPAA may negatively impact the Company’s profitability and cash flows.</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Pursuant to HIPAA, the Secretary of HHS has issued regulations designed to improve the efficiency and effectiveness of the healthcare system by facilitating the electronic exchange of information in certain financial and administrative transactions while protecting the privacy and security of the information exchanged.</w:t>
      </w:r>
    </w:p>
    <w:p>
      <w:pPr>
        <w:spacing w:after="0" w:line="19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7"/>
          <w:szCs w:val="17"/>
          <w:color w:val="auto"/>
        </w:rPr>
        <w:t>The HIPAA transaction standards are complex, and subject to differences in interpretation by payers. For instance, some payers may interpret the standards to require the Company to provide certain types of information, including demographic information not usually provided to the Company by physicians. In addition, new requirements for additional standard transactions, such as claims attachments, and the ICD-10-CM Code Set, could prove technically difficult, time-consuming or expensive to implement. As a result of inconsistent application of other transaction standards by payers or the Company’s inability to obtain certain billing information not usually provided to the Company by physicians, the Company could face increased costs and complexity, a temporary disruption in receipts and ongoing reductions in reimbursements and net revenues. The Company is working closely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its payers to establish acceptable protocols for claim submission and with its trade association and an industry coalition to present issues and problems as they arise to the appropriate regulators and standards setting organizations.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maintain the security of customer-related information or compliance with security requirements could damage the Company’s reputation with customers, cause it to incur substantial additional costs and to become subject to litigation.</w:t>
      </w:r>
    </w:p>
    <w:p>
      <w:pPr>
        <w:spacing w:after="0" w:line="7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receives certain personal and financial information about its customers. In addition, the Company depends upon the secure transmission of confidential information over public networks, including information permitting cashless payments. A compromise in the Company’s security systems that results in customer personal information being obtained by unauthorized persons or the Company’s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of the Company, third party payers or physicians to comply with the ICD-10-CM Code Set could negatively impact the Company's reimbursement, profitability and cash flow.</w:t>
      </w:r>
    </w:p>
    <w:p>
      <w:pPr>
        <w:spacing w:after="0" w:line="7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believes that it is in compliance in all material respects with the current Transactions and Code Sets Rule. The Company implemented Version 5010 of the HIPAA Transaction Standards and believes it has fully adopted the ICD-10-CM Code Set. Clinical laboratories are typically required to submit healthcare claims with diagnosis codes to third party payers. The diagnosis codes must be obtained from the ordering physician. The failure of the Company, third party payers or physicians to apply the new code set could have an adverse impact on reimbursement, days sales outstanding and cash collections.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HIPAA privacy and security regulations, including the expanded requirements under HITECH, establish comprehensive standards with respect to the use and disclosure of PHI by covered entities, in addition to setting standards to protect the confidentiality, integrity and security of PHI. The regulations establish a complex regulatory framework on a variety of subjects, including:</w:t>
      </w:r>
    </w:p>
    <w:p>
      <w:pPr>
        <w:spacing w:after="0" w:line="181" w:lineRule="exact"/>
        <w:rPr>
          <w:sz w:val="20"/>
          <w:szCs w:val="20"/>
          <w:color w:val="auto"/>
        </w:rPr>
      </w:pPr>
    </w:p>
    <w:p>
      <w:pPr>
        <w:ind w:left="66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211"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for data transfers from and operations in other countries, the Company may also be required to comply with the data privacy and security laws of those other countries. HIPAA restricts the Company’s ability to use or disclose patient identifiable laboratory data, without patient authorization, for purposes other than payment, treatment or healthcare operations (as defined by HIPAA), except for disclosures for various public policy purposes and other permitted purposes outlined in the privacy regulations. HIPAA, as amended by HITECH, provides for significant fines and other penalties for wrongful use or disclosure of PHI in violation of the privacy and security regulations, including potential civil and criminal fines and penalties.</w:t>
      </w:r>
    </w:p>
    <w:p>
      <w:pPr>
        <w:spacing w:after="0" w:line="17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If the Company does not comply with existing or new laws and regulations related to protecting the privacy and security of personal or health information it could be subject to monetary fines, civil penalties or criminal sanctions. In addition, foreign,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health information or other personal information and in Europe both criminal and administrative sanctions are possible for violation of national implementations of the general data protection Directive 95/46/EC. In December 2015, the EU enacted a General Data Protection Regulation to replace Directive 95/46/EC, which is expected to take effect at some point in 2018, and which has enhanced penalties for noncompliance. The Company is evaluating its ability and the cost to comply with the new EU regulations, and as a result of that evaluation expects to make change to its business practices and incur additional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4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17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clinical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18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 their offices or by patients themselves without requiring the services of freestanding clinical laboratories. Development of such technology and its use by the Company’s customers could reduce the demand for its laboratory testing services and negatively impact its revenues.</w:t>
      </w:r>
    </w:p>
    <w:p>
      <w:pPr>
        <w:spacing w:after="0" w:line="18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Currently, most clinical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has taken responsibility from the Centers for Disease Control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related products (e.g., Health Insurance Exchanges), changes in government payment and reimbursement systems, or changes in payer mix, including an increase in capitated reimbursement mechanisms and evolving delivery models, could have a material adverse impact on the Company's net revenues, profitability and cash flow.</w:t>
      </w:r>
    </w:p>
    <w:p>
      <w:pPr>
        <w:spacing w:after="0" w:line="8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LCD's testing services are billed to private patients, Medicare, Medicaid, commercial clients, MCOs and other insurance companies.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MCOs could have an adverse impact on the Company’s net revenues.</w:t>
      </w:r>
    </w:p>
    <w:p>
      <w:pPr>
        <w:spacing w:after="0" w:line="187"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The various MCOs have different contracting philosophies, which are influenced by the design of the products they offer to their members. Some MCOs contract with a limited number of clinical laboratories and engage in direct negotiation of the rates reimbursed to participating laboratories. Other MCOs adopt broader networks with a largely uniform fee structure for participating clinical laboratories; in some cases, those fee structures are specific to independent clinical laboratories while the fees paid to hospital-based and physician-office laboratories may be different, and are typically higher. In addition, some MCOs have used capitation in an effort to fix the cost of laboratory testing services for their enrollees. Under a capitated reimbursement arrangement, the MCO makes a per member, per month payment for all covered laboratory tests rendered during the month for the members, regardless of the number or cost of the tests actually performed. Capitation shifts the risk of increased test utilization (and the underlying mix of testing services) to the clinical laboratory provider. The Company makes significant efforts to ensure that its services are adequately compensated in its capitated arrangements. For the year ended December 31, 2015, such capitated contracts accounted for approximately $219.9 million, or 2.6%, of the Company's net revenues.</w:t>
      </w:r>
    </w:p>
    <w:p>
      <w:pPr>
        <w:spacing w:after="0" w:line="16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delivery models (e.g., ACOs).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 portion of the managed care fee-for-service revenues are collectible from patients in the form of deductibles, copayments and coinsurance. Collectibility may be impacted as patient cost-sharing increases.</w:t>
      </w:r>
    </w:p>
    <w:p>
      <w:pPr>
        <w:spacing w:after="0" w:line="17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Medicare and Medicaid and private insurers have increased their efforts to control the cost, utilization and delivery of healthcare services, including clinical laboratory services. Measures to regulate healthcare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Implementation of the ACA, the healthcare reform legislation passed in 2010, also may continue to affect coverage, reimbursement, and utilization of laboratory services, as well as administrative requirements.</w:t>
      </w:r>
    </w:p>
    <w:p>
      <w:pPr>
        <w:spacing w:after="0" w:line="18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Further, several payers continue to require additional information to process claims or have implemented prior authorization policies. Many commercial payers were delayed in becoming aware of the impact of their claim edits and policies, which impeded access to services that previously had been covered and reimbursed. These delays had a negative impact on 2014 revenue, revenue per requisition, margins and cash flows, which were largely sustained throughout 2015, and are expected to have a continuing negative impact. Similarly, CLFS coding and billing changes related to toxicology and other procedures were implemented in 2016 and Palmetto implemented a Drugs of Abuse Local Coverage Policy which impacted the handling of such procedures for Medicaid and MCOs. The Company experienced delays in the pricing and implementation of the new toxicology codes, however, largely overcame issues related to price and margins through direct negotiation with the associated payers. Further coding and billing changes related to toxicology and other procedure types are to be implemented in 2016. The Company expects delays in the pricing and implementation of these new codes and it is unclear what impact will be experienced related to price and margins.</w:t>
      </w:r>
    </w:p>
    <w:p>
      <w:pPr>
        <w:spacing w:after="0" w:line="180"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Company expects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procedures, it could have a material adverse impact on the Company’s net revenues, profitability and cash flows. In 2014, Congress passed the PAMA, requiring Medicare to change the way payment rates are calculated for tests paid under the CLFS, and to base the payment on the weighted median of rates paid by private payers. On October 1, 2015, CMS published a proposed rule to implement PAMA. This rule proposes to require applicable laboratories, including LCD, to begin reporting their test-specific private payer payment amounts to CMS during the first quarter of 2016, which CMS would then use to calculate new CLFS rates that would be effective in 2017. The American Clinical Laboratory Association (ACLA) and the lab community provided extensive comments on the proposed rule and will continue to work with CMS to arrive at final regulation that accurately reflects the statutory language on applicable laboratories, and results in a reimbursement framework that reflects the broad scope of the laboratory market, encourages innovation, and maintains access to laboratory services for Medicare beneficiaries. The Company is continuing to evaluate the potential impact of the proposed rule.</w:t>
      </w:r>
    </w:p>
    <w:p>
      <w:pPr>
        <w:spacing w:after="0" w:line="16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As an employer, healthcare reform legislation also contains numerous regulations that will require the Company to implement significant process and record keeping changes to be in compliance. These changes increase the cost of providing healthcare coverage to employees and their families. Given the limited release of regulations to guide compliance, the exact impact to employers including the Company is uncertain.</w:t>
      </w:r>
    </w:p>
    <w:p>
      <w:pPr>
        <w:spacing w:after="0" w:line="71" w:lineRule="exact"/>
        <w:rPr>
          <w:sz w:val="20"/>
          <w:szCs w:val="20"/>
          <w:color w:val="auto"/>
        </w:rPr>
      </w:pPr>
    </w:p>
    <w:p>
      <w:pPr>
        <w:jc w:val="both"/>
        <w:ind w:left="80" w:firstLine="230"/>
        <w:spacing w:after="0" w:line="259" w:lineRule="auto"/>
        <w:rPr>
          <w:sz w:val="20"/>
          <w:szCs w:val="20"/>
          <w:color w:val="auto"/>
        </w:rPr>
      </w:pPr>
      <w:r>
        <w:rPr>
          <w:rFonts w:ascii="Arial" w:cs="Arial" w:eastAsia="Arial" w:hAnsi="Arial"/>
          <w:sz w:val="18"/>
          <w:szCs w:val="18"/>
          <w:color w:val="auto"/>
        </w:rPr>
        <w:t>In addition, implementation of healthcare reform legislation that adds costs could limit the profits that can be made from the development of new drugs. This could adversely affect R&amp;D expenditures by pharmaceutical and biotechnology companies, which could in turn decrease the business opportunities available to CDD both in the U.S. and other countries. New laws or regulations may create a risk of liability, increase CDD costs or limit service offerings through CDD.</w:t>
      </w:r>
    </w:p>
    <w:p>
      <w:pPr>
        <w:spacing w:after="0" w:line="183" w:lineRule="exact"/>
        <w:rPr>
          <w:sz w:val="20"/>
          <w:szCs w:val="20"/>
          <w:color w:val="auto"/>
        </w:rPr>
      </w:pPr>
    </w:p>
    <w:p>
      <w:pPr>
        <w:jc w:val="both"/>
        <w:ind w:left="80" w:right="20"/>
        <w:spacing w:after="0" w:line="282" w:lineRule="auto"/>
        <w:rPr>
          <w:sz w:val="20"/>
          <w:szCs w:val="20"/>
          <w:color w:val="auto"/>
        </w:rPr>
      </w:pPr>
      <w:r>
        <w:rPr>
          <w:rFonts w:ascii="Arial" w:cs="Arial" w:eastAsia="Arial" w:hAnsi="Arial"/>
          <w:sz w:val="18"/>
          <w:szCs w:val="18"/>
          <w:b w:val="1"/>
          <w:bCs w:val="1"/>
          <w:color w:val="auto"/>
        </w:rPr>
        <w:t>Changes in government regulation or in practices relating to the pharmaceutical industry could decrease the need for certain services that CDD provides.</w:t>
      </w:r>
    </w:p>
    <w:p>
      <w:pPr>
        <w:spacing w:after="0" w:line="71" w:lineRule="exact"/>
        <w:rPr>
          <w:sz w:val="20"/>
          <w:szCs w:val="20"/>
          <w:color w:val="auto"/>
        </w:rPr>
      </w:pPr>
    </w:p>
    <w:p>
      <w:pPr>
        <w:jc w:val="both"/>
        <w:ind w:left="80" w:firstLine="243"/>
        <w:spacing w:after="0" w:line="297" w:lineRule="auto"/>
        <w:rPr>
          <w:sz w:val="20"/>
          <w:szCs w:val="20"/>
          <w:color w:val="auto"/>
        </w:rPr>
      </w:pPr>
      <w:r>
        <w:rPr>
          <w:rFonts w:ascii="Arial" w:cs="Arial" w:eastAsia="Arial" w:hAnsi="Arial"/>
          <w:sz w:val="16"/>
          <w:szCs w:val="16"/>
          <w:color w:val="auto"/>
        </w:rPr>
        <w:t>CDD assists pharmaceutical and biotechnology companies in navigating the regulatory drug approval process. Changes in regulations such as a relaxation in regulatory requirements or the introduction of simplified drug approval procedures, or an increase in regulatory requirements that CDD has difficulty satisfying or that make its services less competitive, could eliminate or substantially reduce the demand for its services. Also, if government efforts to contain drug costs impact pharmaceutical and biotechnology company profits from new drugs, some of CDD’s customers may spend less, or reduce their growth in spending on R&amp;D. If health insurers were to change their practices with respect to reimbursement for pharmaceutical products, some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CDD’s customers may spend less, or reduce their growth in spending on R&amp;D.</w:t>
      </w:r>
    </w:p>
    <w:p>
      <w:pPr>
        <w:spacing w:after="0" w:line="221" w:lineRule="exact"/>
        <w:rPr>
          <w:sz w:val="20"/>
          <w:szCs w:val="20"/>
          <w:color w:val="auto"/>
        </w:rPr>
      </w:pPr>
    </w:p>
    <w:p>
      <w:pPr>
        <w:jc w:val="both"/>
        <w:ind w:left="80"/>
        <w:spacing w:after="0" w:line="314" w:lineRule="auto"/>
        <w:rPr>
          <w:sz w:val="20"/>
          <w:szCs w:val="20"/>
          <w:color w:val="auto"/>
        </w:rPr>
      </w:pPr>
      <w:r>
        <w:rPr>
          <w:rFonts w:ascii="Arial" w:cs="Arial" w:eastAsia="Arial" w:hAnsi="Arial"/>
          <w:sz w:val="16"/>
          <w:szCs w:val="16"/>
          <w:b w:val="1"/>
          <w:bCs w:val="1"/>
          <w:color w:val="auto"/>
        </w:rPr>
        <w:t>Failure to comply with the laws and regulations of the U.S. FDA and other drug regulatory agencies, such as the Medicines and Healthcare products Regulatory Agency in the U.K., the European Medicines Agency, the China Food and Drug Administration, and the Pharmaceuticals and Medical Devices Agency in Japan could result in sanctions and/or remedies against CDD and have a material adverse effect upon the Company.</w:t>
      </w:r>
    </w:p>
    <w:p>
      <w:pPr>
        <w:spacing w:after="0" w:line="52" w:lineRule="exact"/>
        <w:rPr>
          <w:sz w:val="20"/>
          <w:szCs w:val="20"/>
          <w:color w:val="auto"/>
        </w:rPr>
      </w:pPr>
    </w:p>
    <w:p>
      <w:pPr>
        <w:jc w:val="both"/>
        <w:ind w:left="80" w:firstLine="216"/>
        <w:spacing w:after="0" w:line="277" w:lineRule="auto"/>
        <w:rPr>
          <w:sz w:val="20"/>
          <w:szCs w:val="20"/>
          <w:color w:val="auto"/>
        </w:rPr>
      </w:pPr>
      <w:r>
        <w:rPr>
          <w:rFonts w:ascii="Arial" w:cs="Arial" w:eastAsia="Arial" w:hAnsi="Arial"/>
          <w:sz w:val="18"/>
          <w:szCs w:val="18"/>
          <w:color w:val="auto"/>
        </w:rPr>
        <w:t>The operation of CDD's preclinical laboratory facilities and clinical trial operations must conform at all times to GLP and GCP as well as all other applicable standards and regulations, respectively, as further described in "Business" in Item 1 of this report.</w:t>
      </w:r>
    </w:p>
    <w:p>
      <w:pPr>
        <w:spacing w:after="0" w:line="170" w:lineRule="exact"/>
        <w:rPr>
          <w:sz w:val="20"/>
          <w:szCs w:val="20"/>
          <w:color w:val="auto"/>
        </w:rPr>
      </w:pPr>
    </w:p>
    <w:p>
      <w:pPr>
        <w:jc w:val="both"/>
        <w:ind w:left="80" w:firstLine="216"/>
        <w:spacing w:after="0" w:line="259" w:lineRule="auto"/>
        <w:rPr>
          <w:sz w:val="20"/>
          <w:szCs w:val="20"/>
          <w:color w:val="auto"/>
        </w:rPr>
      </w:pPr>
      <w:r>
        <w:rPr>
          <w:rFonts w:ascii="Arial" w:cs="Arial" w:eastAsia="Arial" w:hAnsi="Arial"/>
          <w:sz w:val="18"/>
          <w:szCs w:val="18"/>
          <w:color w:val="auto"/>
        </w:rPr>
        <w:t>Additionally, certain CDD services and activities must conform to cGMP as further described in "Business" in Item 1 of this report. Failure to maintain compliance with GLP, GCP, or cGMP regulations and other applicable requirements of various regulatory agencies could result in warning letters, fines, unanticipated compliance expenditures, suspension of manufacturing, civil, criminal or administrative sanctions and/or remedies against CDD, including suspension of its laboratory operations, which could have a material adverse effect upon the Company.</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impact on the Company’s net revenues and profitability.</w:t>
      </w:r>
    </w:p>
    <w:p>
      <w:pPr>
        <w:spacing w:after="0" w:line="119" w:lineRule="exact"/>
        <w:rPr>
          <w:sz w:val="20"/>
          <w:szCs w:val="20"/>
          <w:color w:val="auto"/>
        </w:rPr>
      </w:pPr>
    </w:p>
    <w:p>
      <w:pPr>
        <w:jc w:val="both"/>
        <w:ind w:left="80" w:firstLine="243"/>
        <w:spacing w:after="0" w:line="271" w:lineRule="auto"/>
        <w:rPr>
          <w:sz w:val="20"/>
          <w:szCs w:val="20"/>
          <w:color w:val="auto"/>
        </w:rPr>
      </w:pPr>
      <w:r>
        <w:rPr>
          <w:rFonts w:ascii="Arial" w:cs="Arial" w:eastAsia="Arial" w:hAnsi="Arial"/>
          <w:sz w:val="17"/>
          <w:szCs w:val="17"/>
          <w:color w:val="auto"/>
        </w:rPr>
        <w:t>Both LCD and CDD operate in highly competitive industries. The clinical laboratory business is intensely competitive both in terms of price and service. Pricing of laboratory testing services is often one of the most significant factors used by healthcare providers and third-party payers in selecting a laboratory. As a result of significant consolidation in the clinical laboratory industry, larger clinical laboratory providers are able to increase cost efficiencies afforded by large-scale automated testing. This consolidation results in greater price competition. LCD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57" w:lineRule="exact"/>
        <w:rPr>
          <w:sz w:val="20"/>
          <w:szCs w:val="20"/>
          <w:color w:val="auto"/>
        </w:rPr>
      </w:pPr>
    </w:p>
    <w:p>
      <w:pPr>
        <w:jc w:val="both"/>
        <w:ind w:left="80" w:firstLine="243"/>
        <w:spacing w:after="0" w:line="264" w:lineRule="auto"/>
        <w:rPr>
          <w:sz w:val="20"/>
          <w:szCs w:val="20"/>
          <w:color w:val="auto"/>
        </w:rPr>
      </w:pPr>
      <w:r>
        <w:rPr>
          <w:rFonts w:ascii="Arial" w:cs="Arial" w:eastAsia="Arial" w:hAnsi="Arial"/>
          <w:sz w:val="18"/>
          <w:szCs w:val="18"/>
          <w:color w:val="auto"/>
        </w:rPr>
        <w:t>Competitors in the CRO industry range from small providers to full service global CROs. CDD’s main competition consists of in-house departments of pharmaceutical companies, full-service and functional CROs, and, to a lesser degree, universities and teaching hospitals. CDD competes on a variety of factors, including:</w:t>
      </w:r>
    </w:p>
    <w:p>
      <w:pPr>
        <w:spacing w:after="0" w:line="181"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 for on-time quality performance and regulatory compliance;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expertise and experience in specific areas;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expertise and efficiency of drug development processes;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acquire, process, analyze and report data in a rapid and accurate manner;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relationships;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expertise and experience in market access services;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scale.</w:t>
      </w:r>
    </w:p>
    <w:p>
      <w:pPr>
        <w:spacing w:after="0" w:line="89" w:lineRule="exact"/>
        <w:rPr>
          <w:sz w:val="20"/>
          <w:szCs w:val="20"/>
          <w:color w:val="auto"/>
        </w:rPr>
      </w:pPr>
    </w:p>
    <w:p>
      <w:pPr>
        <w:jc w:val="both"/>
        <w:ind w:left="80" w:firstLine="162"/>
        <w:spacing w:after="0" w:line="277" w:lineRule="auto"/>
        <w:rPr>
          <w:sz w:val="20"/>
          <w:szCs w:val="20"/>
          <w:color w:val="auto"/>
        </w:rPr>
      </w:pPr>
      <w:r>
        <w:rPr>
          <w:rFonts w:ascii="Arial" w:cs="Arial" w:eastAsia="Arial" w:hAnsi="Arial"/>
          <w:sz w:val="18"/>
          <w:szCs w:val="18"/>
          <w:color w:val="auto"/>
        </w:rPr>
        <w:t>CDD’s services have from time to time experienced periods of increased price competition which had an adverse effect on a segment's profitability and consolidated net revenues and net income.</w:t>
      </w:r>
    </w:p>
    <w:p>
      <w:pPr>
        <w:spacing w:after="0" w:line="170" w:lineRule="exact"/>
        <w:rPr>
          <w:sz w:val="20"/>
          <w:szCs w:val="20"/>
          <w:color w:val="auto"/>
        </w:rPr>
      </w:pPr>
    </w:p>
    <w:p>
      <w:pPr>
        <w:jc w:val="both"/>
        <w:ind w:left="80" w:firstLine="162"/>
        <w:spacing w:after="0" w:line="264" w:lineRule="auto"/>
        <w:rPr>
          <w:sz w:val="20"/>
          <w:szCs w:val="20"/>
          <w:color w:val="auto"/>
        </w:rPr>
      </w:pPr>
      <w:r>
        <w:rPr>
          <w:rFonts w:ascii="Arial" w:cs="Arial" w:eastAsia="Arial" w:hAnsi="Arial"/>
          <w:sz w:val="18"/>
          <w:szCs w:val="18"/>
          <w:color w:val="auto"/>
        </w:rPr>
        <w:t>There is competition among CROs for both clients and potential acquisition candidates. Additionally, entities considering entering the CRO industry will find few barriers to entry, thus further increasing possible competition. These competitive pressures may affect the attractiveness of CDD’s services and could adversely affect its financial results and the financial results of the Company.</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failure to obtain and retain new customers, a loss of existing customers or material contracts, a reduction in tests ordered or specimens submitted by existing customers, or the inability to retain existing and create new relationships with health systems could impact the Company’s ability to successfully grow its business.</w:t>
      </w:r>
    </w:p>
    <w:p>
      <w:pPr>
        <w:spacing w:after="0" w:line="8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To offset efforts by payers to reduce the cost and utilization of clinical laboratory services and to otherwise maintain and grow its business, the Company needs to obtain and retain new customers and business partners. In addition, a reduction in tests ordered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specimens submitted by existing customers, a decrease in demand for the CDD's services from existing clients, or the loss of existing contracts, without offsetting growth in its customer base, could impact the Company's ability to successfully grow its business and could have a material adverse impact on the Company’s net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customers and a reduction in the Company's ability to expand its customer base.</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LCD has a well-established base of relationships with those systems and networks, including collaborative agreements. LCD's inability to retain its existing relationships with those provider systems and networks and to create new relationships could impact its ability to successfully grow its business.</w:t>
      </w:r>
    </w:p>
    <w:p>
      <w:pPr>
        <w:spacing w:after="0" w:line="167" w:lineRule="exact"/>
        <w:rPr>
          <w:sz w:val="20"/>
          <w:szCs w:val="20"/>
          <w:color w:val="auto"/>
        </w:rPr>
      </w:pPr>
    </w:p>
    <w:p>
      <w:pPr>
        <w:ind w:left="80" w:right="280" w:firstLine="648"/>
        <w:spacing w:after="0" w:line="282" w:lineRule="auto"/>
        <w:rPr>
          <w:sz w:val="20"/>
          <w:szCs w:val="20"/>
          <w:color w:val="auto"/>
        </w:rPr>
      </w:pPr>
      <w:r>
        <w:rPr>
          <w:rFonts w:ascii="Arial" w:cs="Arial" w:eastAsia="Arial" w:hAnsi="Arial"/>
          <w:sz w:val="18"/>
          <w:szCs w:val="18"/>
          <w:b w:val="1"/>
          <w:bCs w:val="1"/>
          <w:color w:val="auto"/>
        </w:rPr>
        <w:t>Continued and increased consolidation of managed care organizations, pharmaceutical companies, health systems, physicians and other customers could adversely affect the Company's business.</w:t>
      </w:r>
    </w:p>
    <w:p>
      <w:pPr>
        <w:spacing w:after="0" w:line="71"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Many healthcare companies and providers, including MCOs, pharmaceutical companies, health systems and physician practices are consolidating through mergers, acquisitions, joint ventures and other types of transactions and collaborations. As the healthcare industry consolidates, competition to provide goods and services may become more intense. This competition and increased customer bargaining power may adversely affect the price and volume of the Company’s services.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LCD’s nutritional chemistry and food safety business exposes the Company to various risks, including liability for errors and omissions in work conducted for LCD clients.</w:t>
      </w:r>
    </w:p>
    <w:p>
      <w:pPr>
        <w:spacing w:after="0" w:line="179"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LCD offers a range of product-development and product-integrity services to food and beverage manufacturers and retailers, industry organizations and academic institutions. LCD expects to expand its nutritional chemistry and food safety business by leveraging the Company’s expertise in microbiology and its infrastructure to enable testing to be performed close to the food source. LCD also is exploring the possibility of developing point of care testing for food safety. These business offerings and opportunities expose the Company to many of the same, or similar, risks that are applicable to other business activities of the Company, including with respect to the operations of its facilities and the application of applicable laws and regulations. The agricultural, food, beverage and dietary supplement industries are continuing to gain attention of governments and regulators around the world, and regulations and applicable laws have increased in recent years. For example, the Company’s customers will be subject to new nutrition labeling regulations and new food manufacturing requirements, including regulations issued under the Food Safety Modernization Act (FSMA). With these enhanced requirements on the Company’s clients, there is an increased risk that errors in or omissions from nutritional analysis and food safety tests conducted by the Company for its clients could result in liability for the Company under client contracts. If LCD determines to further expand its nutritional chemistry and food safety testing business in the future beyond what is currently anticipated, LCD could become subject to additional standards and regulations, including under the FSMA, and could face additional liabilities resulting from new and pending regulatory and other legal decisions.</w:t>
      </w:r>
    </w:p>
    <w:p>
      <w:pPr>
        <w:spacing w:after="0" w:line="63" w:lineRule="exact"/>
        <w:rPr>
          <w:sz w:val="20"/>
          <w:szCs w:val="20"/>
          <w:color w:val="auto"/>
        </w:rPr>
      </w:pPr>
    </w:p>
    <w:p>
      <w:pPr>
        <w:ind w:left="80" w:right="320" w:firstLine="648"/>
        <w:spacing w:after="0" w:line="282" w:lineRule="auto"/>
        <w:rPr>
          <w:sz w:val="20"/>
          <w:szCs w:val="20"/>
          <w:color w:val="auto"/>
        </w:rPr>
      </w:pPr>
      <w:r>
        <w:rPr>
          <w:rFonts w:ascii="Arial" w:cs="Arial" w:eastAsia="Arial" w:hAnsi="Arial"/>
          <w:sz w:val="18"/>
          <w:szCs w:val="18"/>
          <w:b w:val="1"/>
          <w:bCs w:val="1"/>
          <w:color w:val="auto"/>
        </w:rPr>
        <w:t>Changes or disruption in services or supplies provided by third parties, including transportation, could adversely affect the Company’s business.</w:t>
      </w:r>
    </w:p>
    <w:p>
      <w:pPr>
        <w:spacing w:after="0" w:line="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depends on third parties to provide services critical to the Company’s business. The Company's laboratories and certain of the Company's other businesses are heavily reliant on air travel for transport of clinical trial and diagnostic testing supplies and specimens, research products, and people, and a significant disruption to the air travel system, or the Company's access to it, could have a material adverse effect on the Company's business. CDD depends on a limited number of suppliers for certain services and for certain animal populations. Disruptions to the continued supply of these services, products or animal populations may arise from export/import restrictions or embargoes, political or economic instability, adverse weather, natural disaster or other causes. Disruption of supply could have a material adverse effect on the Company’s business.</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Many of the Company’s facilities would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Company bears financial risk for contracts that are underpriced, for which there are cost overruns or that may be delayed or terminated or reduced in scope for reasons beyond the Company’s control.</w:t>
      </w:r>
    </w:p>
    <w:p>
      <w:pPr>
        <w:spacing w:after="0" w:line="8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 material adverse effect on the Company's business, results of operations, financial condition and cash flows.</w:t>
      </w:r>
    </w:p>
    <w:p>
      <w:pPr>
        <w:spacing w:after="0" w:line="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Many of CDD’s contracts, in particular, provide for services on a fixed price or fee-for-service with a cap basis and they may be terminated or reduced in scope either immediately or upon notice. Cancellations may occur for a variety of reasons, including:</w:t>
      </w:r>
    </w:p>
    <w:p>
      <w:pPr>
        <w:spacing w:after="0" w:line="62"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products to satisfy safety requirements;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patient enrollment;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client’s decision to terminate the development of a product or to end a particular study;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CDD’s failure to perform its duties properly under the contract.</w:t>
      </w:r>
    </w:p>
    <w:p>
      <w:pPr>
        <w:spacing w:after="0" w:line="103" w:lineRule="exact"/>
        <w:rPr>
          <w:sz w:val="20"/>
          <w:szCs w:val="20"/>
          <w:color w:val="auto"/>
        </w:rPr>
      </w:pPr>
    </w:p>
    <w:p>
      <w:pPr>
        <w:ind w:right="20" w:firstLine="162"/>
        <w:spacing w:after="0" w:line="332"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CDD.</w:t>
      </w: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contracting to work on drug development trials and studies, CDD faces a range of potential liabilities, including:</w:t>
      </w:r>
    </w:p>
    <w:p>
      <w:pPr>
        <w:spacing w:after="0" w:line="23" w:lineRule="exact"/>
        <w:rPr>
          <w:sz w:val="20"/>
          <w:szCs w:val="20"/>
          <w:color w:val="auto"/>
        </w:rPr>
      </w:pPr>
    </w:p>
    <w:p>
      <w:pPr>
        <w:ind w:left="740" w:right="2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or omissions that create harm to study volunteers during a trial or to consumers of a drug after the trial is completed and regulatory approval of the drug has been granted;</w:t>
      </w:r>
    </w:p>
    <w:p>
      <w:pPr>
        <w:ind w:left="74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medical care providers;</w:t>
      </w:r>
    </w:p>
    <w:p>
      <w:pPr>
        <w:ind w:left="740" w:right="40" w:hanging="327"/>
        <w:spacing w:after="0" w:line="265"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that animals in CDD’s breeding facilities may be infected with diseases that may be harmful and even lethal to themselves and humans despite preventive measures contained in CDD's business policies, including those for the quarantine and handling of imported animals; and</w:t>
      </w:r>
    </w:p>
    <w:p>
      <w:pPr>
        <w:ind w:left="740" w:hanging="327"/>
        <w:spacing w:after="0" w:line="26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during a trial that may undermine the usefulness of a trial or data from the trial or study or may delay the entry of a drug to the market.</w:t>
      </w:r>
    </w:p>
    <w:p>
      <w:pPr>
        <w:spacing w:after="0" w:line="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also contracts with physicians, also referred to as investigators, to conduct the clinical trials to test new drugs on patients and volunteers. These tests can create a risk of liability for personal injury or death to volunteers, resulting from negative reactions to the drugs administered or from professional malpractice by third party investigators.</w:t>
      </w:r>
    </w:p>
    <w:p>
      <w:pPr>
        <w:spacing w:after="0" w:line="4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While CDD endeavors to include in its contracts provisions entitling it to be indemnified or entitling it to a limitation of liability, these provisions do not uniformly protect CDD against liability arising from certain of its own actions, such as negligence or misconduct. CDD could be materially and adversely affected if it were required to pay damages or bear the costs of defending any claim that is not covered by a contractual indemnification provision or in the event that a party who must indemnify it does not fulfill its indemnification obligations, or in the event that the damages and costs exceed CDD's insurance coverage. There can be no assurance that CDD will be able to maintain sufficient insurance coverage on terms acceptable to 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1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may become subject in the ordinary course of business to material legal action related to, among other things, intellectual property disputes, professional liability and employee-related matters. The Company may also receive inquiries and requests for information from governmental agencies and bodies, including Medicare or Medicaid carriers, requesting comment and/or information on allegations of billing irregularities or billing and pricing arrangements that are brought to their attention through billing audits or third parties. Legal actions could result in substantial monetary damages as well as damage to the Company’s reputation with customers, which could have a material adverse effect upon its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operating results, particularly for CDD, may vary significantly from quarter to quarter and are influenced by factors over which the</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 has little control such as:</w:t>
      </w:r>
    </w:p>
    <w:p>
      <w:pPr>
        <w:spacing w:after="0" w:line="211"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groups of projects;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1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CDD’s revenues depend on the pharmaceutical and biotechnology industries.</w:t>
      </w:r>
    </w:p>
    <w:p>
      <w:pPr>
        <w:spacing w:after="0" w:line="1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CDD’s revenues depend greatly on the expenditures made by the pharmaceutical and biotechnology industries in R&amp;D. In some instances, companies in these industries are reliant on their ability to raise capital in order to fund their R&amp;D projects. Accordingly, economic factors and industry trends affecting CDD’s clients in these industries may also affect CDD. If companies in these industries were to reduce the number of R&amp;D projects they conduct or outsource, whether through inability to raise capital, industry trends, economic conditions or otherwise, CDD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CDD's early development services utilize animals in preclinical testing of the safety and efficacy of drugs, and also breed and sell animals for biomedical research. Such activities are required for the development of new medicines and medical devices under regulatory regimes in the U.S., Europe, Japan and other countries. Acts of vandalism and other acts by animal rights activists who object to the use of animals in drug development could have an adverse effect on the Company.</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Animal populations may suffer diseases that can damage CDD's inventory, harm its reputation, result in decreased sales of research products or result in other liability.</w:t>
      </w:r>
    </w:p>
    <w:p>
      <w:pPr>
        <w:spacing w:after="0" w:line="71"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CDD’s inventory, result in harm to humans or outside animal populations if the disease is not contained to animals in inventory, or result in other losses. Such results could harm CDD’s reputation or have an adverse effect on CDD's financial condition, results of operations, and cash flows.</w:t>
      </w:r>
    </w:p>
    <w:p>
      <w:pPr>
        <w:spacing w:after="0" w:line="1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Failure to conduct animal research in compliance with the Animal Welfare Act could result in sanctions and/or remedies against CDD and have a material adverse effect upon the Company.</w:t>
      </w:r>
    </w:p>
    <w:p>
      <w:pPr>
        <w:spacing w:after="0" w:line="7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conduct of animal research at CDD’s facilities must be in compliance with the AWA, which governs the care and use of warm-blooded animals used for research in the U.S. other than laboratory rats, mice and chickens, and is enforced through periodic inspections by the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For continued noncompliance, the USDA may impose fines, suspend and/or revoke animal research licenses, or confiscate research animals. Other countries where CDD conducts business may have similar laws with which CDD must also comply.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inability to attract and retain experienced and qualified personnel could adversely affect the Company’s business.</w:t>
      </w:r>
    </w:p>
    <w:p>
      <w:pPr>
        <w:spacing w:after="0" w:line="13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loss of key management personnel or the inability to attract and retain experienced and qualified employees at the Company’s clinical laboratories and drug development facilities could adversely affect the business. The success of the Company is dependent in part on the efforts of key members of its management team. Success in maintaining the Company’s leadership position in genomic and other advanced testing technologies and in drug development will depend in part on the Company’s ability to attract and retain skilled research professionals. In addition, the success of the Company’s clinical laboratories also depends on employing and retaining qualified and experienced laboratory professionals, including specialists, who perform clinical laboratory testing services. In the future, if competition for the services of these professionals increases, the Company may not be able to continue to attract and retain individuals in its markets. The Company’s revenues and earnings could be adversely affected if a significant number of professionals terminate their relationship with the Company or become unable or unwilling to continue their employment.</w:t>
      </w:r>
    </w:p>
    <w:p>
      <w:pPr>
        <w:spacing w:after="0" w:line="17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Unionization of employees, union strikes, work stoppages or failure to comply with labor or employment laws could adversely affect the Company's operations and have a material effect upon the Company's business.</w:t>
      </w:r>
    </w:p>
    <w:p>
      <w:pPr>
        <w:spacing w:after="0" w:line="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is a party to collective bargaining agreements with various labor unions and is subject to employment and labor laws and unionization activity in the U.S. and other countries in which it conducts business. Disputes with regard to the terms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agreements, its potential inability to negotiate acceptable contracts with these unions, unionization activity, or a failure to comply with labor or employment laws could result in, among other things, labor unrest, strikes, work stoppages, slowdowns by the affected workers, fines and penalities.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labor or employment laws, could compromise its service reliability and significantly increase its costs, which could have a material adverse impact upon the Company's business.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increase in LCD's days sales outstanding could increase bad debt expense and have an adverse effect on the Company’s business including its cash flow.</w:t>
      </w:r>
    </w:p>
    <w:p>
      <w:pPr>
        <w:spacing w:after="0" w:line="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LCD is experiencing increasing patient responsibility as a result of managed care fee-for-service plans which continue to increase deductibles, coinsurance and patient copayments. A material increase in LCD’s days sales outstanding level could have an adverse effect on the Company's business, including potentially increasing its bad debt rate and decreasing its cash flows.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the Company's LabCorp Beacon platform could significantly increase testing turn-around time or billing processes and otherwise disrupt the Company’s operations or customer relationships.</w:t>
      </w:r>
    </w:p>
    <w:p>
      <w:pPr>
        <w:spacing w:after="0" w:line="180"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Company’s laboratory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The Company is also continuing to enhance its LabCorp Beacon platform and could experience delays or deficiencies in the development process. Failure of the Company’s information technology systems could adversely affect the Company’s business, profitability and financial condition.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Operations may be disrupted and adversely impacted by the effects of natural disasters such as adverse weather and earthquakes, or acts of terrorism, or other criminal activities, or disease pandemics.</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Such events may result in a temporary decline of testing volumes in both segments. In addition, such events may temporarily interrupt the Company’s ability to transport specimens, the Company's ability to register participants, the Company’s information technology systems, the Company’s ability to utilize certain laboratories, and/or the Company’s ability to receive material from its suppliers.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deterioration in the economy could negatively impact testing volumes, cash collections and the availability of credit.</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Company’s operations are dependent upon ongoing demand for diagnostic testing services by patients, physicians, hospitals, MCOs and others. A significant downturn in the economy could negatively impact the demand for diagnostic testing as well as the ability of patients and other payers to pay for services ordered. In addition, uncertainty in the credit markets could reduce the availability of credit and impact the Company’s ability to meet its financing needs in the future.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system enhancements or cyber security breaches may harm the Company.</w:t>
      </w:r>
    </w:p>
    <w:p>
      <w:pPr>
        <w:spacing w:after="0" w:line="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success depends on the efficient and uninterrupted operation of its computer and communications systems. A failure of the network or data gathering procedures could impede the processing of data, delivery of databases and services, client orders and day-to-day management of the business and could result in the corruption or loss of data. While certain operations have appropriate disaster recovery plans in place, there currently are not redundant facilities everywhere in the world to provide IT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clients. In addition, any failure by the computer environment to provide required data communications capacity could result in interruptions in service.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of a delay in the delivery of data, the Company could be required to transfer data collection operations to an alternative provider of server hosting services. Such a transfer could result in delays in the ability to deliver products and services to clients. Additionally, significant delays in the planned delivery of system enhancements, improvements and inadequate performance of the systems once they are completed could damage the Company's reputation and harm the business. Finally, long-term disruptions in the infrastructure caused by events such as natural disasters, the outbreak of war, the escalation of hostilities, acts of terrorism (particularly involving cities in which the Company has offices) and cybersecurity breaches could adversely affect the business. Although the Company carries property and business interruption insurance, the coverage may not be adequate to compensate for all losses that may occur.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and unauthorized access to the Company or its customers’ data could harm the Company’s reputation and adversely affect its business.</w:t>
      </w:r>
    </w:p>
    <w:p>
      <w:pPr>
        <w:spacing w:after="0" w:line="7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Experienced computer programmers and hackers may be able to penetrate the Company’s layered security controls and misappropriate or compromise personal information or proprietary or confidential information, create system disruptions or cause shutdowns. They also may be able to develop and deploy viruses, worms and other malicious software programs that attack the Company’s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or other tactics. Although the Company believes that it has robust information security procedures and other safeguards in place, which are monitored and routinely tested internally and by external parties,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preventative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Breaches of the Company’s security measures and the unauthorized dissemination of personal information, proprietary or confidential information about the Company or its customers or other third-parties, could expose customers’ private information and could expose customers to the risk of financial or medical identity theft or expose the Company or other third-parties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Foreign currency exchange fluctuations and changes in reimbursement by foreign governments could have an adverse impact on the Company’s business.</w:t>
      </w:r>
    </w:p>
    <w:p>
      <w:pPr>
        <w:spacing w:after="0" w:line="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business and operations outside the U.S. and CDD derives a large portion of its net revenues from international operations. Since the Company's consolidated financial statements are denominated in U.S. Dollars, fluctuations in exchange rates from period to period will have an impact on reported results. In addition, in certain circumstances, CDD may incur costs in one currency related to its services or products for which it is paid in a different currency. As a result, factors associated with international operations, including changes in foreign currency exchange rates, could significantly affect CDD's results of operations, financial condition and cash flows. Foreign currency exchange fluctuations and changes by foreign governments in reimbursement for LCD’s services could have an adverse impact on the Company’s business.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growing international operations could subject it to additional risks and expenses that could adversely impact the business or results of operations.</w:t>
      </w:r>
    </w:p>
    <w:p>
      <w:pPr>
        <w:spacing w:after="0" w:line="1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expansion of the Company's international operations exposes it to risks from failure to comply with foreign laws and regulations that differ from those under which the Company operates in the U.S. In addition, the Company may be adversely affected by other risks of expanded operations in foreign countries, including export controls and trade regulations, changes in tax policies or other foreign laws, foreign labor and employee relations laws and regulations, restrictions on currency repatriation, judicial systems that less strictly enforce contractual rights,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impact on the Company's business objectives and its net revenues and profitability.</w:t>
      </w:r>
    </w:p>
    <w:p>
      <w:pPr>
        <w:spacing w:after="0" w:line="7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2010, the Company has invested net cash of approximately $5.8 billion and equity of $1.8 billion in strategic business acquisitions ($2.2 billion over the same period excluding the acquisition of Covance).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165"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geographically-separated facilities and workforces;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the day-to-day business of the Company.</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net revenues and profitability. Even if the Company is able to successfully integrate the operations of businesses that it may acquire in the future, the Company may not be able to realize the benefits that it expects from such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Company’s substantially increased indebtedness could adversely affect the Company’s liquidity, results of operations and business.</w:t>
      </w:r>
    </w:p>
    <w:p>
      <w:pPr>
        <w:spacing w:after="0" w:line="1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December 31, 2015, indebtedness on the Company's outstanding Senior Notes totaled approximately $5,525.0 million in aggregate principal. The Company is also a party to credit agreements relating to a $1.0 billion revolving credit facility and a term loan with a principal balance of $715.0 million as of December 31, 2015. 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Company’s increased indebtedness could adversely affect its business. In particular, it could increase the Company’s vulnerability to sustained, adverse macroeconomic weakness, limit its ability to obtain further financing and limit its ability to pursue certain operational and strategic opportunities.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Failure to successfully integrate the business of Covance or to realize the expected benefits of the Acquisition could have a material adverse impact on the Company’s business, net revenues and profitability and the market price of its common stock.</w:t>
      </w:r>
    </w:p>
    <w:p>
      <w:pPr>
        <w:spacing w:after="0" w:line="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the Company fails to successfully complete the integration of Covance into its existing operations or is not able to achieve the anticipated benefits of the Acquisition and integration, its business and results of operations could be negatively affected. In addition, it is possible that the ongoing integration process could result in the loss of key employees, errors or delays in systems implementation, the disruption of the Company’s ongoing business, inconsistencies in standards, controls, procedures and policies, or disruptions in its relationships with suppliers and other parties with which it deals that could adversely affect the Company’s ability to maintain relationships with customers and employees or to achieve the anticipated benefits of the acquisition. Integration efforts could also place a significant burden on the Company's management, employees and internal resources, which could otherwise have been devoted to other business opportunities and improvements.</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ongoing success of the transaction will depend, in significant part, on the Company’s ability to realize the anticipated benefits from the acquisition, including the opportunity for revenue growth in development and commercialization of drugs and diagnostics, nutritional analysis and other areas, including a number of new business areas for the Company. Actual revenue growth may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lower than the Company expects and may take longer to achieve than anticipated, and expenses may be higher than the Company expects. The Company has made certain assumptions relating to the Acquisition and integration that may prove to be materially inaccurate, including:</w:t>
      </w:r>
    </w:p>
    <w:p>
      <w:pPr>
        <w:spacing w:after="0" w:line="170"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assessments of the asset quality and value of Covance and its assets;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projections of the business and CDD's future financial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total costs of integrating a large number of processes, policies, procedures, operations, technologies and systems;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realize synergies and the timeline for doing so;</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develop, maintain and deepen relationships with CDD's customers;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financial and strategic risks of the Acquisition.</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If one or more of these assumptions are incorrect, it could have a material adverse effect on the Company’s business and operating results, and the value of its common stock may be adversely affected.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although CDD is subject to many of the same risks and uncertainties that the Company faces in its business, the acquisition of Covance also involves the Company entering new product and services areas, markets and industries, which presents risks resulting from the Company’s relative inexperience in these new areas. CDD’s business could react differently to economic and other external factors than the Company’s. The Company faces the risk that it will not be successful with these new products and services or in these new markets.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corporate headquarter are located in Burlington, NC and include facilities that are both owned and leased.</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LCD operates through a network of primary laboratories, branches, PSCs and STAT laboratories. The table below summarizes certain information as to LCD's principal operating and administrative facilities as of December 31, 2015.</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Birmingham, Alabama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Phoenix,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Prescott,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Calabasas,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Los Angeles,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Diego,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Tustin,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Englewood, Colorado</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Shelton, Connecticut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Hollywood,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Tampa,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Chicago,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Itasca,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Westborough, Massachusetts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Battle Creek, Michigan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Roseville,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St. Paul,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Ewing,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Raritan,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Santa Fe, New Mexico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New York, New York</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Burlington, North Carolina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00"/>
              <w:spacing w:after="0"/>
              <w:rPr>
                <w:sz w:val="20"/>
                <w:szCs w:val="20"/>
                <w:color w:val="auto"/>
              </w:rPr>
            </w:pPr>
            <w:r>
              <w:rPr>
                <w:rFonts w:ascii="Arial" w:cs="Arial" w:eastAsia="Arial" w:hAnsi="Arial"/>
                <w:sz w:val="18"/>
                <w:szCs w:val="18"/>
                <w:color w:val="auto"/>
              </w:rPr>
              <w:t>Raleigh,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Research Triangle Park,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Dublin, Ohio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Oklahoma City, Oklahoma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Brentwood,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Knoxville,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Austin,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Houston,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Antonio,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Herndon,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Lorton,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Seattle, Washington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Abingdon,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46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CDD operates on a global scale. The table below summarizes certain information as to CDD's principal operating and administrative facilities as of December 31, 2015.</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Mechelen, Belgium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Beijing, China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Shanghai, China (2)</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Muenster, Germany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Harrogate,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Leeds,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Maidenhead,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Indianapolis,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Greenfield,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Cranford,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Princeton,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 Trenton,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Denver, Pennsylvania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Alice,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Chantilly,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Cumberland,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Geneva, Switzerland</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Madison, 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All of the Company’s primary laboratory and drug development facilities have been built or improved for the single purpose of providing clinical laboratory testing or drug development services. The Company believes that these facilities are suitable and adequate and have sufficient production capacity for its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breach of contract,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6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17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193"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6"/>
          <w:szCs w:val="16"/>
          <w:color w:val="auto"/>
        </w:rPr>
        <w:t xml:space="preserve">As reported, the Company reached a settlement in the previously disclosed lawsuit, </w:t>
      </w:r>
      <w:r>
        <w:rPr>
          <w:rFonts w:ascii="Arial" w:cs="Arial" w:eastAsia="Arial" w:hAnsi="Arial"/>
          <w:sz w:val="16"/>
          <w:szCs w:val="16"/>
          <w:i w:val="1"/>
          <w:iCs w:val="1"/>
          <w:color w:val="auto"/>
        </w:rPr>
        <w:t>California ex rel. Hunter Laboratories, LLC et al. v. Quest Diagnostics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et al. </w:t>
      </w:r>
      <w:r>
        <w:rPr>
          <w:rFonts w:ascii="Arial" w:cs="Arial" w:eastAsia="Arial" w:hAnsi="Arial"/>
          <w:sz w:val="16"/>
          <w:szCs w:val="16"/>
          <w:color w:val="auto"/>
        </w:rPr>
        <w:t>(Hunter Labs Settlement Agreement), to avoid the uncertainty and costs associated with prolonged litigation. Pursuant to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Hunter Labs Settlement Agreement, the Company recorded a litigation settlement expense of $34.5 million in the second quarter of 2011 (net of a previously recorded reserve of $15.0 million) and paid the settlement amount of $49.5 million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June of 2012, the California legislature enacted Assembly Bill No. 1494, Section 9 of which directed the Department of Healthcare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 payment reduction imposed by Assembly Bill No. 97 in 2011) by “up to 10 percent” for tests with dates of service on or after July 1, 2012, with a cap on payments set at 80% of the lowest maximum allowance established under the Medicare program. In April 2015, the Centers for Medicare and Medicaid Services (CMS) approved a 10% payment reduction under Assembly Bill No. 1494. This cut, which applied retroactively to the period of July 1, 2012 through June 30, 2015, is being implemented through recoupments from weekly reimbursements at a rate of 5% of the amount owed until paid in full.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 third-party payers exceeding 80% of Medicare reimbursement amounts and its proposal to impose the 10% payment reduction enacted in Assembly Bill No. 97 after calculation of the new rates. In January 2015, after receiving stakeholder comments, DHCS instructed laboratories to submit 2014 payment data by March 27, 2015, which DHCS used (except for data on payment amounts exceeding 80% of Medicare reimbursement) to establish new rates. DHCS obtained CMS approval of a state plan amendment adopting the new rate methodology and rates effective July 1, 2015, and posted the new rates on the DHCS website. DHCS intends to apply the 10% payment reduction referenced in Assembly Bill No. 97 to the new rates. Due to an initial implementation delay, the new rates were to be implemented prospectively until November 1, 2015. A recoupment to account for differences between the new rates and the rates paid for the period of July 1, 2015 through October 31, 2015 was to be implemented through recoupments applied to each weekly reimbursement. Therefore, until the recoupment was paid in full, the Company was not to receive a weekly reimbursement. All retroactive recoupments were expected to be completed by February 2016. However, due to further implementation delays, the new rates have not yet been implemented, and no recoupment has yet occurred. DHCS has instructed laboratories to submit 2015 payment data by March 18, 2016, which will be used to establish new rates effective July 1, 2016. DHHS has not provided further direction regarding possible recoupments. Taken together, these changes are not expected to have a material impact on the Company's consolidated revenues or results of operations.</w:t>
      </w:r>
    </w:p>
    <w:p>
      <w:pPr>
        <w:spacing w:after="0" w:line="31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 xml:space="preserve">As previously reported, the Company responded to an October 2007 subpoena from the U.S. Department of Health &amp; Human Services Office of Inspector General's regional office in New York. On August 17, 2011, the Southern District of New York unsealed a False Claims Act lawsuit,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ex rel. NPT Associates v. Laboratory Corporation of America Holdings</w:t>
      </w:r>
      <w:r>
        <w:rPr>
          <w:rFonts w:ascii="Arial" w:cs="Arial" w:eastAsia="Arial" w:hAnsi="Arial"/>
          <w:sz w:val="18"/>
          <w:szCs w:val="18"/>
          <w:color w:val="auto"/>
        </w:rPr>
        <w:t>, which alleges that the Company offered UnitedHealthcare kickbacks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in return for Medicare business. The Plaintiff's Third Amended Complaint further alleges that the Company's billing practices violated the False Claims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Acts of fourteen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19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November 4, 2013, the State of Florida through the Office of the Attorney General filed an Intervention Complaint in a False Claims Act lawsuit, </w:t>
      </w:r>
      <w:r>
        <w:rPr>
          <w:rFonts w:ascii="Arial" w:cs="Arial" w:eastAsia="Arial" w:hAnsi="Arial"/>
          <w:sz w:val="17"/>
          <w:szCs w:val="17"/>
          <w:i w:val="1"/>
          <w:iCs w:val="1"/>
          <w:color w:val="auto"/>
        </w:rPr>
        <w:t>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Florida ex rel. Hunter Laboratories, LLC and Chris Riedel v. Quest Diagnostics Incorporated, et al. </w:t>
      </w:r>
      <w:r>
        <w:rPr>
          <w:rFonts w:ascii="Arial" w:cs="Arial" w:eastAsia="Arial" w:hAnsi="Arial"/>
          <w:sz w:val="17"/>
          <w:szCs w:val="17"/>
          <w:color w:val="auto"/>
        </w:rPr>
        <w:t>in the Circuit Court for the Second Judicial Circuit for</w:t>
      </w:r>
      <w:r>
        <w:rPr>
          <w:rFonts w:ascii="Arial" w:cs="Arial" w:eastAsia="Arial" w:hAnsi="Arial"/>
          <w:sz w:val="17"/>
          <w:szCs w:val="17"/>
          <w:i w:val="1"/>
          <w:iCs w:val="1"/>
          <w:color w:val="auto"/>
        </w:rPr>
        <w:t xml:space="preserve"> </w:t>
      </w:r>
      <w:r>
        <w:rPr>
          <w:rFonts w:ascii="Arial" w:cs="Arial" w:eastAsia="Arial" w:hAnsi="Arial"/>
          <w:sz w:val="17"/>
          <w:szCs w:val="17"/>
          <w:color w:val="auto"/>
        </w:rPr>
        <w:t>Leon County. The Intervention Complaint,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The Company will vigorously defend the lawsuit.</w:t>
      </w:r>
    </w:p>
    <w:p>
      <w:pPr>
        <w:spacing w:after="0" w:line="173"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18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On February 27, 2012, the Company was served with a False Claims Act lawsuit, </w:t>
      </w:r>
      <w:r>
        <w:rPr>
          <w:rFonts w:ascii="Arial" w:cs="Arial" w:eastAsia="Arial" w:hAnsi="Arial"/>
          <w:sz w:val="16"/>
          <w:szCs w:val="16"/>
          <w:i w:val="1"/>
          <w:iCs w:val="1"/>
          <w:color w:val="auto"/>
        </w:rPr>
        <w:t>United States ex rel. Margaret Brown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 and Tri-State Clinical Laboratory Services, LLC</w:t>
      </w:r>
      <w:r>
        <w:rPr>
          <w:rFonts w:ascii="Arial" w:cs="Arial" w:eastAsia="Arial" w:hAnsi="Arial"/>
          <w:sz w:val="16"/>
          <w:szCs w:val="16"/>
          <w:color w:val="auto"/>
        </w:rPr>
        <w:t>, filed in the United States District Court for the Southern District of Ohio,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The Company owned 50% of Tri-State Clinical Laboratory Services, LLC, which was dissolved in June of 2011 pursuant to a voluntary petition filed under Chapter 7 of Title 11 of the United States Code. The lawsuit alleges that the defendants submitted false claims for payment for laboratory testing services performed as a result of financial relationships that violated the Stark and the Anti-Kickback Statute. The lawsuit seeks actual and treble damages and civil penalties for each alleged false claim, as well as recovery of costs, attorney's fees, and legal expenses. The U.S. government has not intervened in the lawsuit. The parties have reached a settlement in principle, but the Company will vigorously defend the lawsuit if the settlement is not finalized.</w:t>
      </w:r>
    </w:p>
    <w:p>
      <w:pPr>
        <w:spacing w:after="0" w:line="16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178"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Summary Judgment on the remaining individual claim was granted. Plaintiff has filed a notice of appeal. The Company will vigorously defend the lawsuit.</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The Company was a defendant in two separate putative class action lawsuits, </w:t>
      </w:r>
      <w:r>
        <w:rPr>
          <w:rFonts w:ascii="Arial" w:cs="Arial" w:eastAsia="Arial" w:hAnsi="Arial"/>
          <w:sz w:val="17"/>
          <w:szCs w:val="17"/>
          <w:i w:val="1"/>
          <w:iCs w:val="1"/>
          <w:color w:val="auto"/>
        </w:rPr>
        <w:t>Christine Bohlander v. Laboratory Corporation of America,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Jemuel Andres, et al. v. Laboratory Corporation of America Holdings, et. al., </w:t>
      </w:r>
      <w:r>
        <w:rPr>
          <w:rFonts w:ascii="Arial" w:cs="Arial" w:eastAsia="Arial" w:hAnsi="Arial"/>
          <w:sz w:val="17"/>
          <w:szCs w:val="17"/>
          <w:color w:val="auto"/>
        </w:rPr>
        <w:t>related to overtime pay. After the filing of the two lawsuits on July 8, 2013, the</w:t>
      </w:r>
      <w:r>
        <w:rPr>
          <w:rFonts w:ascii="Arial" w:cs="Arial" w:eastAsia="Arial" w:hAnsi="Arial"/>
          <w:sz w:val="17"/>
          <w:szCs w:val="17"/>
          <w:i w:val="1"/>
          <w:iCs w:val="1"/>
          <w:color w:val="auto"/>
        </w:rPr>
        <w:t xml:space="preserve"> Bohlander </w:t>
      </w:r>
      <w:r>
        <w:rPr>
          <w:rFonts w:ascii="Arial" w:cs="Arial" w:eastAsia="Arial" w:hAnsi="Arial"/>
          <w:sz w:val="17"/>
          <w:szCs w:val="17"/>
          <w:color w:val="auto"/>
        </w:rPr>
        <w:t>lawsuit was consolidated into the</w:t>
      </w:r>
      <w:r>
        <w:rPr>
          <w:rFonts w:ascii="Arial" w:cs="Arial" w:eastAsia="Arial" w:hAnsi="Arial"/>
          <w:sz w:val="17"/>
          <w:szCs w:val="17"/>
          <w:i w:val="1"/>
          <w:iCs w:val="1"/>
          <w:color w:val="auto"/>
        </w:rPr>
        <w:t xml:space="preserve"> Andres </w:t>
      </w:r>
      <w:r>
        <w:rPr>
          <w:rFonts w:ascii="Arial" w:cs="Arial" w:eastAsia="Arial" w:hAnsi="Arial"/>
          <w:sz w:val="17"/>
          <w:szCs w:val="17"/>
          <w:color w:val="auto"/>
        </w:rPr>
        <w:t>lawsuit and removed to the United States District Court for the Central District of California.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lawsuit, the Plaintiffs alleged on behalf of similarly situated phlebotomists and couriers that the Company failed to pay overtime, failed to provide meal and rest breaks, and committed other violations of the California Labor Code. On May 28, 2015, the District Court issued a preliminary approval of the class action settlement and notice of the settlement terms has been sent to putative class members.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is also a defendant in two additional putative class action lawsuits alleging similar claims to the </w:t>
      </w:r>
      <w:r>
        <w:rPr>
          <w:rFonts w:ascii="Arial" w:cs="Arial" w:eastAsia="Arial" w:hAnsi="Arial"/>
          <w:sz w:val="18"/>
          <w:szCs w:val="18"/>
          <w:i w:val="1"/>
          <w:iCs w:val="1"/>
          <w:color w:val="auto"/>
        </w:rPr>
        <w:t>Bohlander/Andres</w:t>
      </w:r>
      <w:r>
        <w:rPr>
          <w:rFonts w:ascii="Arial" w:cs="Arial" w:eastAsia="Arial" w:hAnsi="Arial"/>
          <w:sz w:val="18"/>
          <w:szCs w:val="18"/>
          <w:color w:val="auto"/>
        </w:rPr>
        <w:t xml:space="preserve"> consolidated lawsuit. The lawsuit of </w:t>
      </w:r>
      <w:r>
        <w:rPr>
          <w:rFonts w:ascii="Arial" w:cs="Arial" w:eastAsia="Arial" w:hAnsi="Arial"/>
          <w:sz w:val="18"/>
          <w:szCs w:val="18"/>
          <w:i w:val="1"/>
          <w:iCs w:val="1"/>
          <w:color w:val="auto"/>
        </w:rPr>
        <w:t>Rachel Rabanes v. California Laboratory Sciences, LLC, et al.,</w:t>
      </w:r>
      <w:r>
        <w:rPr>
          <w:rFonts w:ascii="Arial" w:cs="Arial" w:eastAsia="Arial" w:hAnsi="Arial"/>
          <w:sz w:val="18"/>
          <w:szCs w:val="18"/>
          <w:color w:val="auto"/>
        </w:rPr>
        <w:t xml:space="preserve"> was filed in April 2014 in the Superior Court of California for the County of Los Angeles, and the lawsuit </w:t>
      </w:r>
      <w:r>
        <w:rPr>
          <w:rFonts w:ascii="Arial" w:cs="Arial" w:eastAsia="Arial" w:hAnsi="Arial"/>
          <w:sz w:val="18"/>
          <w:szCs w:val="18"/>
          <w:i w:val="1"/>
          <w:iCs w:val="1"/>
          <w:color w:val="auto"/>
        </w:rPr>
        <w:t>Rita Varsam v. Laboratory Corporation of America DBA LabCorp</w:t>
      </w:r>
      <w:r>
        <w:rPr>
          <w:rFonts w:ascii="Arial" w:cs="Arial" w:eastAsia="Arial" w:hAnsi="Arial"/>
          <w:sz w:val="18"/>
          <w:szCs w:val="18"/>
          <w:color w:val="auto"/>
        </w:rPr>
        <w:t xml:space="preserve">, was filed in June 2014 in the Superior Court of California for the County of San Diego. As a result of the </w:t>
      </w:r>
      <w:r>
        <w:rPr>
          <w:rFonts w:ascii="Arial" w:cs="Arial" w:eastAsia="Arial" w:hAnsi="Arial"/>
          <w:sz w:val="18"/>
          <w:szCs w:val="18"/>
          <w:i w:val="1"/>
          <w:iCs w:val="1"/>
          <w:color w:val="auto"/>
        </w:rPr>
        <w:t>Andres</w:t>
      </w:r>
      <w:r>
        <w:rPr>
          <w:rFonts w:ascii="Arial" w:cs="Arial" w:eastAsia="Arial" w:hAnsi="Arial"/>
          <w:sz w:val="18"/>
          <w:szCs w:val="18"/>
          <w:color w:val="auto"/>
        </w:rPr>
        <w:t xml:space="preserve"> settlement, the Plaintiff in the </w:t>
      </w:r>
      <w:r>
        <w:rPr>
          <w:rFonts w:ascii="Arial" w:cs="Arial" w:eastAsia="Arial" w:hAnsi="Arial"/>
          <w:sz w:val="18"/>
          <w:szCs w:val="18"/>
          <w:i w:val="1"/>
          <w:iCs w:val="1"/>
          <w:color w:val="auto"/>
        </w:rPr>
        <w:t>Rabanes</w:t>
      </w:r>
      <w:r>
        <w:rPr>
          <w:rFonts w:ascii="Arial" w:cs="Arial" w:eastAsia="Arial" w:hAnsi="Arial"/>
          <w:sz w:val="18"/>
          <w:szCs w:val="18"/>
          <w:color w:val="auto"/>
        </w:rPr>
        <w:t xml:space="preserve"> case dismissed her case in June 2015. The </w:t>
      </w:r>
      <w:r>
        <w:rPr>
          <w:rFonts w:ascii="Arial" w:cs="Arial" w:eastAsia="Arial" w:hAnsi="Arial"/>
          <w:sz w:val="18"/>
          <w:szCs w:val="18"/>
          <w:i w:val="1"/>
          <w:iCs w:val="1"/>
          <w:color w:val="auto"/>
        </w:rPr>
        <w:t>Varsam</w:t>
      </w:r>
      <w:r>
        <w:rPr>
          <w:rFonts w:ascii="Arial" w:cs="Arial" w:eastAsia="Arial" w:hAnsi="Arial"/>
          <w:sz w:val="18"/>
          <w:szCs w:val="18"/>
          <w:color w:val="auto"/>
        </w:rPr>
        <w:t xml:space="preserve"> case was settled in November 2015.</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December 17, 2010, the Company was served with a lawsuit, </w:t>
      </w:r>
      <w:r>
        <w:rPr>
          <w:rFonts w:ascii="Arial" w:cs="Arial" w:eastAsia="Arial" w:hAnsi="Arial"/>
          <w:sz w:val="18"/>
          <w:szCs w:val="18"/>
          <w:i w:val="1"/>
          <w:iCs w:val="1"/>
          <w:color w:val="auto"/>
        </w:rPr>
        <w:t>Oliver Wuth, et al. v. Laboratory Corporation of America, et al.</w:t>
      </w:r>
      <w:r>
        <w:rPr>
          <w:rFonts w:ascii="Arial" w:cs="Arial" w:eastAsia="Arial" w:hAnsi="Arial"/>
          <w:sz w:val="18"/>
          <w:szCs w:val="18"/>
          <w:color w:val="auto"/>
        </w:rPr>
        <w:t>, filed in the State Superior Court of King County, Washington. The lawsuit alleges that the Company was negligent in the handling of a prenatal genetic test order that allegedly resulted in the parents being given incorrect information. The matter was tried before a jury beginning on October 21, 2013. On December 10, 2013, the jury returned a verdict in in Plaintiffs’ favor in the amount of $50.0 million, with 50.0% of liability apportioned to the Company and 50.0% of liability apportioned to co-defendant Valley Medical Center. The Company filed post-judgment motions for a new trial, which were denied, and then appealed to the Court of Appeals of the State of Washington. The Appeals Court heard oral argument in June 2015. In August 2015, the Appeals Court affirmed the trial court's judgment. In September 2015, the Company filed a Petition for Review with the Supreme Court of the State of Washington. On March 1, 2016, the Supreme Court will decide whether it will review the merits of the case. The Company carries self-insurance reserves and excess liability insurance sufficient to cover the potential liability in this case.</w:t>
      </w:r>
    </w:p>
    <w:p>
      <w:pPr>
        <w:spacing w:after="0" w:line="15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before a jury beginning on April 1, 2014. On April 17, 2014, the jury returned a verdict in Plaintiff’s favor in the amount of $20.8 million, with non-economic damages reduced by 25% to account for the Plaintiff's negligence, for a final verdict of $15.8 million. The Company filed post-trial motions. On July 28, 2014, the Court granted the Company’s motion for remittitur and reduced the jury’s non-economic damages award to $5.0 million, reduced by 25.0% for the Plaintiff’s negligence. Accordingly, the total judgment is $4.4 million. The Plaintiff opposed the remittitur and the Court ordered a new trial on the issue of damages only. The trial was scheduled for January 2016, but did not go forward at that time. Pending the outcome of pre-trial motions, the trial date may be reset. The Company will vigorously defend this lawsuit.</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July 9, 2014, the Company was served with a putative class action lawsuit, </w:t>
      </w:r>
      <w:r>
        <w:rPr>
          <w:rFonts w:ascii="Arial" w:cs="Arial" w:eastAsia="Arial" w:hAnsi="Arial"/>
          <w:sz w:val="18"/>
          <w:szCs w:val="18"/>
          <w:i w:val="1"/>
          <w:iCs w:val="1"/>
          <w:color w:val="auto"/>
        </w:rPr>
        <w:t>Christopher W. Legg, et al. v. Laboratory Corporation of America</w:t>
      </w:r>
      <w:r>
        <w:rPr>
          <w:rFonts w:ascii="Arial" w:cs="Arial" w:eastAsia="Arial" w:hAnsi="Arial"/>
          <w:sz w:val="18"/>
          <w:szCs w:val="18"/>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sought damages of not less than $0.0001 but not more than $0.01 per violation, and punitive damages, injunctive relief, and attorney’s fees. On November 4, 2015, the District Court issued preliminary approval of the class action settlement and notice of the settlement was sent to putative class members. On February 18, 2016, the District Court entered a final order approving the settlement.</w:t>
      </w:r>
    </w:p>
    <w:p>
      <w:pPr>
        <w:spacing w:after="0" w:line="15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September 24, 2014, LipoScience and the Company entered into a Merger Agreement pursuant to which the Company through its subsidiary, Bear Acquisition Corp, would acquire all of the outstanding shares of LipoScience at a purchase price of $5.25 per share in cash for each outstanding share of LipoScience (Merger). Prior to the closing of the Merger on November 20, 2014, purported stockholders of LipoScience filed four putative class action lawsuits against LipoScience, members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LipoScience board of directors, the Company and Bear Acquisition Corp. in the Delaware Court of Chancery and, with respect to one of the lawsuits, in the Superior Court of Wake County, North Carolina. The lawsuits alleged breach of fiduciary duty and/or other violations of state law arising out of the Merger. Each suit sought, among other things, injunctive relief enjoining the Merger. On October 23, 2014, the case in North Carolina was voluntarily dismissed without prejudice by the Plaintiff. On October 29, 2014, the Delaware Court of Chancery consolidated the remaining three actions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LipoScience, Inc. Stockholder Litigation, Consolidated C.A. No. 10252-VCP</w:t>
      </w:r>
      <w:r>
        <w:rPr>
          <w:rFonts w:ascii="Arial" w:cs="Arial" w:eastAsia="Arial" w:hAnsi="Arial"/>
          <w:sz w:val="17"/>
          <w:szCs w:val="17"/>
          <w:color w:val="auto"/>
        </w:rPr>
        <w:t>. After limited discovery, the parties agreed on certain additional disclosures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definitive proxy statement filed on October 20, 2014, which were made in a supplement to the definitive proxy statement filed on November 10, 2014 (LipoScience Supplemental Disclosures). On November 30, 2015, the Court approved a stipulation under which Plaintiffs voluntarily dismissed the action without prejudice as to all Plaintiffs and any other putative class member. The Court retained jurisdiction solely for the purpose of adjudicating Plaintiffs' counsel's anticipated application for an award of attorneys' fees and reimbursement of expenses in connection with the LipoScience Supplemental Disclosures. The Company subsequently agreed to pay $0.2 million to Plaintiffs' counsel for attorney’s fees and expenses in full satisfaction of their claim for attorney’s fees and expenses in the action. The Court has not been asked to review, and will pass no judgment on, the payment of the attorney’s fees and expenses or their reasonableness. Contact information for counsel is Brian D. Long (BDL@rl-legal.com) for Plaintiffs and Raymond J. DiCamillo (dicamillo@rlf.com) for the Company.</w:t>
      </w:r>
    </w:p>
    <w:p>
      <w:pPr>
        <w:spacing w:after="0" w:line="1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November 2, 2014, the Company entered into a definitive Merger Agreement to acquire Covance for $6,150.7 milion in cash and Company common stock (Merger). The Merger closed on February 19, 2015. Prior to the closing of the Merger, purported stockholders of Covance filed two putative class action lawsuits. One of the lawsuits, captioned Berk v Covance Inc., et al., C.A. No. 10440-VCL, was filed in the Delaware Court of Chancery on December 9, 2014. The other lawsuit, captioned Ojeda v. Herring et al., No. MER-C-92-14,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Merger. The lawsuits alleged breach of fiduciary duty and/or other violations of state law arising out of the Merger. Each suit sought, among other things, injunctive relief enjoining the merger. On January 21, 2015, the case in New Jersey was voluntarily dismissed without prejudice by the Plaintiff. After limited discovery, the parties agreed on certain additional disclosures to the Company's definitive proxy statement filed on November 26, 2014, which were made in a supplement to the definitive proxy statement filed on February 9, 2015 (Covance Supplemental Disclosures). On December 1, 2015, the Court approved a stipulation under which Plaintiffs voluntarily dismissed the action, with prejudice as to the named Plaintiff only. The Court retained jurisdiction solely for the purpose of adjudicating Plaintiffs' counsel's anticipated application for an award of attorney’s fees and reimbursement of expenses in connection with the Covance Supplemental Disclosures. The Company subsequently agreed to pay $0.2 million to Plaintiffs' counsel for attorney’s fees and expenses in full satisfaction of their claim for attorney’s fees and expenses in the action. The Court has not been asked to review, and will pass no judgment on, the payment of the attorneys' fees and expenses or their reasonableness.</w:t>
      </w:r>
    </w:p>
    <w:p>
      <w:pPr>
        <w:spacing w:after="0" w:line="1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4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In March 2015, the Company received a subpoena from the Attorney General of the State of New York, which requested information regarding the Company’s relationship with Direct Laboratories LLC. The Company cooperated with the request, and the matter was settled in December 2015.</w:t>
      </w:r>
    </w:p>
    <w:p>
      <w:pPr>
        <w:spacing w:after="0" w:line="1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occurrence basis without any aggregate annual limit. Provisions for losses expected under these programs are recorded based upon the Company's estimates of the aggregated liability of claims incurred. At December 31, 2015, the Company had provided letters of credit aggregating approximately $45.4 million, primarily in connection with certain insurance programs. The Company’s availability under its Revolving Credit Facility is reduced by the amount of these letters of credit.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common stock, par value $0.10 per share (Common Stock), trades on the New York Stock Exchange (NYSE) under the symbol “LH.” The following table sets forth for the calendar periods indicated the high and low sales prices for the Common Stock reported on the NYSE Composite Tape.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Low</w:t>
            </w:r>
          </w:p>
        </w:tc>
      </w:tr>
      <w:tr>
        <w:trPr>
          <w:trHeight w:val="34"/>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87.25</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95.12</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101.55</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95.61</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108.73</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116.00</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105.77</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February 23, 2016, there were 101.7 million holders of record of the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not historically paid dividends on its Common Stock and does not presently anticipate paying any dividends on its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229"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The Company’s common stock is traded on the NYSE. The graph below shows the cumulative total return assuming an investment of $100 on December 31, 2010 in each of the Company’s common stock, the Standard &amp; Poor’s (S&amp;P) Composite-500 Stock Index and the S&amp;P 500 healthcare Index (Peer Group) and assuming that all dividends were reinvested.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96"/>
        </w:trPr>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0" w:type="dxa"/>
            <w:vAlign w:val="bottom"/>
            <w:gridSpan w:val="8"/>
          </w:tcPr>
          <w:p>
            <w:pPr>
              <w:jc w:val="right"/>
              <w:spacing w:after="0"/>
              <w:rPr>
                <w:sz w:val="20"/>
                <w:szCs w:val="20"/>
                <w:color w:val="auto"/>
              </w:rPr>
            </w:pPr>
            <w:r>
              <w:rPr>
                <w:rFonts w:ascii="Arial" w:cs="Arial" w:eastAsia="Arial" w:hAnsi="Arial"/>
                <w:sz w:val="18"/>
                <w:szCs w:val="18"/>
                <w:b w:val="1"/>
                <w:bCs w:val="1"/>
                <w:color w:val="auto"/>
                <w:w w:val="96"/>
              </w:rPr>
              <w:t>Comparison of Five Year Cumulative Total Return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94"/>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12/2011</w:t>
            </w:r>
          </w:p>
        </w:tc>
        <w:tc>
          <w:tcPr>
            <w:tcW w:w="300" w:type="dxa"/>
            <w:vAlign w:val="bottom"/>
          </w:tcPr>
          <w:p>
            <w:pPr>
              <w:spacing w:after="0"/>
              <w:rPr>
                <w:sz w:val="24"/>
                <w:szCs w:val="24"/>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12/2012</w:t>
            </w:r>
          </w:p>
        </w:tc>
        <w:tc>
          <w:tcPr>
            <w:tcW w:w="26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12/2013</w:t>
            </w:r>
          </w:p>
        </w:tc>
        <w:tc>
          <w:tcPr>
            <w:tcW w:w="30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12/2014</w:t>
            </w:r>
          </w:p>
        </w:tc>
        <w:tc>
          <w:tcPr>
            <w:tcW w:w="28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12/2015</w:t>
            </w:r>
          </w:p>
        </w:tc>
      </w:tr>
      <w:tr>
        <w:trPr>
          <w:trHeight w:val="34"/>
        </w:trPr>
        <w:tc>
          <w:tcPr>
            <w:tcW w:w="4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Laboratory Corporation of America Holdings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140.63</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w w:val="92"/>
              </w:rPr>
              <w:t>S&amp;P 500</w:t>
            </w:r>
          </w:p>
        </w:tc>
        <w:tc>
          <w:tcPr>
            <w:tcW w:w="2820" w:type="dxa"/>
            <w:vAlign w:val="bottom"/>
          </w:tcPr>
          <w:p>
            <w:pPr>
              <w:ind w:left="20"/>
              <w:spacing w:after="0"/>
              <w:rPr>
                <w:sz w:val="20"/>
                <w:szCs w:val="20"/>
                <w:color w:val="auto"/>
              </w:rPr>
            </w:pPr>
            <w:r>
              <w:rPr>
                <w:rFonts w:ascii="Arial" w:cs="Arial" w:eastAsia="Arial" w:hAnsi="Arial"/>
                <w:sz w:val="18"/>
                <w:szCs w:val="18"/>
                <w:color w:val="auto"/>
              </w:rPr>
              <w:t>Index</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118.45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156.82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178.29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180.75</w:t>
            </w: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251.87</w:t>
            </w: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274320</wp:posOffset>
            </wp:positionV>
            <wp:extent cx="5257165" cy="399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Board of Directors has authorized the repurchase of specified amounts of the Company's common stock since 2007, including the Board of Director's authorization on February 10, 2012 to purchase up to $500.0 million of additional shares of the Company's common stock. As of December 31, 2015 and 2014, the Company had outstanding authorization from the Board of Directors to purchase up to $789.5 million of Company common stock. The repurchase authorization has no expiration date. Following the announcement of the acquisition of Covance Inc., the Company suspended its share repurchases. The Company does not anticipate resuming its share repurchase activity until it approaches its targeted leverage ratio of total debt to consolidated EBITDA of 2.5 to 1.0. However, the Company will continue to evaluate all opportunities for strategic deployment of capital in light of market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8"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selected financial data presented below under the captions “Statement of Operations Data” and “Balance Sheet Data” as of and for the five-year period ended December 31, 2015 are derived from consolidated financial statements of the Company, which have been audited by an independent registered public accounting firm. This data should be read in conjunction with the accompanying notes, the Company's consolidated financial statements and the related notes thereto, and “Management's Discussion and Analysis of Financial Condition and Results of Operations,” all included elsewhere herein.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(a)</w:t>
            </w:r>
          </w:p>
        </w:tc>
        <w:tc>
          <w:tcPr>
            <w:tcW w:w="3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(b)</w:t>
            </w:r>
          </w:p>
        </w:tc>
        <w:tc>
          <w:tcPr>
            <w:tcW w:w="380" w:type="dxa"/>
            <w:vAlign w:val="bottom"/>
          </w:tcPr>
          <w:p>
            <w:pPr>
              <w:spacing w:after="0"/>
              <w:rPr>
                <w:sz w:val="19"/>
                <w:szCs w:val="19"/>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(c)</w:t>
            </w:r>
          </w:p>
        </w:tc>
        <w:tc>
          <w:tcPr>
            <w:tcW w:w="46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rPr>
              <w:t>(d)</w:t>
            </w:r>
          </w:p>
        </w:tc>
        <w:tc>
          <w:tcPr>
            <w:tcW w:w="38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(e) (f)</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4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8,505.7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5,808.3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2,903.3</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2,203.1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2,223.2</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2,249.7</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2,274.7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Corporation of America Holdings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583.1</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weighted average common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weighted average common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466.8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9,551.2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4,594.8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4,569.4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14,221.7</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7,301.8</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6,965.9</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6,795.0</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6,111.8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3,029.8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4,944.4</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2,820.5</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2,491.3</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2,717.4</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2,503.5</w:t>
            </w:r>
          </w:p>
        </w:tc>
      </w:tr>
    </w:tbl>
    <w:p>
      <w:pPr>
        <w:spacing w:after="0" w:line="229" w:lineRule="exact"/>
        <w:rPr>
          <w:sz w:val="20"/>
          <w:szCs w:val="20"/>
          <w:color w:val="auto"/>
        </w:rPr>
      </w:pPr>
    </w:p>
    <w:p>
      <w:pPr>
        <w:jc w:val="both"/>
        <w:ind w:left="980" w:hanging="972"/>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2015, the Company recorded net restructuring charges of $113.9. The charges were comprised of $59.2 in severance and other personnel costs and $55.8 in facility-related costs primarily associated with facility closures and general integration initiatives. These charges were offset by the reversal of previously established reserves of $1.1 in unused facility-related costs.</w:t>
      </w:r>
    </w:p>
    <w:p>
      <w:pPr>
        <w:spacing w:after="0" w:line="181" w:lineRule="exact"/>
        <w:rPr>
          <w:rFonts w:ascii="Arial" w:cs="Arial" w:eastAsia="Arial" w:hAnsi="Arial"/>
          <w:sz w:val="18"/>
          <w:szCs w:val="18"/>
          <w:color w:val="auto"/>
        </w:rPr>
      </w:pPr>
    </w:p>
    <w:p>
      <w:pPr>
        <w:jc w:val="both"/>
        <w:ind w:left="980" w:hanging="972"/>
        <w:spacing w:after="0" w:line="31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2014, the Company recorded net restructuring charges of $17.8. The charges were comprised of $10.5 in severance and other personnel costs and $8.4 in facility-related costs primarily associated with facility closures and general integration initiatives. These charges were offset by the reversal of previously established reserves of $0.4 in unused severance and $0.7 in unused facility-related costs.</w:t>
      </w:r>
    </w:p>
    <w:p>
      <w:pPr>
        <w:spacing w:after="0" w:line="146" w:lineRule="exact"/>
        <w:rPr>
          <w:rFonts w:ascii="Arial" w:cs="Arial" w:eastAsia="Arial" w:hAnsi="Arial"/>
          <w:sz w:val="16"/>
          <w:szCs w:val="16"/>
          <w:color w:val="auto"/>
        </w:rPr>
      </w:pPr>
    </w:p>
    <w:p>
      <w:pPr>
        <w:jc w:val="both"/>
        <w:ind w:left="980" w:hanging="972"/>
        <w:spacing w:after="0" w:line="31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2013, the Company recorded net restructuring charges of $21.8. The charges were comprised of $15.4 in severance and other personnel costs and $9.5 in facility-related costs primarily associated with facility closures and general integration initiatives. These charges were offset by the reversal of previously established reserves of $0.7 in unused severance and $2.4 in unused facility-related costs.</w:t>
      </w:r>
    </w:p>
    <w:p>
      <w:pPr>
        <w:spacing w:after="0" w:line="146" w:lineRule="exact"/>
        <w:rPr>
          <w:rFonts w:ascii="Arial" w:cs="Arial" w:eastAsia="Arial" w:hAnsi="Arial"/>
          <w:sz w:val="16"/>
          <w:szCs w:val="16"/>
          <w:color w:val="auto"/>
        </w:rPr>
      </w:pPr>
    </w:p>
    <w:p>
      <w:pPr>
        <w:jc w:val="both"/>
        <w:ind w:left="980" w:hanging="972"/>
        <w:spacing w:after="0" w:line="272"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2012, the Company recorded net restructuring charges of $25.3. The charges were comprised of $16.2 in severance and other personnel costs and $19.6 in facility-related costs primarily associated with the ongoing integration activities of Cellmark Forensics, Inc. (formerly Orchid Cellmark, Inc.) and the Integrated Genetics business (formerly Genzyme Genetics) and costs associated with the previously announced termination of an executive vice president. These charges were offset by the reversal of previously established reserves of $6.3 in unused severance and $4.2 in unused facility-related costs. As part of the Clearstone integration, the Company also recorded a $6.9 loss on the disposal of one of its European subsidiaries in Other, net under Other income (expenses) during 2012. In addition, the Company recorded $6.2 in accelerated amortization relating to the termination of a licensing agreement.</w:t>
      </w:r>
    </w:p>
    <w:p>
      <w:pPr>
        <w:spacing w:after="0" w:line="177" w:lineRule="exact"/>
        <w:rPr>
          <w:rFonts w:ascii="Arial" w:cs="Arial" w:eastAsia="Arial" w:hAnsi="Arial"/>
          <w:sz w:val="17"/>
          <w:szCs w:val="17"/>
          <w:color w:val="auto"/>
        </w:rPr>
      </w:pPr>
    </w:p>
    <w:p>
      <w:pPr>
        <w:ind w:left="980" w:right="20" w:hanging="97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2011, the Company recorded net restructuring charges of $44.6. Of this amount, $27.4 related to severance and other personnel costs, and $22.0 primarily related to facility-related costs associated with the ongoing integration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95" w:lineRule="exact"/>
        <w:rPr>
          <w:sz w:val="20"/>
          <w:szCs w:val="20"/>
          <w:color w:val="auto"/>
        </w:rPr>
      </w:pPr>
    </w:p>
    <w:p>
      <w:pPr>
        <w:jc w:val="both"/>
        <w:ind w:left="980"/>
        <w:spacing w:after="0" w:line="349" w:lineRule="auto"/>
        <w:rPr>
          <w:sz w:val="20"/>
          <w:szCs w:val="20"/>
          <w:color w:val="auto"/>
        </w:rPr>
      </w:pPr>
      <w:r>
        <w:rPr>
          <w:rFonts w:ascii="Arial" w:cs="Arial" w:eastAsia="Arial" w:hAnsi="Arial"/>
          <w:sz w:val="16"/>
          <w:szCs w:val="16"/>
          <w:color w:val="auto"/>
        </w:rPr>
        <w:t>of certain acquisitions including Genzyme Genetics and Westcliff Medical Laboratories, Inc. (Westcliff). These charges were offset by restructuring credits of $4.8 resulting from the reversal of unused severance and facility closure liabilities. In addition, the Company recorded fixed assets impairment charges of $18.9 primarily related to equipment, computer systems and leasehold improvements in closed facilities. The Company also recorded special charges of $14.8 related to the write-off of certain assets and liabilities related to an investment made in prior years, along with a $2.6 write-off of an uncollectible receivable from a past installment sale of one of the Company's lab operations.</w:t>
      </w:r>
    </w:p>
    <w:p>
      <w:pPr>
        <w:spacing w:after="0" w:line="134" w:lineRule="exact"/>
        <w:rPr>
          <w:sz w:val="20"/>
          <w:szCs w:val="20"/>
          <w:color w:val="auto"/>
        </w:rPr>
      </w:pPr>
    </w:p>
    <w:p>
      <w:pPr>
        <w:jc w:val="both"/>
        <w:ind w:left="980" w:hanging="972"/>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the closing of its acquisition of Orchid in mid-December 2011, the Company recorded a net $2.8 loss on its divestiture of certain assets of Orchid's U.S. government paternity business, under the terms of the agreement reached with the U.S. Federal Trade Commission. This non-deductible loss on disposal was recorded in Other Income and Expense in the Company's Consolidated Statements of Operations and decreased net earnings for the twelve months ended December 31, 2011 by $2.8.</w:t>
      </w:r>
    </w:p>
    <w:p>
      <w:pPr>
        <w:spacing w:after="0" w:line="186" w:lineRule="exact"/>
        <w:rPr>
          <w:rFonts w:ascii="Arial" w:cs="Arial" w:eastAsia="Arial" w:hAnsi="Arial"/>
          <w:sz w:val="18"/>
          <w:szCs w:val="18"/>
          <w:color w:val="auto"/>
        </w:rPr>
      </w:pPr>
    </w:p>
    <w:p>
      <w:pPr>
        <w:jc w:val="both"/>
        <w:ind w:left="980" w:hanging="972"/>
        <w:spacing w:after="0" w:line="28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Long-term obligations primarily include the Company’s zero-coupon convertible subordinated notes, 5.50% Senior Notes due 2013, 5.625% Senior Notes due 2015, 3.125% Senior Notes due 2016, 2.20% Senior Notes due 2017, 2.50% Senior Notes due 2018, 4.625% Senior Notes due 2020, 3.75% Senior Notes due 2022, 3.20% Senior Notes due 2022, 4.00% Senior Notes due 2023, 3.60% Senior Notes due 2025, 4.70% Senior Notes due 2045, term loan, revolving credit facility and other long-term obligations. The accreted balance of the zero-coupon convertible subordinated notes was $94.5, $93.9, $110.8, $130.0, and $135.5 at December 31, 2015, 2014, 2013, 2012, and 2011, respectively. The balance of the 5.50% Senior Notes, including principal and unamortized portion of a deferred gain on an interest rate swap agreement, was $0.0, $0.0, $0.0, $350.0, and $350.5 at December 31, 2015, 2014, 2013, 2012, and 2011, respectively. The principal balance of the 5.625% Senior Notes was $0.0 at December 31, 2015 and $250.0 at December 31, 2014, 2013, 2012, and 2011. The principal balance of the 3.125% Senior Notes was $325.0 at December 31, 2015, 2014, 2013, 2012, and 2011. The principal balance of the 4.625% Senior Notes was $600.0 at December 31, 2015, 2014, 2013, 2012, and 2011. The aggregate fair value of the fixed-to-variable interest rate swap on the 4.625% Senior Notes was $21.6 at December 31, 2015, $18.5 at December 31, 2014, and $0.0 for all other years presented. The principal balances of the 2.20% and 3.75% Senior Notes were $500.0 each at December 31, 2015, 2014, 2013 and 2012 and $0.0 for December 31, 2011. The principal balances of the 2.50% and 4.00% Senior Notes were $400.0 and $300.0, respectively, at December 31, 2015, 2014, and 2013 and $0.0 for all other years presented. The outstanding balance on the term loan was $715.0 at December 31, 2015 and $0.0 for all other years presented. The outstanding balance on the revolving credit facility was $0.0, $0.0, $0.0, $0.0, and $560.0 at December 31, 2015, 2014, 2013, 2012, and 2011, respectively. The remainder of other long-term obligations consisted primarily of capital leases and mortgages payable with balances of $55.5, $39.2, $14.6, $0.0, and $0.0 at December 31, 2015, 2014, 2013, 2012, and 2011, respectively. Long-term obligations exclude amounts due to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(in millions)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19, 2015 (Acquisition Date), the Company completed its acquisition (Acquisition) of Covance Inc. (Covance), a leading drug development services company and a leader in nutritional analysis, for $6,150.7. The Acquisition contributed $2,209.7 to the Company's total net revenue from the Acquisition Date driving 36.7% year over year net growth. The Company expects the inclusion of Covance for a full twelve months in 2016 will provide an approximate 4.0% increase in revenue based upon Covance's pre-acquisition 2015 net revenues. Organic revenue growth in 2015, excluding currency, was 4.6%.</w:t>
      </w:r>
    </w:p>
    <w:p>
      <w:pPr>
        <w:spacing w:after="0" w:line="18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achieved $45.0 in synergies in 2015 as a result of the Acquisition and expects annual cost synergies in excess of $100.0 to be fully realized within three years of closing the transaction. The Company's 2015 results were impacted by increased interest expense and historically lower margins from Covance. The Company is committed to maintaining its investment grade credit rating and plans to use its operating cash flows to meet its annual capital expenditure requirements and to reduce its overall debt leverage, while evaluating other strategic opportunities for deployment of its capital.</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has seen growth in the amount of its patient accounts receivable. A significant portion of the Company’s bad debt expense is related to LCD accounts receivable from patients. The Company believes its current allowance for doubtful accounts is sufficient to properly record its accounts receivable at their estimated net realizable value. Should the shift towards increased patient responsibility continue, the Company may need to increase its allowance for doubtful accounts and bad debt expense in future periods.</w:t>
      </w:r>
    </w:p>
    <w:p>
      <w:pPr>
        <w:spacing w:after="0" w:line="18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Prior to the first quarter of 2015, the chief operating decision maker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 Company's consolidated financial statements has been conformed to present segments on this revised basis for all prior periods. Under the new organizational structure, the CODM manages the Company under two reportable segments: LabCorp Diagnostics (LCD) and Covance Drug Development (CDD). LCD includes the Company's legacy LabCorp business, and the Company's nutritional chemistry and food safety business, which were previously part of Covance, but excludes LabCorp’s legacy clinical trials testing business, which is now part of CDD. CDD includes the Covance legacy business, and LabCorp’s legacy clinical trials testing business, but excludes Covance's nutritional chemistry and food safety business, which are now part of LCD.</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experiences seasonality in both segments of its business. The majority of LCD's testing volume is dependent on patient visits to physician offices and other providers of healthcare. Testing volume in both segments generally declines during the year-end holiday periods and other major holidays. In addition, testing volume also declines due to inclement weather which may reduce net revenues and cash flows. CDD's operations are also impacted by changes in the global economy, exchange rate fluctuations, the progress of ongoing studies and the start-up of new studies, as well as the level of expenditures made by the pharmaceutical and biotechnology industries in research and development (R&amp;D). Given the seasonality of the business, comparison of the results for successive quarters may not accurately reflect trends or results for the full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(amounts in millions)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Years ended December 31, 2015, 2014, and 2013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5,669.4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2,306.4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5,808.3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revenues for the year ended December 31, 2015 was driven primarily by the Acquisition along with strong organic volume growth in LCD and tuck-in acquisitions, price, and mix, partially offset by currency.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net revenues for the year ended December 31, 2015 were $6,199.3, an increase of 6.2% over net revenues of $5,838.0 in the corresponding period in 2014. The increase in net revenues was driven by organic volume growth, measured by requisitions of 3.2%. Beacon LBS, the Company's technology-enabled solution providing point-of-care decision support, contributed 0.9%. The increase in net revenues was unfavorably impacted by (0.8%) of currency. Revenue per requisition favorably impacted revenue by 0.4%. In addition, acquisitions added 2.5% to net revenues.</w:t>
      </w:r>
    </w:p>
    <w:p>
      <w:pPr>
        <w:spacing w:after="0" w:line="7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 net revenues for the year ended December 31, 2015 were $2,306.4, an increase of 1,228.5% over net revenues of $173.6 in the corresponding period in 2014. The increase in net revenues was due to the Acquisition. Approximately 52.1% of CDD's net revenues are billed in currencies other than the U.S. dollar, with the Swiss franc, British pound, and the Euro representing approximately 66.8% of CDD's total currency exposure. The 2014 CDD net revenue amount represents LabCorp’s legacy clinical trials testing business.</w:t>
      </w:r>
    </w:p>
    <w:p>
      <w:pPr>
        <w:spacing w:after="0" w:line="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increase in LCD net revenues for the year ended December 31, 2014 was driven primarily by strong organic volume growth and the benefit of fold-in acquisitions, along with growth in the Company's managed care business and toxicology testing, partially offset by test and payer mix. During 2014, the impact of weather reduced LCD's revenues by an estimated $40.0. The increase in revenue per requisition in core testing is the result of the number of tests per requisition and a change in the mix of testing within that category. The decline in revenue per requisition in genomic and esoteric testing is primarily a result of a change in the mix of tests within those categories.</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2013, the impact of weather, reduced LCD's revenues by an estimated $12.7, of which $5.3 occurred in the fourth quarter. The 2013 decline in revenue per requisition in genomic and esoteric testing is a result of a change in mix of genetic and histology testing. Histology revenue per requisition was also impacted by payment reductions on the Medicare physician fee schedule. Further, revenue per requisition also decreased due to delays in payments and denials of coverage for existing tests by some payers after implementation of new molecular pathology codes at the beginning of the year and the implementation of sequestration on April 1, 2013.</w:t>
      </w:r>
    </w:p>
    <w:p>
      <w:pPr>
        <w:spacing w:after="0" w:line="188"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CDD net revenues for the year ended December 31, 2014 were $173.6, an increase of 25.0% over net revenues of $138.9 in the corresponding period in 2013. This increase in net revenues was driven by organic volume growth, measured by requisitions of 27.9%, offset by revenue per requisition of (2.9%).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16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cost of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3,585.1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Cost of revenues as a % of net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2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Net cost of revenues (primarily laboratory and distribution costs) increased 47.1% in 2015 as compared with the 2014 primarily due to the Acquisition. Excluding acquisitions, net costs of revenues increased approximately 4.2% due to increased volume, measured by requisitions, and test mix changes. The increase in cost of sales as a percentage of net sales in 2014 as compared to 2013 is due to the increased number of tests per requisition. The increase in net cost of revenues in 2015 was favorably impacted by a net reduction of (0.8%) due to currency fluctuations.</w:t>
      </w:r>
    </w:p>
    <w:p>
      <w:pPr>
        <w:spacing w:after="0" w:line="1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 and testing supplies for the year ended December 31, 2015, comprise over 75.5% of the Company’s net cost of revenues. Net cost of revenues has increased over the three-year period ended December 31, 2015 primarily due to the impact of acquisitions, overall growth in the Company's volume and increases in labor.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3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SG&amp;A as a % of net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Selling, general and administrative expenses as a percentage of net revenues decreased to 19.0% in 2015 compared to 19.9% in 2014. The decrease in selling, general and administrative expenses as a percentage of net revenues is primarily due to the Acquisition and the impact of Project LaunchPad, LCD's comprehensive, enterprise-wide business process improvement initiative, and integration synergies. In addition, bad debt expense as a percentage of net revenues for LCD decreased to 4.3% of net revenues for that segment compared to 4.6% during 2014. This improvement in LCD's bad debt expense is a result of the segment's focus on improved cash collections and other related Project LaunchPad initiatives. As discussed in Restructuring and Other Special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Charges, the Company incurred $164.5 in one-time, non-recurring fees and expenses in 2015. The increase in selling, general and administrative expenses in 2015 was impacted by a net reduction of (0.8%) due to currency fluctuations.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as a percentage of net revenues increased to 19.9% in 2014 compared to 19.4% in 2013. The increase in selling, general and administrative expenses as a percentage of net revenues is partially due to $13.8 in fees related to acquisitions recorded in 2014. Additionally, bad debt expense increased to 4.6% of net revenues in 2014 as compared to 4.4% of net revenues in 2013. The Company also recorded $18.6 in consulting expenses (recorded in selling, general and administrative) relating to fees incurred as part of its business process improvement initiative as well as one-time CFO transition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3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4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140.0 %</w:t>
            </w:r>
          </w:p>
        </w:tc>
      </w:tr>
      <w:tr>
        <w:trPr>
          <w:trHeight w:val="257"/>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intangibles and other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in 2015 as compared to 2014 primarily reflect the net impact of the Acquisition.</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decrease in amortization of intangibles and other assets in 2014 as compared to 2013 primarily reflect the net impact of acquisitions closed during 2014 offset by adjustments to the fair value of deferred acquisition payments.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32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Restructuring and other special charges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32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During 2015, the Company recorded net restructuring and other special charges of $113.9; $39.2 within LCD and $74.7 within CDD. The charges were comprised of $59.2 related to severance and other personnel costs along with $55.8 in costs associated with facility closures and general integration initiatives. A substantial portion of these costs relate to the planned closure of two CDD operations that serviced a minimum volume contract that expired on October 31, 2015. These charges were offset by the reversal of previously established reserves of $1.1 in unused facility-related costs. Included within the facility-related charges noted above is a $26.7 asset impairment charge relating to CDD lab and customer service applications that will no longer be used.</w:t>
      </w:r>
    </w:p>
    <w:p>
      <w:pPr>
        <w:spacing w:after="0" w:line="6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incurred additional legal and other costs of $5.7 relating to the wind-down of the minimum volume contract operations referred to in the previous paragraph. On February 9, 2016, the Company reached an agreement for the sale of the assets and business of one of these sites. As required by U.K. law, substantially all of the employees were transferred with the business. The Company also recorded $25.6 in consulting expenses relating to fees incurred as part of Project LaunchPad as well as Covance integration costs and employee compensation studies, along with $5.4 in short-term equity retention arrangements relating to the acquisition of Covance and $0.3 of accelerated equity compensation relating to the previously disclosed retirement of a Company executive (all recorded in selling, general and administrative expenses). During the fourth quarter, the Company paid $12.2 in settlement costs and litigation expenses related to the resolution of a U.S. federal court putative class action lawsuit. In addition, the Company incurred $3.0 of non-capitalized costs associated with the implementation of a major system as part of Project Launchpad.</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2014, the Company recorded net restructuring charges of $17.8. The charges were comprised of $10.5 in severance and other personnel costs and $8.4 in facility-related costs primarily associated with general integration activities. These charges were offset by the reversal of previously established reserves of $0.4 in unused severance and $0.7 in unused facility-related costs.</w:t>
      </w:r>
    </w:p>
    <w:p>
      <w:pPr>
        <w:spacing w:after="0" w:line="18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In addition, during 2014, the Company recorded $18.6 in consulting expenses (recorded in selling, general and administrative expenses) relating to fees incurred as part of its business process improvement initiative as well as one-time CFO transition costs. The Company also recorded $10.8 of costs related to the Covance acquisition, of which $4.8 is included in selling, general and administrative expenses and $6.0 is included in interest expense.</w:t>
      </w:r>
    </w:p>
    <w:p>
      <w:pPr>
        <w:spacing w:after="0" w:line="14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During 2013, the Company recorded net restructuring charges of $21.8. The charges were comprised of $15.4 in severance and other personnel costs and $9.5 in facility-related costs primarily associated with the ongoing integration of Orchid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Integrated Genetics business (formerly Genzyme Genetics) and costs associated with the previously announced termination of an executive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charges were offset by the reversal of previously established reserves of $0.7 in unused severance and $2.4 in unused facility-related costs.</w:t>
      </w:r>
    </w:p>
    <w:p>
      <w:pPr>
        <w:spacing w:after="0" w:line="2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2014, the Company announced Project Launchpad, a comprehensive business process improvement initiative to re-engineer LCD's systems and processes to leverage technological advancements, create a sustainable and more efficient business model and improve the experience of all stakeholders. The Company expects this initiative to drive savings in excess of $150.0 over a three year period beginning in 2015, with associated one-time costs of approximately $30.0. The Company believes that any restructuring costs which may be incurred in future periods will be more than offset by subsequent savings realized from these potential actions and that any related restructuring charges will not have a material impact on the Company's operations or liquidity.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2014</w:t>
            </w:r>
          </w:p>
        </w:tc>
      </w:tr>
      <w:tr>
        <w:trPr>
          <w:trHeight w:val="34"/>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12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increase in interest expense for 2015 as compared with 2014 is primarily due to the issuance of $3,900 in debt and other financing costs in connection with the Acquisition. Another component of the increase was a $37.4 make-whole payment that was required in connection with the prepayment of $250.0 Covance senior notes. In addition, the Company recorded $15.2 in interest expense relating to the deferred financing cost associated with the Company's previous credit agreement and a term loan bridge financing facility to complete the Acquisition. The bridge facility was repaid in March 2015.</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increase in interest expense for 2014 as compared with 2013 is primarily due to the issuance of $700.0 of senior notes in November 2013, reductions in borrowings under the Company's former Revolving Credit Facility, and Covance-related financing activities. This increase was also partially offset by a decrease in interest expense on the Company's senior notes due 2020 as a result of entering into a fixed to floating interest rate swap in the third quarter of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99"/>
        </w:trPr>
        <w:tc>
          <w:tcPr>
            <w:tcW w:w="178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gridSpan w:val="6"/>
          </w:tcPr>
          <w:p>
            <w:pPr>
              <w:jc w:val="center"/>
              <w:ind w:left="3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000" w:type="dxa"/>
            <w:vAlign w:val="bottom"/>
          </w:tcPr>
          <w:p>
            <w:pPr>
              <w:spacing w:after="0"/>
              <w:rPr>
                <w:sz w:val="24"/>
                <w:szCs w:val="24"/>
                <w:color w:val="auto"/>
              </w:rPr>
            </w:pPr>
          </w:p>
        </w:tc>
      </w:tr>
      <w:tr>
        <w:trPr>
          <w:trHeight w:val="34"/>
        </w:trPr>
        <w:tc>
          <w:tcPr>
            <w:tcW w:w="17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17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178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healthcare industry. All of these partnerships reside within LCD. The decrease in income in 2015 was primarily due to liquidation of the Company's interest in one of the partnerships effective June 30, 2015.</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decrease in income in 2014 compared to 2013 is primarily the result of a decline in profitability of one of the Company's joint venture partnerships due to a challenging business climate in its market.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jc w:val="center"/>
              <w:ind w:right="3800"/>
              <w:spacing w:after="0"/>
              <w:rPr>
                <w:sz w:val="20"/>
                <w:szCs w:val="20"/>
                <w:color w:val="auto"/>
              </w:rPr>
            </w:pPr>
            <w:r>
              <w:rPr>
                <w:rFonts w:ascii="Arial" w:cs="Arial" w:eastAsia="Arial" w:hAnsi="Arial"/>
                <w:sz w:val="18"/>
                <w:szCs w:val="18"/>
                <w:b w:val="1"/>
                <w:bCs w:val="1"/>
                <w:color w:val="auto"/>
                <w:w w:val="91"/>
              </w:rPr>
              <w:t>Other, net</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6"/>
          </w:tcPr>
          <w:p>
            <w:pPr>
              <w:jc w:val="center"/>
              <w:ind w:left="1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2014</w:t>
            </w:r>
          </w:p>
        </w:tc>
      </w:tr>
      <w:tr>
        <w:trPr>
          <w:trHeight w:val="34"/>
        </w:trPr>
        <w:tc>
          <w:tcPr>
            <w:tcW w:w="7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jc w:val="center"/>
              <w:ind w:right="3800"/>
              <w:spacing w:after="0"/>
              <w:rPr>
                <w:sz w:val="20"/>
                <w:szCs w:val="20"/>
                <w:color w:val="auto"/>
              </w:rPr>
            </w:pPr>
            <w:r>
              <w:rPr>
                <w:rFonts w:ascii="Arial" w:cs="Arial" w:eastAsia="Arial" w:hAnsi="Arial"/>
                <w:sz w:val="18"/>
                <w:szCs w:val="18"/>
                <w:color w:val="auto"/>
                <w:w w:val="87"/>
              </w:rPr>
              <w:t>Other, net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r>
      <w:tr>
        <w:trPr>
          <w:trHeight w:val="27"/>
        </w:trPr>
        <w:tc>
          <w:tcPr>
            <w:tcW w:w="78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Other, net represents the Company's gain on the sale of its investment in an equity security, partially offset by the impairment of other investments. The decrease in other, net was due to the dissolution of one of the Company's equity investments in 2015 as compared to a gain on the sale of investment of an equity investment in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16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340.2</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income before tax</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2015 was unfavorably impacted by one-time restructuring and acquisition items, recording of additional uncertain tax reserves, and a decrease in the benefit recorded from releasing uncertain tax reserves. The 2015 rate was favorably impacted by CDD foreign earnings taxed at rates lower than the U.S. statutory rate.</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effective rate for 2014 was unfavorably impacted by the recording of a full valuation allowance for the write-down of two of the Company's investments.</w:t>
      </w:r>
    </w:p>
    <w:p>
      <w:pPr>
        <w:spacing w:after="0" w:line="170"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The effective rate for 2013 was favorably impacted by the release of a capital loss valuation allowance and recording two years of a R&amp;D tax credit. The American Taxpayer Relief Act of 2012 was enacted in early 2013 and reinstated the R&amp;D tax credit for 2012 and extended the credit for calendar year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(Debt) to the Company's Consolidated Financial Statements.</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In summary the Company's cash flows were as follows: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Arial" w:cs="Arial" w:eastAsia="Arial" w:hAnsi="Arial"/>
                <w:sz w:val="18"/>
                <w:szCs w:val="18"/>
                <w:color w:val="auto"/>
              </w:rPr>
              <w:t>For the Year Ended December 31,</w:t>
            </w:r>
          </w:p>
        </w:tc>
        <w:tc>
          <w:tcPr>
            <w:tcW w:w="800" w:type="dxa"/>
            <w:vAlign w:val="bottom"/>
          </w:tcPr>
          <w:p>
            <w:pPr>
              <w:spacing w:after="0"/>
              <w:rPr>
                <w:sz w:val="24"/>
                <w:szCs w:val="24"/>
                <w:color w:val="auto"/>
              </w:rPr>
            </w:pPr>
          </w:p>
        </w:tc>
      </w:tr>
      <w:tr>
        <w:trPr>
          <w:trHeight w:val="270"/>
        </w:trPr>
        <w:tc>
          <w:tcPr>
            <w:tcW w:w="36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r>
      <w:tr>
        <w:trPr>
          <w:trHeight w:val="34"/>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36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(359.6)</w:t>
            </w:r>
          </w:p>
        </w:tc>
      </w:tr>
      <w:tr>
        <w:trPr>
          <w:trHeight w:val="27"/>
        </w:trPr>
        <w:tc>
          <w:tcPr>
            <w:tcW w:w="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r>
      <w:tr>
        <w:trPr>
          <w:trHeight w:val="243"/>
        </w:trPr>
        <w:tc>
          <w:tcPr>
            <w:tcW w:w="36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Effect of exchange rate on changes in cash and cash equivalents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Cash and cash equivalents at December 31, 2015, 2014 and 2013 totaled $716.4, $580.0, and $404.0, respectively. Cash and cash equivalents consist of highly liquid instruments, such as commercial paper, time deposits and other money market investments, substantially all of which have original maturities of three months or 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provided by operating activities for the year ended December 31, 2015 was $982.4 compared to $739.0 for the year ended December 31, 2014. The increase in cash provided by operations was due primarily to additional cash generated by CDD operations following the Acquisition as well as improved working capital. While there were lower net earnings due to the Acquisition, this included a number of one-time non-cash charges. The Company’s earnings were impacted by restructuring and special items of $113.9 during 2015, compared to $17.8 during the same period in 2014. During the first quarter of 2015, the Company's operating cash flows were reduced by $153.5 of cash payments in connection with the Acquisition.</w:t>
      </w:r>
    </w:p>
    <w:p>
      <w:pPr>
        <w:spacing w:after="0" w:line="17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Net cash provided by operating activities for the year ended December 31, 2014 was $739.0 compared to $818.7 for the year ended December 31, 2013. The decrease in cash flows from operating activities for the year ended December 31, 2014, as compared to the prior year, was primarily attributable to $62.8 lower net earnings. The Company’s lower net earnings were driven by a 2% decline in its operating margins due to changes in payer and test mix as well as increased acquisition and consulting costs. The Company’s cash collections improved by $36.4 compared to the prior year, representing improvements in collections efforts on the delays and denials of payments the Company experienced in 2013 as a result of new molecular pathology codes and government payment reductions. However, this improvement was overshadowed by an $82.0 million increase in the use of cash from accounts payable disbursements. During 2014, the Company’s interest payments increased $20.6 compared to 2013, reflecting the timing of interest payments on the $700.0 in new senior notes issued in November 2013. This was partially offset by a $17.4 decrease in net taxes paid during the year compared to 2013. In addition, the net impact of changes in noncash adjustments, primarily related to deferred taxes, depreciation and amortization, stock compensation and gain/loss on sale of assets contributed to the $79.7 decrease in operating cash flows for 2014 as compared to the prior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cash used in investing activities for the year ended December 31, 2015 was $3,994.9 as compared to $350.1 for the year ended December 31, 2014. The $3,644.8 increase in cash used in investing activities was primarily due to net cash paid for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Acquisition of $3,607.4, ($4,388.2 cash paid, net of cash acquired of $780.8). Capital expenditures were $255.8 and $203.5 for the year ended December 31, 2015 and 2014, respectively. The Company expects capital expenditures of approximately 3.0% of revenue in 2016.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9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Net cash used in investing activities for the year ended December 31, 2014 was $350.1 as compared to $359.6 for the year ended December 31, 2013. The $9.5 decrease in cash used in investing activities for the year ended December 31, 2014, as compared to the prior year, was primarily the result of the $31.6 proceeds received from the sale of one of the company’s equity investments offset by cash outflows of $20.2 for additional equity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Net cash provided by financing activities for the year ended December 31, 2015 was $3,184.6 compared to $200.6 net cash used in financing activities for the year ended December 31, 2014. The $3,385.2 increase in the cash provided by financing activities for 2015, as compared to the prior year, was primarily a result of $4,360.0 of financing proceeds for the Acquisition offset by repayments and debt issue costs of $781.7. The Company also repaid $500.0 of senior notes (including $250.0 of Covance Inc. senior notes) in 2015. The remainder of the period-over-period increase is primarily due to the suspension of share repurchases following the announcement of the Acquisition in the fourth quarter of 2014, compared to $269.0 of share repurchases for 2014.</w:t>
      </w:r>
    </w:p>
    <w:p>
      <w:pPr>
        <w:spacing w:after="0" w:line="6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its financing of the Acquisition, the Company entered into a $1,000.0 term loan and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term loan credit facility will mature five years after the closing date of the Acquisition and may be prepaid without penalty. The term loan balance at December 31, 2015 was $715.0.</w:t>
      </w:r>
    </w:p>
    <w:p>
      <w:pPr>
        <w:spacing w:after="0" w:line="6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$0.0 outstanding on the Company's revolving credit facility at December 31, 2015 and 2014.</w:t>
      </w:r>
    </w:p>
    <w:p>
      <w:pPr>
        <w:spacing w:after="0" w:line="20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into under the terms set forth in the bridge facility commitment letter for the $400.0 60-day cash bridge tranche. The 60-day cash bridge term loan credit facility was advanced in full on February 19, 2015, the date of the Company’s completion of the Acquisition. The 60-day cash bridge term loan credit facility was repaid in March 2015.</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term loan credit facility and the new revolving credit facility,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1.00, calculated by excluding the $2,900.0 Acquisition Notes. From and after the Acquisition Date, the leverage ratio must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under the credit facilities at December 31, 2015. As of December 31, 2015, the ratio of total debt to consolidated EBITDA was 3.6 to 1.0.</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2015, the effective interest rate on the revolving credit facility was 1.5% and the effective interest rate on the term loan was 1.7%.</w:t>
      </w:r>
    </w:p>
    <w:p>
      <w:pPr>
        <w:spacing w:after="0" w:line="24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cash used for financing activities for the year ended December 31, 2014 was $200.6 compared to $518.3 for the year ended December 31, 2013. The $317.7 decrease in the cash used for financing activities for the year ended December 31, 2014, as compared to the prior year, was primarily a result of a $746.6 decrease in repurchases of common stock partially offset by a net increase of $328.5 in debt financing in 2013.</w:t>
      </w:r>
    </w:p>
    <w:p>
      <w:pPr>
        <w:spacing w:after="0" w:line="166"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As of December 31, 2015, the Company provided letters of credit aggregating $45.4, primarily in connection with certain insurance programs. Letters of credit provided by the Company are issued under the Company's revolving credit facility and are renewed annually, around mid-year.</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of December 31, 2015,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consolidated EBITDA of 2.5 to 1.0. However, the Company will continue to evaluate all opportunities for strategic deployment of capital in light of market conditions.</w:t>
      </w:r>
    </w:p>
    <w:p>
      <w:pPr>
        <w:spacing w:after="0" w:line="18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had a $36.9 and $24.9 reserve for unrecognized income tax benefits, including interest and penalties as of December 31, 2015 and December 31, 2014, respectively. The Acquisition accounted for substantially all of the increase. Substantially all of these tax reserves are classified in other long-term liabilities in the Company's Consolidated Balance Sheets at December 31, 2015 and December 31, 2014.</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11, 2015, the Company announced that for the period of September 12, 2015 to March 11, 2016, the zero-coupon subordinated notes will accrue contingent cash interest at a rate of no less than 0.125% of the average market price of a zero-coupon subordinated note for the five trading days ended September 9, 2015, in addition to the continued accrual of the original issue discount.</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4, 2016, the Company announced that its zero-coupon subordinated notes may be converted into cash and common stock at the conversion rate of 13.4108 per $1,000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January 1, 2016, through the close of business on the last business day of the calendar quarter, which is 5:00 p.m., New York City time, on Thursday, March 31, 2016. If notices of conversion are received, the Company plans to settle the cash portion of the conversion obligation with cash on hand and/or borrowings under the new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S&amp;P’s contribute to its ability to access capital markets.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00" w:type="dxa"/>
            <w:vAlign w:val="bottom"/>
            <w:gridSpan w:val="6"/>
          </w:tcPr>
          <w:p>
            <w:pPr>
              <w:jc w:val="right"/>
              <w:ind w:right="30"/>
              <w:spacing w:after="0"/>
              <w:rPr>
                <w:sz w:val="20"/>
                <w:szCs w:val="20"/>
                <w:color w:val="auto"/>
              </w:rPr>
            </w:pPr>
            <w:r>
              <w:rPr>
                <w:rFonts w:ascii="Arial" w:cs="Arial" w:eastAsia="Arial" w:hAnsi="Arial"/>
                <w:sz w:val="18"/>
                <w:szCs w:val="18"/>
                <w:color w:val="auto"/>
              </w:rPr>
              <w:t>Payments Due by Period</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8"/>
              </w:rPr>
              <w:t>2021 and</w:t>
            </w:r>
          </w:p>
        </w:tc>
      </w:tr>
      <w:tr>
        <w:trPr>
          <w:trHeight w:val="270"/>
        </w:trPr>
        <w:tc>
          <w:tcPr>
            <w:tcW w:w="4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5"/>
              </w:rPr>
              <w:t>thereafter</w:t>
            </w:r>
          </w:p>
        </w:tc>
      </w:tr>
      <w:tr>
        <w:trPr>
          <w:trHeight w:val="34"/>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future licensing payments (a)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Minimum royalty payments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Scheduled interest payments on Senior Notes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2,148.2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 on Term Loan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other than revolving credit facility</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3,200.0</w:t>
            </w: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 (b) and (c)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8,165.3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4,569.3</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when specified revenue milestones are met.</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16 to Consolidated Financial Statements.” Benefits under the Company's postretirement medical plan are made when claims are submitted for payment, the timing of which is not practicable to estimate.</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does not include the Company’s reserves for unrecognized tax benefits. The Company had a $36.9 and $24.9 reserve for unrecognized tax benefits, including interest and penalties, at December 31, 2015 and 2014, respectively, which is included in “Note 13 to Consolidated Financial Statements.” Substantially all of these tax reserves are classified in other long-term liabilities in the Company’s Consolidated Balance Sheets at December 31,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December 31, 2015, the Company provided letters of credit aggregating approximately $45.4, primarily in connection with certain insurance programs. Letters of credit provided by the Company are secured by the new Company’s Revolving Credit Facility and are renewed annually, around mid-year.</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$14.9 and $17.7 at December 31, 2015 and 2014, respectively, which have been classified as mezzanine equity in the Company's consolidated balance sheet.</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Based on current and projected levels of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April 2014, the FASB issued a new accounting standard on discontinued operations that significantly changed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effective beginning in 2015 and will apply it prospectively to all new disposals of components and new classifications as held for sale. The adoption of this standard did not have a material impact on the consolidated financial statements.</w:t>
      </w:r>
    </w:p>
    <w:p>
      <w:pPr>
        <w:spacing w:after="0" w:line="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associated debt liability. This standard became effective for the Company beginning January 1, 2016. The new guidance applies on a retrospective basis.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2015, the FASB issued a new accounting standard allowing entities to exclude investments measured at net asset value per share under the existing practical expedient from the fair value hierarchy. In addition, when the net asset value practical expedient is not applied to eligible investments, certain other disclosures are no longer required. The standard became effective for the Company beginning January 1, 2016. The adoption of this standard is not expected to have a material impact on the consolidated financial statements.</w:t>
      </w:r>
    </w:p>
    <w:p>
      <w:pPr>
        <w:spacing w:after="0" w:line="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July 2015, the FASB issued a new accounting standard that requires an entity to measure inventory, except inventory that is measured using last-in, first-out (LIFO) or the retail inventory method, at the lower of cost and net realizable value. Net realizable value is the estimated selling price in the ordinary course of business, less reasonably predictable costs of completion, disposal, and transportation. The standard became effective for the Company beginning January 1, 2016. The adoption of this standard is not expected to have a material impact on the consolidated financial statements.</w:t>
      </w:r>
    </w:p>
    <w:p>
      <w:pPr>
        <w:spacing w:after="0" w:line="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FASB issued a new accounting standard that eliminates the requirement to restate prior period financial statements for measurement period adjustments. The standard requires that the cumulative impact of a measurement period adjustment, including the impact on prior periods, be recognized in the reporting period in which the adjustment is identified. The standard became effective for the Company beginning January 1, 2016 and applies prospectively to measurement period adjustments that occur after the effective date.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the deferred tax liabilities and assets to be classified as noncurrent on the consolidated balance sheet. The standard will be effective for the Company beginning January 1, 2017, with early adoption permitted. The adoption of this standard is not expected to have a material impact on the consolidated financial statements.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instruments from the first entity or to exchange other financial instruments on potentially favorable terms with the first entity. The standard will be effective for the Company beginning January 1, 2018, with early adoption permitted. The Company is evaluating the impact that this new guidance will have on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19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 and allowance for doubtful accounts;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Pension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Accruals for self insurance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Allowance for Doubtful Accounts</w:t>
      </w:r>
    </w:p>
    <w:p>
      <w:pPr>
        <w:spacing w:after="0" w:line="225"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LCD recognizes revenue for services rendered when the testing process is complete and test results are reported to the ordering physician. The sales are generally billed to three types of payers – clients, patients and third parties such as MCOs, Medicare and Medicaid. For clients, sales are recorded on a fee-for-service basis at the Company’s client list price, less any negotiated discount. Patient sales are recorded at the Company’s patient fee schedule, net of any discounts negotiated with physicians on behalf of their patients, or fees made available through charity care or an uninsured patient program. LCD bills third-party payers in two ways: fee-for-service and capitated agreements. Fee-for-service third-party payers are billed at the Company's patient fee schedule amount, and third-party revenue is recorded net of contractual discounts. These discounts are recorded at the transaction level at the time of sale based on a fee schedule that is maintained for each third-party payer. The majority of the Company’s third-party sales are recorded using an actual or contracted fee schedule at the time of sale. For the remaining third-party sales, estimated fee schedules are maintained for each payer. Adjustments to the estimated payment amounts are recorded at the time of final collection and settlement of each transaction as an adjustment to revenue. These adjustments are not material to the Company’s results of operations in any period presented. The Company periodically adjusts these estimated fee schedules based upon historical payment trends. Under capitated agreements with MCOs, the Company recognizes revenue based on a negotiated monthly contractual rate for each member of the managed care plan regardless of the number or cost of services performed.</w:t>
      </w:r>
    </w:p>
    <w:p>
      <w:pPr>
        <w:spacing w:after="0" w:line="16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CDD also has committed minimum volume arrangements with certain clients.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1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early development services, include among others, the number of slides read, or specimens prepared for preclinical laboratory services, or number of dosings or number of volunteers enrolled for clinical pharmacology. Examples of 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175"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17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171"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certain out-of-pocket costs, for which it is reimbursed at cost, without mark-up or profit. Investigator fees are not reflected in net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17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LCD has a formal process to estimate and review the collectibility of its receivables based on the period of time they have been outstanding. Bad debt expense is recorded within selling, general and administrative expenses as a percentage of sales considered necessary to maintain the allowance for doubtful accounts at an appropriate level. LCD’s process for determining the appropriate level of the allowance for doubtful accounts involves judgment and considers such factors as the age of the underlying receivables, historical and projected collection experience, and other external factors that could affect the collectibility of its receivables. Accounts are written off against the allowance for doubtful accounts based on LCD’s write-off policy (e.g.</w:t>
      </w:r>
      <w:r>
        <w:rPr>
          <w:rFonts w:ascii="Arial" w:cs="Arial" w:eastAsia="Arial" w:hAnsi="Arial"/>
          <w:sz w:val="18"/>
          <w:szCs w:val="18"/>
          <w:i w:val="1"/>
          <w:iCs w:val="1"/>
          <w:color w:val="auto"/>
        </w:rPr>
        <w:t>,</w:t>
      </w:r>
      <w:r>
        <w:rPr>
          <w:rFonts w:ascii="Arial" w:cs="Arial" w:eastAsia="Arial" w:hAnsi="Arial"/>
          <w:sz w:val="18"/>
          <w:szCs w:val="18"/>
          <w:color w:val="auto"/>
        </w:rPr>
        <w:t xml:space="preserve"> when they are deemed to be uncollectible). In the determination of the appropriate level of the allowance, accounts are progressively reserved based on the historical timing of cash collections relative to their respective aging categories within LCD’s receivables. These collection and reserve processes, along with the close monitoring of the billing process, help reduce the risks of material revisions to reserve estimates resulting from adverse changes in collection or reimbursement experience.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the percentage of LCD’s net accounts receivable outstanding by aging category at December 31, 2015 and 2014:</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Days Outstanding</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34"/>
        </w:trPr>
        <w:tc>
          <w:tcPr>
            <w:tcW w:w="4360" w:type="dxa"/>
            <w:vAlign w:val="bottom"/>
            <w:tcBorders>
              <w:bottom w:val="single" w:sz="8" w:color="CCEEFF"/>
            </w:tcBorders>
            <w:gridSpan w:val="2"/>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 – 30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48.4%</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31</w:t>
            </w:r>
          </w:p>
        </w:tc>
        <w:tc>
          <w:tcPr>
            <w:tcW w:w="2260" w:type="dxa"/>
            <w:vAlign w:val="bottom"/>
          </w:tcPr>
          <w:p>
            <w:pPr>
              <w:ind w:left="40"/>
              <w:spacing w:after="0"/>
              <w:rPr>
                <w:sz w:val="20"/>
                <w:szCs w:val="20"/>
                <w:color w:val="auto"/>
              </w:rPr>
            </w:pPr>
            <w:r>
              <w:rPr>
                <w:rFonts w:ascii="Arial" w:cs="Arial" w:eastAsia="Arial" w:hAnsi="Arial"/>
                <w:sz w:val="18"/>
                <w:szCs w:val="18"/>
                <w:color w:val="auto"/>
              </w:rPr>
              <w:t>– 60</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18.6%</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11.9%</w:t>
            </w:r>
          </w:p>
        </w:tc>
      </w:tr>
      <w:tr>
        <w:trPr>
          <w:trHeight w:val="243"/>
        </w:trPr>
        <w:tc>
          <w:tcPr>
            <w:tcW w:w="4360" w:type="dxa"/>
            <w:vAlign w:val="bottom"/>
            <w:gridSpan w:val="2"/>
          </w:tcPr>
          <w:p>
            <w:pPr>
              <w:jc w:val="center"/>
              <w:spacing w:after="0"/>
              <w:rPr>
                <w:sz w:val="20"/>
                <w:szCs w:val="20"/>
                <w:color w:val="auto"/>
              </w:rPr>
            </w:pPr>
            <w:r>
              <w:rPr>
                <w:rFonts w:ascii="Arial" w:cs="Arial" w:eastAsia="Arial" w:hAnsi="Arial"/>
                <w:sz w:val="18"/>
                <w:szCs w:val="18"/>
                <w:color w:val="auto"/>
                <w:w w:val="91"/>
              </w:rPr>
              <w:t>91 – 120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7.4%</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7.1%</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150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151</w:t>
            </w:r>
          </w:p>
        </w:tc>
        <w:tc>
          <w:tcPr>
            <w:tcW w:w="2260" w:type="dxa"/>
            <w:vAlign w:val="bottom"/>
          </w:tcPr>
          <w:p>
            <w:pPr>
              <w:ind w:left="40"/>
              <w:spacing w:after="0"/>
              <w:rPr>
                <w:sz w:val="20"/>
                <w:szCs w:val="20"/>
                <w:color w:val="auto"/>
              </w:rPr>
            </w:pPr>
            <w:r>
              <w:rPr>
                <w:rFonts w:ascii="Arial" w:cs="Arial" w:eastAsia="Arial" w:hAnsi="Arial"/>
                <w:sz w:val="18"/>
                <w:szCs w:val="18"/>
                <w:color w:val="auto"/>
              </w:rPr>
              <w:t>– 180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4.1%</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3.6%</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270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271</w:t>
            </w:r>
          </w:p>
        </w:tc>
        <w:tc>
          <w:tcPr>
            <w:tcW w:w="2260" w:type="dxa"/>
            <w:vAlign w:val="bottom"/>
          </w:tcPr>
          <w:p>
            <w:pPr>
              <w:ind w:left="40"/>
              <w:spacing w:after="0"/>
              <w:rPr>
                <w:sz w:val="20"/>
                <w:szCs w:val="20"/>
                <w:color w:val="auto"/>
              </w:rPr>
            </w:pPr>
            <w:r>
              <w:rPr>
                <w:rFonts w:ascii="Arial" w:cs="Arial" w:eastAsia="Arial" w:hAnsi="Arial"/>
                <w:sz w:val="18"/>
                <w:szCs w:val="18"/>
                <w:color w:val="auto"/>
              </w:rPr>
              <w:t>– 360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0.7%</w:t>
            </w:r>
          </w:p>
        </w:tc>
      </w:tr>
      <w:tr>
        <w:trPr>
          <w:trHeight w:val="27"/>
        </w:trPr>
        <w:tc>
          <w:tcPr>
            <w:tcW w:w="436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Over 360</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r>
      <w:tr>
        <w:trPr>
          <w:trHeight w:val="27"/>
        </w:trPr>
        <w:tc>
          <w:tcPr>
            <w:tcW w:w="2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above table excludes the percentage of net accounts receivable outstanding by aging category for certain foreign operations, BeaconLBS, and the nutritional chemistry and food safety business. Combined these net accounts receivable balances comprise less than 6.7% of LCD's total net accounts receivable balances. The Company believes that including the agings of the accounts receivables for these would not be representative of the majority of accounts receivable by aging category for LCD. The majority of the accounts receivables for the foreign operations, BeaconLBS, and the nutritional chemistry and food safety business are generally paid within 30 to 60 days of billing.</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CDD endeavors to assess and monitor the creditworthiness of its customers to which it grants credit terms in the ordinary course of business. CDD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 The allowance for doubtful accounts amounted to $3.4 at December 31,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has a defined benefit retirement plan (Company Plan) and a non-qualified supplemental retirement plan (PEP). In October 2009, the Company received approval from its Board of Directors to freeze any additional service-based credits for any years of service after December 31, 2009 on the Company Plan and the PEP. Both plans have been closed to new participants. Employees participating in the Company Plan and the PEP no longer earn service-based credits, but continue to earn interest credits. In addition, effective January 1, 2010, all employees eligible for the defined contribution retirement plan (401K Plan) receive a minimum 3% non-elective contribution (NEC) concurrent with each payroll period. The 401K Plan also permits discretionary contributions by the Company of up to 1% and up to 3% of pay for eligible employees, based on service.</w:t>
      </w:r>
    </w:p>
    <w:p>
      <w:pPr>
        <w:spacing w:after="0" w:line="17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Plan covers substantially all employees hired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PEP covers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17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In addition, as a result of the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The Company also sponsors two defined benefit pension plans for the benefit of its employees at two U.K. subsidiaries (U.K. Plans) and one defined benefit pension plan for the benefit of its employees at a German subsidiary (German Plan), all of which are legacy plans of previously acquired companies. Benefit amounts for all three plans are based upon years of service and compensation. The German Plan is unfunded while the U.K. Plans are funded. The Company’s funding policy for the U.K. Plans has been to contribute annually amounts at least equal to the local statutory funding requirements.</w:t>
      </w:r>
    </w:p>
    <w:p>
      <w:pPr>
        <w:spacing w:after="0" w:line="17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 benefit retirement plans were a 4.0% discount rate and a 7.0% expected long-term rate of return on plan assets for the Company Plan and the PEP, a 3.8% discount rate for the SERP, a 2.5% discount rate and a 2.0% expected salary increase for the German plan, a 3.8% discount rate and a 3.6% expected salary increase for the U.K. Plans as of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that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2015 retirement plan expense of $1.8 for the Company Plan and PEP. A one percentage point decrease or increase in the discount rate would have resulted in a respective increase or decrease in 2015 retirement plan expense of $1.0 for the U.K.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2015 pension expense of $2.6 for the Company Plan and the SERP. A one percentage point increase or decrease in the expected return on plan assets would have resulted in a corresponding change in 2015 pension expense of $2.0 for the U.K. Plans.</w:t>
      </w:r>
    </w:p>
    <w:p>
      <w:pPr>
        <w:spacing w:after="0" w:line="19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Net pension cost for 2015 was $12.0 as compared with $8.1 in 2014 and $11.0 in 2013. The increase in pension expense was due to increases in the amount of net amortization and deferral as a result of lower discount rates. The decrease in pension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was due to decreases in the amount of net amortization and deferral as a result of higher discount rates. Projected pension expense for the Company Plan and the PEP is expected to increase to $12.9 in 2016 as a result of a lower assumed discount rate and changes in participant mortality tables. Projected pension expense for the SERP is expected to increase to $0.4 in 2016 as a result of a one-time curtailment gain in 2015 offset by an increase in the assumed discount rate. Projected pension expense for the Germany Plan and the United Kingdom Plans is expected to increase to $2.4 in 2016 as a result of a lower assumed discount rate and changes in participant mortality tables.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Further information on the Company’s defined benefit retirement plan is provided in Note 16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Self-Insurance Reserves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181" w:lineRule="exact"/>
        <w:rPr>
          <w:sz w:val="20"/>
          <w:szCs w:val="20"/>
          <w:color w:val="auto"/>
        </w:rPr>
      </w:pPr>
    </w:p>
    <w:p>
      <w:pPr>
        <w:jc w:val="both"/>
        <w:ind w:firstLine="238"/>
        <w:spacing w:after="0" w:line="302"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discounted and is based on actuarial assumptions and factors for known and incurred but not reported claims, including the frequency and payment trends of historical claims.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actual trends differ from these estimates, the financial results could be impacted. Historical trends have not differed materially from these estimates.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Following the Acquisition, the Company changed the timing of its annual impairment testing to the beginning of the fourth quarter. In accordance with the FASB updates to their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first step of the two-step assessment. Similarly, a company can proceed directly to a quantitative assessment in the case of impairment testing for indefinite-lived intangible assets as well.</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Step One of the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value of the reporting unit exceeds the carrying value, the goodwill is not impaired and no further review is required. However, if the estimated fair value is less than the carrying value, the Company performs the second step of the goodwill impairment test to measure the amount of the impairment, if any. The second step involves a hypothetical allocation of the estimated fair value of the reporting unit to its tangible and intangible assets (excluding goodwill) and liabilities as if the reporting unit were newly acquired, which results in an implied fair value of the goodwill. The amount of the impairment charge is the excess of the recorded goodwill, if any, over the implied fair value of the goodwill.</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88"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concluded that no triggering events occurred during 2015 related to goodwill and indefinite-lived intangible assets. As such, management performed its annual goodwill and intangible asset impairment testing as of the beginning of the fourth quarter of 2015. The Company elected to perform the qualitative assessment for goodwill and intangible assets, with the exception of the indefinite-lived Canadian licenses, for all reporting units.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2015 will prove to be accurate predictions of the future, if, for example, (i) the businesses do not perform as projected, (ii) overall economic conditions in 2016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A future impairment charge for goodwill or intangible assets could have a material effect on the Company's consolidated financial position and results of operations.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made in this report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Item 1A Risk Factors, and in the Company’s other public filings:</w:t>
      </w:r>
    </w:p>
    <w:p>
      <w:pPr>
        <w:spacing w:after="0" w:line="297" w:lineRule="exact"/>
        <w:rPr>
          <w:sz w:val="20"/>
          <w:szCs w:val="20"/>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U.S., state, local and third party payer regulations or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clinical laboratory testing;</w:t>
      </w:r>
    </w:p>
    <w:p>
      <w:pPr>
        <w:spacing w:after="0" w:line="7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significant monetary damages, fines, penalties, assessments, refunds, repayments, and/or exclusion from the Medicare and Medicaid programs, among other adverse consequences, resulting from interpretations of, or future changes in, laws and regulations, including laws and regulations of Medicare, Medicaid, the U.S. False Claims Act, interpretations of such laws and regulations by U.S. or state government agencies or investigations, audits, regulatory examinations, information requests and other inquiries by state or U.S. government agencies;</w:t>
      </w:r>
    </w:p>
    <w:p>
      <w:pPr>
        <w:spacing w:after="0" w:line="63" w:lineRule="exact"/>
        <w:rPr>
          <w:rFonts w:ascii="Arial" w:cs="Arial" w:eastAsia="Arial" w:hAnsi="Arial"/>
          <w:sz w:val="17"/>
          <w:szCs w:val="17"/>
          <w:color w:val="auto"/>
        </w:rPr>
      </w:pPr>
    </w:p>
    <w:p>
      <w:pPr>
        <w:jc w:val="both"/>
        <w:ind w:left="660" w:hanging="652"/>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fines, penalties, costs and/or damage to the Company’s reputation arising from the failure to comply with U.S. and international privacy and security laws and regulations, including the Health Insurance Portability and Accountability Act of 1996, Health Information Technology for Economic and Clinical Health Act, U.S. state laws and regulations, and laws and regulations of the European Union and other countries;</w:t>
      </w:r>
    </w:p>
    <w:p>
      <w:pPr>
        <w:spacing w:after="0" w:line="3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U.S. Occupational Safety and Health Administration requirements and the U.S. Needlestick Safety and Prevention Act, or similar laws and regulations of U.S., state, local or international agencies;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injunctions, or criminal prosecution arising from failure to maintain compliance with current good manufacturing practice (cGMP) regulations and other applicable requirements of various regulatory agencies;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FDA, the U.S. Department of Agriculture or other U.S., state, local or international agencies, affecting the approval, availability of, and the selling and marketing of diagnostic tests or drugs or the conduct of drug development trials;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R&amp;D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payer mix, including an increase in capitated reimbursement mechanisms or the impact of a shift to consumer-driven health plans and adverse changes in payer reimbursement or payer coverage policies related to specific testing procedures or categories of testing;</w:t>
      </w:r>
    </w:p>
    <w:p>
      <w:pPr>
        <w:spacing w:after="0" w:line="3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retain or attract MCO business as a result of changes in business models, including new risk based or network approaches, or other changes in strategy or business models by MCOs;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obtain and retain new customers or a reduction in tests ordered, specimens submitted or services requested by existing customers;</w:t>
      </w:r>
    </w:p>
    <w:p>
      <w:pPr>
        <w:spacing w:after="0" w:line="128"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of MCOs, pharmaceutical companies, health systems, physicians and other customers affecting pricing and sales;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of the Company to meet expectations regarding accounting and tax treatments related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harm from acts of animal rights extremists or potential liability arising from animal research activities;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(including hurricanes), fires and/or other natural disasters,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in the Company's information technology systems, including with respect to testing turnaround time and billing processes, or the failure to maintain the security of business information or systems or to protect against cyber security attacks, or delays or failures in the development and implementation of the Company’s LabCorp Beacon platform,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8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the failure of the Company, third party payers or physicians to comply with the ICD-10-CM Code Set, which was effective October 1, 2015, or arising from unfavorable changes in third party payer policies in connection with the implementation of the ICD-10-CM Code Set;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S&amp;P's and/or Moody's;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certain billing information not usually provided to the Company by physicians, resulting in increased costs and complexity, a temporary disruption in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and laws and regulations that differ from those of the U.S., and economic, political, legal and other operational risks associated with foreign markets; and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Project LaunchPad, LCD's comprehensive, enterprise-wide business process improvement initiative.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Approximately 17.7% of the Company's net revenues for year ended December 31, 2015 and approximately 6.8% of those for year ended 2014 were denominated in currencies other than the U.S. Dollar. The Company's financial statements are reported in U.S. Dollars and, accordingly, fluctuations in exchange rates will affect the translation of revenues and expenses denominated in foreign currencies into U.S. Dollars for purposes of reporting the Company's consolidated financial results. In 2015, the most significant currency exchange rate exposures were to the Canadian Dollar, Swiss Franc, Euro and British Pound. In 2014, the most significant currency exposure was to the Canadian Dollar. Excluding the impacts from any outstanding or future hedging transactions, a hypothetical change of 10% in average exchange rates used to translate all foreign currencies to U.S. Dollars would have impacted income before income taxes for 2015 by approximately $9.6. Gross accumulated currency translation adjustments recorded as a separate component of shareholders’ equity were $370.7 and $89.5 at December 31, 2015 and 2014, respectively. The Company does not have significant operations in countries in which the economy is considered to be highly-inflationary.</w:t>
      </w:r>
    </w:p>
    <w:p>
      <w:pPr>
        <w:spacing w:after="0" w:line="18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2015, the Company had 4 open foreign exchange forward contracts relating to service contracts with various amounts maturing monthly through January 2016 with a notional value totaling approximately $93.1 million. At December 31, 2014, the Company had no open foreign exchange forward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Borrowings under the Company's term loan credit facility and revolving credit facility are subject to variable interest rates, unless fixed through interest rate swaps or other agreements. As of December 31, 2015, the Company had approximately $715.0 of unhedged variable rate debt from the term loan credit facility. As of December 31, 2014 the Company had no outstanding balance on its revolving credit facility and no term loan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w:t>
      </w:r>
    </w:p>
    <w:p>
      <w:pPr>
        <w:spacing w:after="0" w:line="18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$1.8 per year for the Company's unhedged variable rate debt.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Index on Page F-1 of the Financial Report included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19, 2015, the Company completed the Acquisition. The Company’s management has extended its oversight and monitoring processes that support internal control over financial reporting to include Covance's operations. The Company’s management is continuing to integrate the acquired operations of Covance into the Company’s overall internal control over financial reporting process. However, management has excluded Covance from its assessment of internal controls over financial reporting set forth below. There have been no other changes in the Company’s internal control over financial reporting (as defined in Exchange Act Rules 13a-15(f) and 15d-15(f)) during the fiscal year ended December 31, 2015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19"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2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2015.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2015, the Company maintained effective internal control over financial reporting. Management reviewed the results of its assessment with the Audit Committee of the Company’s Board of Directors.</w:t>
      </w:r>
    </w:p>
    <w:p>
      <w:pPr>
        <w:spacing w:after="0" w:line="1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February 19, 2015, the Company completed the acquisition of Covance Inc. As a result, management has excluded Covance Inc. from its assessment of internal control over financial reporting. Covance Inc. is a wholly-owned subsidiary whose total assets and total revenues represent 48% and 25%, respectively, of the related consolidated financial statement amounts as of and for the year ended December 31, 2015.</w:t>
      </w:r>
    </w:p>
    <w:p>
      <w:pPr>
        <w:spacing w:after="0" w:line="16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2015 as stated in its report, which is included herein immediately preceding the Company’s audited financial statements.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300" w:firstLine="243"/>
        <w:spacing w:after="0" w:line="277" w:lineRule="auto"/>
        <w:rPr>
          <w:sz w:val="20"/>
          <w:szCs w:val="20"/>
          <w:color w:val="auto"/>
        </w:rPr>
      </w:pPr>
      <w:r>
        <w:rPr>
          <w:rFonts w:ascii="Arial" w:cs="Arial" w:eastAsia="Arial" w:hAnsi="Arial"/>
          <w:sz w:val="18"/>
          <w:szCs w:val="18"/>
          <w:color w:val="auto"/>
        </w:rPr>
        <w:t>On December 18, 2015, James T. Boyle, Jr., Executive Vice President and Chief Executive Officer of LabCorp Diagnostics, announced his intention to retire no later than July 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David P. King </w:t>
      </w:r>
      <w:r>
        <w:rPr>
          <w:rFonts w:ascii="Arial" w:cs="Arial" w:eastAsia="Arial" w:hAnsi="Arial"/>
          <w:sz w:val="17"/>
          <w:szCs w:val="17"/>
          <w:color w:val="auto"/>
        </w:rPr>
        <w:t>- Mr. King (59) has served as Chairman of the Board, President, and Chief Executive Officer of the Company since May 6, 2009; prior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date he served as a director, President and Chief Executive Officer of the Company since January 1, 2007. Mr. King served as Executive Vice President and Chief Operating Officer from December 2005 to January 2007, as Executive Vice President of Strategic Planning and Corporate Development from January 2004 to December 2005 and was hired in September 2001 as Senior Vice President, General Counsel and Chief Compliance Officer. Prior to joining the Company, he was a partner with Hogan &amp; Hartson LLP (now Hogan Lovells US LLP) in Baltimore, Maryland from 1992 to 2001. Mr. King was appointed to the board of directors of Cardinal Health, Inc. in 2011 and chairs its Human Resources and Compensation Committee. He also sits on the Boards of Directors of the Seattle Science Foundation, PATH, Inc., and the American Clinical Laboratory Association, and on the Board of Trustees of Durham Academy. Mr. King has over 10 years’ experience with the Company in a variety of roles of increasing responsibility in corporate operations, strategic planning, and corporate administration. Mr. King has a deep understanding of the clinical laboratory industry, business strategy, sales and marketing and executive management of the Company and its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Kerrii B. Anderson</w:t>
      </w:r>
      <w:r>
        <w:rPr>
          <w:rFonts w:ascii="Arial" w:cs="Arial" w:eastAsia="Arial" w:hAnsi="Arial"/>
          <w:sz w:val="24"/>
          <w:szCs w:val="24"/>
          <w:color w:val="auto"/>
          <w:vertAlign w:val="superscript"/>
        </w:rPr>
        <w:t>1,4</w:t>
      </w:r>
      <w:r>
        <w:rPr>
          <w:rFonts w:ascii="Arial" w:cs="Arial" w:eastAsia="Arial" w:hAnsi="Arial"/>
          <w:sz w:val="17"/>
          <w:szCs w:val="17"/>
          <w:b w:val="1"/>
          <w:bCs w:val="1"/>
          <w:color w:val="auto"/>
        </w:rPr>
        <w:t xml:space="preserve"> </w:t>
      </w:r>
      <w:r>
        <w:rPr>
          <w:rFonts w:ascii="Arial" w:cs="Arial" w:eastAsia="Arial" w:hAnsi="Arial"/>
          <w:sz w:val="17"/>
          <w:szCs w:val="17"/>
          <w:color w:val="auto"/>
        </w:rPr>
        <w:t>- Mrs. Anderson (58) has served as a director of the Company since May 17, 2006. Ms. Anderson was Chief Executive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Wendy’s International, Inc., a restaurant operating and franchising company, from April 2006 until September 2008, when the company was merged with Triarc. Ms. Anderson served as Executive Vice President and Chief Financial Officer of Wendy’s International from 2000 to 2006. Prior to this position, she was Chief Financial Officer, Senior Vice President of M/I Schottenstein Homes, Inc. from 1987 to 2000. Ms. Anderson served as the Chairwoman of the Board of Chiquita Brands International Inc. from October 2012 until the Company was sold on January 6, 2015, and was the Chairwoman of the Nominating and Corporate Governance Committee and a Member of the Audit Committee. She is also a director and a member of the Compensation Committee and Audit Committee of Worthington Industries, Inc. Ms. Anderson serves on the financial committee of Columbus Foundation, on the Board of Trustees of Ohio Health and on the Board of Trustees for Elon University, and she chairs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for Elon. She also was a director of PF Chang’s China Bistro, Inc. from 2010 until June 2012 and Wendy’s International from 2006 until September 30, 2008. She has a strong record of leadership in operations and strategy. Ms. Anderson is also an audit committee financial expert as a result of her experience as CEO and CFO of Wendy’s International, Inc. Through her service on other public company boards, Ms. Anderson brings extensive financial, corporate governance and executive compensation experience to the Company’s Board.</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Jean-Luc Bélingard</w:t>
      </w:r>
      <w:r>
        <w:rPr>
          <w:rFonts w:ascii="Arial" w:cs="Arial" w:eastAsia="Arial" w:hAnsi="Arial"/>
          <w:sz w:val="22"/>
          <w:szCs w:val="22"/>
          <w:color w:val="auto"/>
          <w:vertAlign w:val="superscript"/>
        </w:rPr>
        <w:t>2,3</w:t>
      </w:r>
      <w:r>
        <w:rPr>
          <w:rFonts w:ascii="Arial" w:cs="Arial" w:eastAsia="Arial" w:hAnsi="Arial"/>
          <w:sz w:val="16"/>
          <w:szCs w:val="16"/>
          <w:b w:val="1"/>
          <w:bCs w:val="1"/>
          <w:color w:val="auto"/>
        </w:rPr>
        <w:t xml:space="preserve"> </w:t>
      </w:r>
      <w:r>
        <w:rPr>
          <w:rFonts w:ascii="Arial" w:cs="Arial" w:eastAsia="Arial" w:hAnsi="Arial"/>
          <w:sz w:val="16"/>
          <w:szCs w:val="16"/>
          <w:color w:val="auto"/>
        </w:rPr>
        <w:t>- Mr. Bélingard (67) has served as a director of the Company since April 28, 1995. Since 2011, Mr. Bélingard has been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bioMérieux, the worldwide leader of the IVD microbiology segment. Mr. Bélingard also served as Chief Executive Officer of bioMérieux from July 2011 to April 2014. Mr. Bélingard retired as Chairman and Chief Executive Officer of Ipsen SA, a diversified French healthcare holding company, on November 22, 2010. He had served in that position since 2001. Prior to this position, Mr. Bélingard was Chief Executive Officer from 1999 to 2001 of bioMérieux-Pierre Fabre, a diversified French healthcare holding company, where his responsibilities included the management of that company’s worldwide pharmaceutical and cosmetic business. Mr. Bélingard is also a director of Stallergenes (France). Mr. Bélingard was also a director of Celera Corporation, a former division of Applera Corporation, from May 2008 to May 2010. Mr. Bélingard served as a director and member of the Audit Committee of Nicox (France) from December 2002 to August 2010. Mr. Bélingard was a director of Applera Corporation, from 1993 to June 2008. From 1990 to 1999, Mr. Bélingard was CEO of Roche Diagnostics and a member of the Hoffman-La Roche group Executive Committee. Mr. Bélingard’s long tenure at Roche, Ipsen and bioMérieux demonstrates his valuable business, leadership and management experience, including leading a large organization with global operations. He brings a strong strategic and operational background to the Company’s Board. He also brings an important international perspective to the Board’s deliberations. Mr. Bélingard has extensive corporate governance experience through his service on other public company boards.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D. Gary Gilliland, M.D., Ph.D.</w:t>
      </w:r>
      <w:r>
        <w:rPr>
          <w:rFonts w:ascii="Arial" w:cs="Arial" w:eastAsia="Arial" w:hAnsi="Arial"/>
          <w:sz w:val="22"/>
          <w:szCs w:val="22"/>
          <w:color w:val="auto"/>
          <w:vertAlign w:val="superscript"/>
        </w:rPr>
        <w:t>1,3</w:t>
      </w:r>
      <w:r>
        <w:rPr>
          <w:rFonts w:ascii="Arial" w:cs="Arial" w:eastAsia="Arial" w:hAnsi="Arial"/>
          <w:sz w:val="16"/>
          <w:szCs w:val="16"/>
          <w:b w:val="1"/>
          <w:bCs w:val="1"/>
          <w:color w:val="auto"/>
        </w:rPr>
        <w:t xml:space="preserve"> </w:t>
      </w:r>
      <w:r>
        <w:rPr>
          <w:rFonts w:ascii="Arial" w:cs="Arial" w:eastAsia="Arial" w:hAnsi="Arial"/>
          <w:sz w:val="16"/>
          <w:szCs w:val="16"/>
          <w:color w:val="auto"/>
        </w:rPr>
        <w:t>- Dr. Gilliland (61) has served as a director of the Company since April 1, 2014. Since January 2, 2015, Dr. Gilliland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and Director of the NCI-designated Fred Hutchinson Cancer Research Center in Seattle, WA. Prior to that, he was the inaugural Vice Dean and Vice President for Precision Medicine at the University of Pennsylvania Perelman School of Medicine, where he was responsible for synthesizing research and clinical-care initiatives across all medical disciplines including cancer, heart and vascular medicine, neurosciences, genetics and pathology, in order to create a national model for the delivery of precise, personalized medicine. From 2009 until he joined Penn Medicine in October 2013, Dr. Gilliland was Senior Vice President of Merck Research Laboratories and Oncology Franchise Head. At Merck, Dr. Gilliland oversaw first-in-human studies, proof-of-concept trials, and Phase II/III registration trials, and managed all preclinical and clinical oncology licensing activities. Prior to joining Merck, Dr. Gilliland was a member of the faculty at Harvard Medical School for nearly 20 years, where he served as Professor of Medicine and a Professor of Stem Cell and Regenerative Biology. He was also an Investigator of the Howard Hughes Medical Institute from 1996 to 2009, Director of the Leukemia Program at the Dana-Farber/Harvard Cancer Center from 2002 to 2009, and Director of the Cancer Stem Cell Program of the Harvard Stem Cell Institute from 2004 to 2009. Dr. Gilliland has a Ph.D. in Microbiology from UCLA and an M.D. from UCSF. He is board-certified in Internal Medicine and had his Fellowship training in Hematology and Oncology, all at Harvard Medicine School. Dr. Gilliland’s expertise in cancer genetics and his experience working within medical communities ranging from academia to the pharmaceutical industry position him to provide a practical and balanced perspective to the Board.</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Garheng Kong, M.D.</w:t>
      </w:r>
      <w:r>
        <w:rPr>
          <w:rFonts w:ascii="Arial" w:cs="Arial" w:eastAsia="Arial" w:hAnsi="Arial"/>
          <w:sz w:val="24"/>
          <w:szCs w:val="24"/>
          <w:color w:val="auto"/>
          <w:vertAlign w:val="superscript"/>
        </w:rPr>
        <w:t>2,4</w:t>
      </w:r>
      <w:r>
        <w:rPr>
          <w:rFonts w:ascii="Arial" w:cs="Arial" w:eastAsia="Arial" w:hAnsi="Arial"/>
          <w:sz w:val="17"/>
          <w:szCs w:val="17"/>
          <w:b w:val="1"/>
          <w:bCs w:val="1"/>
          <w:color w:val="auto"/>
        </w:rPr>
        <w:t xml:space="preserve"> </w:t>
      </w:r>
      <w:r>
        <w:rPr>
          <w:rFonts w:ascii="Arial" w:cs="Arial" w:eastAsia="Arial" w:hAnsi="Arial"/>
          <w:sz w:val="17"/>
          <w:szCs w:val="17"/>
          <w:color w:val="auto"/>
        </w:rPr>
        <w:t>- Dr. Kong (40) has served as a director of the Company since December 1, 2013. Dr. Kong is the Managing Partner of Sofinnova</w:t>
      </w:r>
      <w:r>
        <w:rPr>
          <w:rFonts w:ascii="Arial" w:cs="Arial" w:eastAsia="Arial" w:hAnsi="Arial"/>
          <w:sz w:val="17"/>
          <w:szCs w:val="17"/>
          <w:b w:val="1"/>
          <w:bCs w:val="1"/>
          <w:color w:val="auto"/>
        </w:rPr>
        <w:t xml:space="preserve"> </w:t>
      </w:r>
      <w:r>
        <w:rPr>
          <w:rFonts w:ascii="Arial" w:cs="Arial" w:eastAsia="Arial" w:hAnsi="Arial"/>
          <w:sz w:val="17"/>
          <w:szCs w:val="17"/>
          <w:color w:val="auto"/>
        </w:rPr>
        <w:t>HealthQuest Capital, a healthcare focused investment firm, and was previously a general partner at Sofinnova Ventures, a position he held from 2010 to 2013. Before joining Sofinnova, Dr. Kong was a general partner from 2000 to 2010 at Intersouth Partners, a venture capital firm where he was a founding investor or board member for various life science ventures, several of which were acquired by large pharmaceutical companies. Prior to his investing career, Dr. Kong was employed by GlaxoSmithKline, McKinsey &amp; Company, and TherOx. Dr. Kong has served on the board of directors of Histogenics Corporation, a public biotechnology company where he also serves as the Chairman of the Board, since 2012. Since November 2008, Dr. Kong has been the Chairman of the Board of Cempra Pharmaceuticals, where he has been a board member since September 2006. Dr. Kong has been on the board of Alimera Sciences since October 2012 and sits on the Duke University Medical Center Board of Visitors. Dr. Kong holds an M.D., Ph.D. in Biomedical Engineering and an M.B.A. from Duke University. Dr. Kong brings to the Board knowledge and experience in both the healthcare and finance fields based on his medical background and his work in life science-related venture capital.</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Robert E. Mittelstaedt, Jr</w:t>
      </w:r>
      <w:r>
        <w:rPr>
          <w:rFonts w:ascii="Arial" w:cs="Arial" w:eastAsia="Arial" w:hAnsi="Arial"/>
          <w:sz w:val="17"/>
          <w:szCs w:val="17"/>
          <w:color w:val="auto"/>
        </w:rPr>
        <w:t>.</w:t>
      </w:r>
      <w:r>
        <w:rPr>
          <w:rFonts w:ascii="Arial" w:cs="Arial" w:eastAsia="Arial" w:hAnsi="Arial"/>
          <w:sz w:val="24"/>
          <w:szCs w:val="24"/>
          <w:color w:val="auto"/>
          <w:vertAlign w:val="superscript"/>
        </w:rPr>
        <w:t>2,4</w:t>
      </w:r>
      <w:r>
        <w:rPr>
          <w:rFonts w:ascii="Arial" w:cs="Arial" w:eastAsia="Arial" w:hAnsi="Arial"/>
          <w:sz w:val="17"/>
          <w:szCs w:val="17"/>
          <w:b w:val="1"/>
          <w:bCs w:val="1"/>
          <w:color w:val="auto"/>
        </w:rPr>
        <w:t xml:space="preserve"> </w:t>
      </w:r>
      <w:r>
        <w:rPr>
          <w:rFonts w:ascii="Arial" w:cs="Arial" w:eastAsia="Arial" w:hAnsi="Arial"/>
          <w:sz w:val="17"/>
          <w:szCs w:val="17"/>
          <w:color w:val="auto"/>
        </w:rPr>
        <w:t>- Mr. Mittelstaedt, Jr. (72) has served as a director of the Company since November 1996. Mr. Mittelstaedt is Dean Emeritus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 P. Carey School of Business at Arizona State University where he served as Dean and Professor of Management from 2004 to 2013. Prior to June 30, 2004, he was Vice Dean, Executive Education of The Wharton School, University of Pennsylvania. Mr. Mittelstaedt had served with The Wharton School since 1973, with the exception of the period from 1985 to 1989 when he founded, served as Chief Executive Officer, and subsequently sold Intellego, Inc., a company engaged in practice management, systems development, and service bureau billing operations in the medical industry. Mr. Mittelstaedt serves as a director and Compensation Committee chair of W. P. Carey, Inc. and also serves as a director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Committee chair of Innovative Solutions &amp; Support, Inc. Mr. Mittelstaedt brings to the Board experience as a recognized expert in business strategy, corporate governance and executive compensation issues. Mr. Mittelstaedt serves as the Board’s Lead Independent Director and brings a deep understanding of the role of the Board and its oversight of corporate governance and business strategy.</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Peter M. Neupert</w:t>
      </w:r>
      <w:r>
        <w:rPr>
          <w:rFonts w:ascii="Arial" w:cs="Arial" w:eastAsia="Arial" w:hAnsi="Arial"/>
          <w:sz w:val="22"/>
          <w:szCs w:val="22"/>
          <w:color w:val="auto"/>
          <w:vertAlign w:val="superscript"/>
        </w:rPr>
        <w:t>1,4</w:t>
      </w:r>
      <w:r>
        <w:rPr>
          <w:rFonts w:ascii="Arial" w:cs="Arial" w:eastAsia="Arial" w:hAnsi="Arial"/>
          <w:sz w:val="16"/>
          <w:szCs w:val="16"/>
          <w:b w:val="1"/>
          <w:bCs w:val="1"/>
          <w:color w:val="auto"/>
        </w:rPr>
        <w:t xml:space="preserve"> </w:t>
      </w:r>
      <w:r>
        <w:rPr>
          <w:rFonts w:ascii="Arial" w:cs="Arial" w:eastAsia="Arial" w:hAnsi="Arial"/>
          <w:sz w:val="16"/>
          <w:szCs w:val="16"/>
          <w:color w:val="auto"/>
        </w:rPr>
        <w:t>- Mr. Neupert (59) has served as a director of the Company since January 2013. Mr. Neupert was an Operating Partner at Health</w:t>
      </w:r>
      <w:r>
        <w:rPr>
          <w:rFonts w:ascii="Arial" w:cs="Arial" w:eastAsia="Arial" w:hAnsi="Arial"/>
          <w:sz w:val="16"/>
          <w:szCs w:val="16"/>
          <w:b w:val="1"/>
          <w:bCs w:val="1"/>
          <w:color w:val="auto"/>
        </w:rPr>
        <w:t xml:space="preserve"> </w:t>
      </w:r>
      <w:r>
        <w:rPr>
          <w:rFonts w:ascii="Arial" w:cs="Arial" w:eastAsia="Arial" w:hAnsi="Arial"/>
          <w:sz w:val="16"/>
          <w:szCs w:val="16"/>
          <w:color w:val="auto"/>
        </w:rPr>
        <w:t>Evolution Partners, a health only, middle market private equity firm, from January 2012 until June 2015. Prior to that, Mr. Neupert served as Corporate Vice President of the Microsoft Health Solutions Group from its formation in 2005 to January 2012. Mr. Neupert served on the President’s Information Technology Advisory Committee (PITAC), co-chairing the Health Information Technology subcommittee and helping to drive the “Revolutionizing Health Care Through Information Technology” report, published in June 2004. Mr. Neupert served as the founding President and Chief Executive Officer of drugstore.com from 1998 to 2001 and as Chairman of the Board of Directors through September 2004. Mr. Neupert is also a director of Clinithink Ltd, Freedom Innovations LLC, Adaptive Biotechnologies, Inc. and higi LLC. He served on the board of directors of QSI from August 2013 to January 2014. He serves as a trustee for the Fred Hutchinson Cancer Research Center and was an active member of the Institute of Medicine’s Roundtable on Value &amp; Science-Driven Healthcare from 2007-2011. Mr. Neupert brings to the Board experience as a recognized expert in health information technology and perspective on how to grow shareholder value leveraging business strategies with technology. His prior experience as a public company CEO and board member of both private and public companies brings practical insight to the Board with respect to business strategy, corporate governance and emerging trends in healthcare. Mr. Neupert’s previous business experience also enables him to provide the Board with an understanding of businesses and services adjacent to the diagnostic testing industry.</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Richelle Parham - </w:t>
      </w:r>
      <w:r>
        <w:rPr>
          <w:rFonts w:ascii="Arial" w:cs="Arial" w:eastAsia="Arial" w:hAnsi="Arial"/>
          <w:sz w:val="18"/>
          <w:szCs w:val="18"/>
          <w:color w:val="auto"/>
        </w:rPr>
        <w:t>Ms. Parham (48) has been a director of the Company since January 8, 2016. Ms. Parham has more than 20 years of experience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as eBay, Visa Inc., Digitas, Inc. (now DigitasLBi) and Citibank, leading end-to-end marketing efforts including brand, performance and loyalty marketing. Ms. Parham was most recently the Chief Marketing Officer of eBay, and prior to that she served in senior marketing roles with Visa Inc. and Digitas, a world leading marketing agency. Ms. Parham was named to the Forbes 2014 “50 Most Influential CMOs in the World” and Fast Company’s “Most Creative People in Business 1000.” Ms. Parham has been a member of the Board of Directors of Scripps Network Interactive Inc. since May 2012, and a member of the Drexel University Board of Trustees since May 2014. She holds double Bachelor of Science degrees in Business Administration and Design Arts from Drexel University.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Adam H. Schechter</w:t>
      </w:r>
      <w:r>
        <w:rPr>
          <w:rFonts w:ascii="Arial" w:cs="Arial" w:eastAsia="Arial" w:hAnsi="Arial"/>
          <w:sz w:val="22"/>
          <w:szCs w:val="22"/>
          <w:color w:val="auto"/>
          <w:vertAlign w:val="superscript"/>
        </w:rPr>
        <w:t>2,3</w:t>
      </w:r>
      <w:r>
        <w:rPr>
          <w:rFonts w:ascii="Arial" w:cs="Arial" w:eastAsia="Arial" w:hAnsi="Arial"/>
          <w:sz w:val="16"/>
          <w:szCs w:val="16"/>
          <w:b w:val="1"/>
          <w:bCs w:val="1"/>
          <w:color w:val="auto"/>
        </w:rPr>
        <w:t xml:space="preserve"> </w:t>
      </w:r>
      <w:r>
        <w:rPr>
          <w:rFonts w:ascii="Arial" w:cs="Arial" w:eastAsia="Arial" w:hAnsi="Arial"/>
          <w:sz w:val="16"/>
          <w:szCs w:val="16"/>
          <w:color w:val="auto"/>
        </w:rPr>
        <w:t>- Mr. Schechter (51) has served as a director of the Company since April 1, 2013. Mr. Schechter is an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Merck &amp; Co., Inc. and has been since 2010 President of Merck’s Global Human Health Division, which includes the company’s worldwide pharmaceutical and vaccine businesses. He is a member of Merck’s executive committee and pharmaceutical and vaccines operating committee. Prior to becoming President, Global Human Health, Mr. Schechter served as President, Global Pharmaceutical Business from 2007 to 2010. Mr. Schechter’s extensive experience at Merck includes global and U.S.-focused leadership roles spanning sales, marketing, and managed markets, as well as business and product development. Mr. Schechter serves on the board of directors for the European Federation of Pharmaceutical Industries and Associations. He is a Board Member for Water.org and an Executive Board Member for the National Alliance for Hispanic Health. Mr. Schechter brings to the Board global business acumen and general management experience, as well as demonstrated success in leading large, innovation-focused organizations. Mr. Schechter’s deep knowledge of the pharmaceutical and healthcare industries and extensive experience collaborating with many of its key stakeholders to achieve patient-focused outcomes brings practical insight to the Board with respect to business strategies to service the changing healthcare environment.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R. Sanders Williams, M.D</w:t>
      </w:r>
      <w:r>
        <w:rPr>
          <w:rFonts w:ascii="Arial" w:cs="Arial" w:eastAsia="Arial" w:hAnsi="Arial"/>
          <w:sz w:val="17"/>
          <w:szCs w:val="17"/>
          <w:color w:val="auto"/>
        </w:rPr>
        <w:t>.</w:t>
      </w:r>
      <w:r>
        <w:rPr>
          <w:rFonts w:ascii="Arial" w:cs="Arial" w:eastAsia="Arial" w:hAnsi="Arial"/>
          <w:sz w:val="24"/>
          <w:szCs w:val="24"/>
          <w:color w:val="auto"/>
          <w:vertAlign w:val="superscript"/>
        </w:rPr>
        <w:t>1,3</w:t>
      </w:r>
      <w:r>
        <w:rPr>
          <w:rFonts w:ascii="Arial" w:cs="Arial" w:eastAsia="Arial" w:hAnsi="Arial"/>
          <w:sz w:val="17"/>
          <w:szCs w:val="17"/>
          <w:b w:val="1"/>
          <w:bCs w:val="1"/>
          <w:color w:val="auto"/>
        </w:rPr>
        <w:t xml:space="preserve"> </w:t>
      </w:r>
      <w:r>
        <w:rPr>
          <w:rFonts w:ascii="Arial" w:cs="Arial" w:eastAsia="Arial" w:hAnsi="Arial"/>
          <w:sz w:val="17"/>
          <w:szCs w:val="17"/>
          <w:color w:val="auto"/>
        </w:rPr>
        <w:t>- Dr. Williams, M.D. (66) has served as a director of the Company since May 16, 2007. Dr. Williams is President of The J.</w:t>
      </w:r>
      <w:r>
        <w:rPr>
          <w:rFonts w:ascii="Arial" w:cs="Arial" w:eastAsia="Arial" w:hAnsi="Arial"/>
          <w:sz w:val="17"/>
          <w:szCs w:val="17"/>
          <w:b w:val="1"/>
          <w:bCs w:val="1"/>
          <w:color w:val="auto"/>
        </w:rPr>
        <w:t xml:space="preserve"> </w:t>
      </w:r>
      <w:r>
        <w:rPr>
          <w:rFonts w:ascii="Arial" w:cs="Arial" w:eastAsia="Arial" w:hAnsi="Arial"/>
          <w:sz w:val="17"/>
          <w:szCs w:val="17"/>
          <w:color w:val="auto"/>
        </w:rPr>
        <w:t>David Gladstone Institutes and Professor of Medicine at the University of California San Francisco. Prior to this appointment, Dr. Williams served Duke University between 2001 and 2010 as Dean of the School of Medicine, Senior Vice Chancellor, Senior Advisor for International Strategy, and founding Dean of the Duke-NUS Graduate Medical School Singapore. He has served previously as President of the Association of University Cardiologists, Chairman of the Research Committee of the American Heart Association, on the editorial boards of leading biomedical journals, on the Advisory Committee to the Director of the National Institutes of Health and on the Board of External Advisors of the National Heart, Lung and Blood Institute. Dr. Williams was a director of Bristol-Meyers Squibb Company from 2006 until May 2013 and has been a director of Amgen since October 2014. Dr. Williams is a member of the National Academy of Medicine, and a Fellow of the American Association for the Advancement of Science. His experience as a physician, biomedical scientist, and executive leader brings important perspective to his service to the Company as a director.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Committees:</w:t>
      </w:r>
    </w:p>
    <w:p>
      <w:pPr>
        <w:ind w:left="100" w:hanging="92"/>
        <w:spacing w:after="0" w:line="193" w:lineRule="auto"/>
        <w:tabs>
          <w:tab w:leader="none" w:pos="10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Audit</w:t>
      </w:r>
    </w:p>
    <w:p>
      <w:pPr>
        <w:ind w:left="100" w:hanging="92"/>
        <w:spacing w:after="0" w:line="188" w:lineRule="auto"/>
        <w:tabs>
          <w:tab w:leader="none" w:pos="10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Compensation</w:t>
      </w:r>
    </w:p>
    <w:p>
      <w:pPr>
        <w:ind w:left="100" w:hanging="92"/>
        <w:spacing w:after="0" w:line="188" w:lineRule="auto"/>
        <w:tabs>
          <w:tab w:leader="none" w:pos="10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Quality and Compliance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26" w:lineRule="exact"/>
        <w:rPr>
          <w:sz w:val="20"/>
          <w:szCs w:val="20"/>
          <w:color w:val="auto"/>
        </w:rPr>
      </w:pPr>
    </w:p>
    <w:p>
      <w:pPr>
        <w:ind w:left="100" w:hanging="92"/>
        <w:spacing w:after="0"/>
        <w:tabs>
          <w:tab w:leader="none" w:pos="10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Nominating and Corporate Governance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David P. King </w:t>
      </w:r>
      <w:r>
        <w:rPr>
          <w:rFonts w:ascii="Arial" w:cs="Arial" w:eastAsia="Arial" w:hAnsi="Arial"/>
          <w:sz w:val="18"/>
          <w:szCs w:val="18"/>
          <w:color w:val="auto"/>
        </w:rPr>
        <w:t>- Mr. King serves as Chairman of the Board, President, and Chief Executive Officer. Refer to the biography above in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Glenn A. Eisenberg - </w:t>
      </w:r>
      <w:r>
        <w:rPr>
          <w:rFonts w:ascii="Arial" w:cs="Arial" w:eastAsia="Arial" w:hAnsi="Arial"/>
          <w:sz w:val="17"/>
          <w:szCs w:val="17"/>
          <w:color w:val="auto"/>
        </w:rPr>
        <w:t>Mr. Eisenberg has served as Executive Vice President, Chief Financial Officer since June 2014. Mr. Eisenberg received his Bachelors</w:t>
      </w:r>
      <w:r>
        <w:rPr>
          <w:rFonts w:ascii="Arial" w:cs="Arial" w:eastAsia="Arial" w:hAnsi="Arial"/>
          <w:sz w:val="17"/>
          <w:szCs w:val="17"/>
          <w:b w:val="1"/>
          <w:bCs w:val="1"/>
          <w:color w:val="auto"/>
        </w:rPr>
        <w:t xml:space="preserve"> </w:t>
      </w:r>
      <w:r>
        <w:rPr>
          <w:rFonts w:ascii="Arial" w:cs="Arial" w:eastAsia="Arial" w:hAnsi="Arial"/>
          <w:sz w:val="17"/>
          <w:szCs w:val="17"/>
          <w:color w:val="auto"/>
        </w:rPr>
        <w:t>of Arts degree from Tulane University in 1982 and his Master of Business Administration from Georgia State University in 1988. From 2002 until he joined the Company, he served as the Executive Vice President, Finance and Administration and Chief Financial Officer at The Timken Company, a $4.3 billion leading global manufacturer of highly engineered bearings and alloy steels and related products and services. Previously, he served as President and Chief Operating Officer of United Dominion Industries, now a subsidiary of SPX Corporation after working in several roles in finance, including Executive Vice President and Chief Financial Officer of United Dominion. Mr. Eisenberg served on the boards of directors of Family Dollar Stores Inc. until July 2015, where he chaired the Audit Committee, and Alpha Natural Resources Inc. until May 2015, where he was the lead independent director and chaired the Nominating and Corporate Governance Committee.</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James T. Boyle, Jr. - </w:t>
      </w:r>
      <w:r>
        <w:rPr>
          <w:rFonts w:ascii="Arial" w:cs="Arial" w:eastAsia="Arial" w:hAnsi="Arial"/>
          <w:sz w:val="18"/>
          <w:szCs w:val="18"/>
          <w:color w:val="auto"/>
        </w:rPr>
        <w:t>Mr. Boyle has served as Executive Vice President and Chief Executive Officer of LabCorp Diagnostics since February 19, 2015.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he served as Executive Vice President, Chief Operating Officer since October 2009. Prior to October 2009, Mr. Boyle was Senior Vice President, Managed Care since May 2006. In December of 2008, Mr. Boyle also assumed operating responsibility for the Company’s Occupational Testing/Employer Group Services in his then current role of Senior Vice President of Managed Care/OTS. Mr. Boyle previously held the position of Vice President of Managed Care from August 2004 to May 2006. Prior to that Mr. Boyle was the Director of Litigation and Assistant General Counsel from 1999 to 2004. Prior to joining the Company in 1999, Mr. Boyle was engaged in the private practice of law for more than 15 years, specializing in litigation. He currently serves as a member of the Seton Hall University Board of Regents.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Deborah L. Keller - </w:t>
      </w:r>
      <w:r>
        <w:rPr>
          <w:rFonts w:ascii="Arial" w:cs="Arial" w:eastAsia="Arial" w:hAnsi="Arial"/>
          <w:sz w:val="18"/>
          <w:szCs w:val="18"/>
          <w:color w:val="auto"/>
        </w:rPr>
        <w:t>Ms. Keller serves as the Chief Executive Officer of Covance Drug Development, a position she has held since August 2015.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being named as the Chief Executive Officer in August 2015, Ms. Keller had served as the Executive Vice President, Covance and Group President, R&amp;D Laboratories since November 2010, which includes Central Laboratory Services, Nonclinical Safety Assessment, Analytical Services, and Discovery and Translational Services. Ms. Keller holds a Bachelor of Science in chemistry and Bachelor of Business Administration in management &amp; accounting from Nazareth College and a Masters in Business Administration from the University of Wisconsin-Madison. She is a board member for BioCrossroads, an organization that promotes Indiana’s life science industry, and serves on the advisory board of the Indiana University Kelley School of Business Life Sciences Program. A member of the American Association of Pharmaceutical Society and the Society of Toxicology, Ms. Keller was named one of FierceBiotech’s 10 Top Women in Biotech 2012.</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Lance V. Berberian - </w:t>
      </w:r>
      <w:r>
        <w:rPr>
          <w:rFonts w:ascii="Arial" w:cs="Arial" w:eastAsia="Arial" w:hAnsi="Arial"/>
          <w:sz w:val="17"/>
          <w:szCs w:val="17"/>
          <w:color w:val="auto"/>
        </w:rPr>
        <w:t>Mr. Berberian has served as Senior Vice President, Chief Information Officer since February 2014. Prior to that,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Officer at IDEXX Laboratories, a global leader in diagnostics and IT solutions for animal health and food and water quality, from May 2007 to January 2014. Mr. Berberian served as Chief Information Officer and President of Kellstrom Aerospace Defense, a fully integrated supply chain firm, from January 2000 to April 2007. He also served as Chief Information Officer of Interim Healthcare from September 1997 to January 2000.</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Edward T. Dodson - </w:t>
      </w:r>
      <w:r>
        <w:rPr>
          <w:rFonts w:ascii="Arial" w:cs="Arial" w:eastAsia="Arial" w:hAnsi="Arial"/>
          <w:sz w:val="16"/>
          <w:szCs w:val="16"/>
          <w:color w:val="auto"/>
        </w:rPr>
        <w:t>Mr. Dodson has served as Senior Vice President, Chief Accounting Officer since June 2005. He also has served as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Officer since December 2014. Mr. Dodson, who has been a Certified Public Accountant for 32 years, joined the Company in August 1997 as Vice President and Corporate Controller and became Senior Vice President in June 2001. Prior to joining the Company in 1997, Mr. Dodson was a senior manager in the audit and consulting practice of KPMG, LLP., where he worked for 17 years in that firm's Greensboro, NC and Brussels, Belgium offices.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 Samuel Eberts III - </w:t>
      </w:r>
      <w:r>
        <w:rPr>
          <w:rFonts w:ascii="Arial" w:cs="Arial" w:eastAsia="Arial" w:hAnsi="Arial"/>
          <w:sz w:val="17"/>
          <w:szCs w:val="17"/>
          <w:color w:val="auto"/>
        </w:rPr>
        <w:t>Mr. Eberts has served as Senior Vice President, Chief Legal Officer, Secretary and Chief Compliance Officer since January 1, 2009.</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that time he served as Senior Vice President, General Counsel since August 2004. Prior to joining the Company, he was Vice President, Secretary, and General Counsel of Stepan Company. Before joining Stepan Company, he was Assistant General Counsel for Cardinal Health, Inc. from 1998 to 2001 and Associate General Counsel for Allegiance Healthcare Corporation (Allegiance Healthcare Corporation was purchased by Cardinal Health in 1998). Prior to that time, he was Chief Counsel of the Biotech North America division of Baxter International Inc.</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Lisa J. Uthgenannt - </w:t>
      </w:r>
      <w:r>
        <w:rPr>
          <w:rFonts w:ascii="Arial" w:cs="Arial" w:eastAsia="Arial" w:hAnsi="Arial"/>
          <w:sz w:val="18"/>
          <w:szCs w:val="18"/>
          <w:color w:val="auto"/>
        </w:rPr>
        <w:t>Mrs. Uthgenannt has served as Chief Human Resources Officer since March 2015. Prior to that she served as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for Covance since she joined Covance in November 2010. Prior to joining Covance, Ms. Uthgenannt held numerous leadership positions at Johnson &amp; Johnson, in both medical devices and pharmaceutical businesses since 2000. In her last role as Vice President, Human Resources for the Comprehensive Care sector, she served as a key advisor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executive coach to the Worldwide Chairman, helping to define the initial strategies and plans to advance the corporation’s comprehensive approach to chronic disease management. She also led the organization in designing and implementing a streamlined business model to increase product pipeline performance and accelerated growth opportunities.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2016 Proxy Statement under the captions “Executive Compensation” and “Director Compensation.”</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See “Note 14 to the Consolidated Financial Statements” for a discussion of the Company’s Stock Compensation Plans. Except for the above referenced footnote, the information called for by this item is incorporated by reference to information in the 2016 Proxy Statement under the captions “Security Ownership of Certain Beneficial Holders and Management,” “Compensation Discussion and Analysis” and “Executive Compensation.”</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2016 Proxy Statement under the captions “Board Independence” and “Related Party Transactions.”</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2016 Proxy Statement under the caption “Fees to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71" w:lineRule="exact"/>
        <w:rPr>
          <w:rFonts w:ascii="Arial" w:cs="Arial" w:eastAsia="Arial" w:hAnsi="Arial"/>
          <w:sz w:val="18"/>
          <w:szCs w:val="18"/>
          <w:color w:val="auto"/>
        </w:rPr>
      </w:pPr>
    </w:p>
    <w:p>
      <w:pPr>
        <w:ind w:left="640" w:right="1299" w:hanging="605"/>
        <w:spacing w:after="0" w:line="454"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ind w:left="640" w:right="7319" w:hanging="605"/>
        <w:spacing w:after="0" w:line="510" w:lineRule="auto"/>
        <w:tabs>
          <w:tab w:leader="none" w:pos="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Financial Statement Schedules: See Index on page F-1</w:t>
      </w:r>
    </w:p>
    <w:p>
      <w:pPr>
        <w:spacing w:after="0" w:line="1" w:lineRule="exact"/>
        <w:rPr>
          <w:rFonts w:ascii="Arial" w:cs="Arial" w:eastAsia="Arial" w:hAnsi="Arial"/>
          <w:sz w:val="16"/>
          <w:szCs w:val="16"/>
          <w:color w:val="auto"/>
        </w:rPr>
      </w:pPr>
    </w:p>
    <w:p>
      <w:pPr>
        <w:ind w:left="640" w:right="239"/>
        <w:spacing w:after="0" w:line="277" w:lineRule="auto"/>
        <w:rPr>
          <w:rFonts w:ascii="Arial" w:cs="Arial" w:eastAsia="Arial" w:hAnsi="Arial"/>
          <w:sz w:val="16"/>
          <w:szCs w:val="16"/>
          <w:color w:val="auto"/>
        </w:rPr>
      </w:pPr>
      <w:r>
        <w:rPr>
          <w:rFonts w:ascii="Arial" w:cs="Arial" w:eastAsia="Arial" w:hAnsi="Arial"/>
          <w:sz w:val="18"/>
          <w:szCs w:val="18"/>
          <w:color w:val="auto"/>
        </w:rPr>
        <w:t>All other schedules are omitted as they are inapplicable or the required information is furnished in the Consolidated Financial Statements or notes thereto.</w:t>
      </w:r>
    </w:p>
    <w:p>
      <w:pPr>
        <w:spacing w:after="0" w:line="129" w:lineRule="exact"/>
        <w:rPr>
          <w:rFonts w:ascii="Arial" w:cs="Arial" w:eastAsia="Arial" w:hAnsi="Arial"/>
          <w:sz w:val="16"/>
          <w:szCs w:val="16"/>
          <w:color w:val="auto"/>
        </w:rPr>
      </w:pPr>
    </w:p>
    <w:p>
      <w:pPr>
        <w:ind w:left="640" w:hanging="605"/>
        <w:spacing w:after="0"/>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Exhibits 10.1 through 10.37 are management contracts or compensatory plans or arrangements.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125"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10600" w:type="dxa"/>
            <w:vAlign w:val="bottom"/>
          </w:tcPr>
          <w:p>
            <w:pPr>
              <w:ind w:left="420"/>
              <w:spacing w:after="0"/>
              <w:rPr>
                <w:sz w:val="20"/>
                <w:szCs w:val="20"/>
                <w:color w:val="auto"/>
              </w:rPr>
            </w:pPr>
            <w:r>
              <w:rPr>
                <w:rFonts w:ascii="Arial" w:cs="Arial" w:eastAsia="Arial" w:hAnsi="Arial"/>
                <w:sz w:val="18"/>
                <w:szCs w:val="18"/>
                <w:color w:val="auto"/>
                <w:w w:val="93"/>
              </w:rPr>
              <w:t>Asset Purchase Agreement, dated as of September 13, 2010, between the Company and Genzyme Corporation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2.1 to the Company's Current Report on Form 8-K filed on September 16,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2.2</w:t>
            </w:r>
          </w:p>
        </w:tc>
        <w:tc>
          <w:tcPr>
            <w:tcW w:w="10600" w:type="dxa"/>
            <w:vAlign w:val="bottom"/>
          </w:tcPr>
          <w:p>
            <w:pPr>
              <w:ind w:left="420"/>
              <w:spacing w:after="0"/>
              <w:rPr>
                <w:sz w:val="20"/>
                <w:szCs w:val="20"/>
                <w:color w:val="auto"/>
              </w:rPr>
            </w:pPr>
            <w:r>
              <w:rPr>
                <w:rFonts w:ascii="Arial" w:cs="Arial" w:eastAsia="Arial" w:hAnsi="Arial"/>
                <w:sz w:val="18"/>
                <w:szCs w:val="18"/>
                <w:color w:val="auto"/>
                <w:w w:val="90"/>
              </w:rPr>
              <w:t>Agreement and Plan of Merger, dated as of November 2, 2014, among the Company, Covance, Inc. and Neon Merger Sub, Inc. (incorporated</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herein by reference to Exhibit 2.1 to the Company's Current Report on Form 8-K filed on November 3, 2014).</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Amended and Restated Certificate of Incorporation of the Company dated May 24, 2001 (incorporated herein by reference to Exhibit 3.1 to</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the Company's Registration Statement on Form S-3, filed with the Commission on October 19, 2001, File No. 333-71896).</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Amended and Restated By-Laws of the Company dated March 25, 2008 (incorporated herein by reference to Exhibit 3.1 to the Company's</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current report on Form 8-K, filed with the Commission on March 31, 2008).</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Specimen of the Company's Common Stock Certificate (incorporated herein by reference to Exhibit 4.1 to the Company's Annual Report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Form 10-K for the fiscal year ended December 31, 2001).</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00" w:type="dxa"/>
            <w:vAlign w:val="bottom"/>
          </w:tcPr>
          <w:p>
            <w:pPr>
              <w:ind w:left="420"/>
              <w:spacing w:after="0"/>
              <w:rPr>
                <w:sz w:val="20"/>
                <w:szCs w:val="20"/>
                <w:color w:val="auto"/>
              </w:rPr>
            </w:pPr>
            <w:r>
              <w:rPr>
                <w:rFonts w:ascii="Arial" w:cs="Arial" w:eastAsia="Arial" w:hAnsi="Arial"/>
                <w:sz w:val="18"/>
                <w:szCs w:val="18"/>
                <w:color w:val="auto"/>
                <w:w w:val="94"/>
              </w:rPr>
              <w:t>Registration Rights Agreement, dated as of January 28, 2003 between the Company and the Initial Purchasers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10.1 to the Company's Current Report on Form 8-K, filed with the Commission on February 3, 2003).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00" w:type="dxa"/>
            <w:vAlign w:val="bottom"/>
          </w:tcPr>
          <w:p>
            <w:pPr>
              <w:ind w:left="420"/>
              <w:spacing w:after="0"/>
              <w:rPr>
                <w:sz w:val="20"/>
                <w:szCs w:val="20"/>
                <w:color w:val="auto"/>
              </w:rPr>
            </w:pPr>
            <w:r>
              <w:rPr>
                <w:rFonts w:ascii="Arial" w:cs="Arial" w:eastAsia="Arial" w:hAnsi="Arial"/>
                <w:sz w:val="18"/>
                <w:szCs w:val="18"/>
                <w:color w:val="auto"/>
                <w:w w:val="90"/>
              </w:rPr>
              <w:t>Indenture, dated as of January 31, 2003 between the Company and Wachovia Bank, National Association, as trustee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4.1 to the Company's Current Report on Form 8-K, filed with the Commission on February 3, 2003).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Indenture dated as of December 5, 2005, between the Company and The Bank of New York Trust Company, N.A., as trustee (Senior Debt</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4"/>
              </w:rPr>
              <w:t>Securities) (incorporated herein by reference to Exhibit 4.1 to the Company's Current Report on Form 8-K filed on December 14, 2005).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Indenture, dated as of October 23, 2006, between the Company and The Bank of New York, as trustee, including the Form of Global Note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7"/>
              </w:rPr>
              <w:t>attached as Exhibit A thereto (incorporated herein by reference to Exhibit 4.1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October 24, 2006).</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Indenture, dated as of November 19, 2010, between the Company and U.S. Bank National Association, as trustee (incorporated herein by</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reference to Exhibit 4.1 to the Company's Current Report on Form 8-K filed on November 19,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First Supplemental Indenture, dated as of November 19, 2010,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2016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19,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10600" w:type="dxa"/>
            <w:vAlign w:val="bottom"/>
          </w:tcPr>
          <w:p>
            <w:pPr>
              <w:ind w:left="420"/>
              <w:spacing w:after="0"/>
              <w:rPr>
                <w:sz w:val="20"/>
                <w:szCs w:val="20"/>
                <w:color w:val="auto"/>
              </w:rPr>
            </w:pPr>
            <w:r>
              <w:rPr>
                <w:rFonts w:ascii="Arial" w:cs="Arial" w:eastAsia="Arial" w:hAnsi="Arial"/>
                <w:sz w:val="18"/>
                <w:szCs w:val="18"/>
                <w:color w:val="auto"/>
                <w:w w:val="92"/>
              </w:rPr>
              <w:t>Second Supplemental Indenture, dated as of November 19, 2010,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2020 Notes (incorporated herein by reference to Exhibit 4.3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19, 2010).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10600" w:type="dxa"/>
            <w:vAlign w:val="bottom"/>
          </w:tcPr>
          <w:p>
            <w:pPr>
              <w:ind w:left="420"/>
              <w:spacing w:after="0"/>
              <w:rPr>
                <w:sz w:val="20"/>
                <w:szCs w:val="20"/>
                <w:color w:val="auto"/>
              </w:rPr>
            </w:pPr>
            <w:r>
              <w:rPr>
                <w:rFonts w:ascii="Arial" w:cs="Arial" w:eastAsia="Arial" w:hAnsi="Arial"/>
                <w:sz w:val="18"/>
                <w:szCs w:val="18"/>
                <w:color w:val="auto"/>
                <w:w w:val="90"/>
              </w:rPr>
              <w:t>Third Supplemental Indenture, dated as of August 23, 2012, between the Company and U.S. Bank National Association, as trustee, including</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3"/>
              </w:rPr>
              <w:t>the form of the 2017 Notes (incorporated herein by reference to Exhibit 4.2 to the Company's Current Report on Form 8-K filed on August</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23, 2012).</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Fourth Supplemental Indenture, dated as of August 23, 2012,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2022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August 23, 2012).</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Fifth Supplemental Indenture, dated as of November 1, 2013,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2018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 2013).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4.12</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Sixth Supplemental Indenture, dated as of November 1, 2013,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2023 Notes (incorporated herein by reference to Exhibit 4.3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November 1, 2013).</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4.13</w:t>
            </w:r>
          </w:p>
        </w:tc>
        <w:tc>
          <w:tcPr>
            <w:tcW w:w="10600" w:type="dxa"/>
            <w:vAlign w:val="bottom"/>
          </w:tcPr>
          <w:p>
            <w:pPr>
              <w:ind w:left="420"/>
              <w:spacing w:after="0"/>
              <w:rPr>
                <w:sz w:val="20"/>
                <w:szCs w:val="20"/>
                <w:color w:val="auto"/>
              </w:rPr>
            </w:pPr>
            <w:r>
              <w:rPr>
                <w:rFonts w:ascii="Arial" w:cs="Arial" w:eastAsia="Arial" w:hAnsi="Arial"/>
                <w:sz w:val="18"/>
                <w:szCs w:val="18"/>
                <w:color w:val="auto"/>
                <w:w w:val="94"/>
              </w:rPr>
              <w:t>Seventh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2020 Notes (incorporated herein by reference to Exhibit 4.2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4.14</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Eighth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2022 Notes (incorporated herein by reference to Exhibit 4.3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4.15</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Ninth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2025 Notes (incorporated herein by reference to Exhibit 4.4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4.16</w:t>
            </w:r>
          </w:p>
        </w:tc>
        <w:tc>
          <w:tcPr>
            <w:tcW w:w="10600" w:type="dxa"/>
            <w:vAlign w:val="bottom"/>
          </w:tcPr>
          <w:p>
            <w:pPr>
              <w:ind w:left="420"/>
              <w:spacing w:after="0"/>
              <w:rPr>
                <w:sz w:val="20"/>
                <w:szCs w:val="20"/>
                <w:color w:val="auto"/>
              </w:rPr>
            </w:pPr>
            <w:r>
              <w:rPr>
                <w:rFonts w:ascii="Arial" w:cs="Arial" w:eastAsia="Arial" w:hAnsi="Arial"/>
                <w:sz w:val="18"/>
                <w:szCs w:val="18"/>
                <w:color w:val="auto"/>
                <w:w w:val="95"/>
              </w:rPr>
              <w:t>Tenth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including the form of the 2045 Notes (incorporated herein by reference to Exhibit 4.5 to the Company's Current Report on Form 8-K filed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January 30, 2015).</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tcPr>
          <w:p>
            <w:pPr>
              <w:ind w:left="420"/>
              <w:spacing w:after="0"/>
              <w:rPr>
                <w:sz w:val="20"/>
                <w:szCs w:val="20"/>
                <w:color w:val="auto"/>
              </w:rPr>
            </w:pPr>
            <w:r>
              <w:rPr>
                <w:rFonts w:ascii="Arial" w:cs="Arial" w:eastAsia="Arial" w:hAnsi="Arial"/>
                <w:sz w:val="18"/>
                <w:szCs w:val="18"/>
                <w:color w:val="auto"/>
                <w:w w:val="91"/>
              </w:rPr>
              <w:t>National Health Laboratories Incorporated Pension Equalization Plan (incorporated herein by reference to the Company's Annual Report on</w:t>
            </w:r>
          </w:p>
        </w:tc>
      </w:tr>
      <w:tr>
        <w:trPr>
          <w:trHeight w:val="230"/>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Form 10-K for the fiscal year ended December 31, 1992).</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125" w:right="29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10540" w:type="dxa"/>
            <w:vAlign w:val="bottom"/>
          </w:tcPr>
          <w:p>
            <w:pPr>
              <w:spacing w:after="0"/>
              <w:rPr>
                <w:sz w:val="17"/>
                <w:szCs w:val="17"/>
                <w:color w:val="auto"/>
              </w:rPr>
            </w:pPr>
          </w:p>
        </w:tc>
      </w:tr>
      <w:tr>
        <w:trPr>
          <w:trHeight w:val="843"/>
        </w:trPr>
        <w:tc>
          <w:tcPr>
            <w:tcW w:w="42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Laboratory Corporation of America Holdings amended and restated new Pension Equalization Plan (incorporated herein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10.1 to the Company's Quarterly Report on Form 10-Q for the period ended September 30, 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First Amendment to the Laboratory Corporation of America Holdings amended and restated new Pension Equalization Plan (incorporated</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herein by reference to Exhibit 10.2 to the Company's Quarterly Report on Form 10-Q for the period ended September 30, 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9"/>
              </w:rPr>
              <w:t>Second Amendment to the Laboratory Corporation of America Holdings amended and restated new Pension Equalization Plan.</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(incorporated herein by reference to Exhibit 10.4 to the Company's Annual Report on Form 10-K for the fiscal year ended December 31,</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National Health Laboratories 1988 Stock Option Plan, as amended (incorporated herein by reference to the Company's Registration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Statement on Form S-1, filed with the Commission on July 9, 1990, File No. 33-35782).</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National Health Laboratories 1994 Stock Option Plan (incorporated herein by reference to Exhibit 4.1 to the Company's Registration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Statement on Form S-8, filed with the Commission on August 12, 1994, File No. 33-55065).</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Laboratory Corporation of America Holdings Senior Executive Transition Policy (incorporated herein by reference to Exhibit 10.1 to the</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Quarterly Report on Form 10-Q for the period ended June 30, 2004).</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Laboratory Corporation of America Holdings 1995 Stock Plan for Non-Employee Directors (incorporated herein by reference Exhibit 4.c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the Company's Registration Statement on Form S-8, filed with the Commission on September 26, 1995, File No. 33-62913).</w:t>
            </w:r>
          </w:p>
        </w:tc>
      </w:tr>
      <w:tr>
        <w:trPr>
          <w:trHeight w:val="256"/>
        </w:trPr>
        <w:tc>
          <w:tcPr>
            <w:tcW w:w="420" w:type="dxa"/>
            <w:vAlign w:val="bottom"/>
          </w:tcPr>
          <w:p>
            <w:pPr>
              <w:ind w:left="4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2"/>
                <w:szCs w:val="22"/>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First Amendment to Laboratory Corporation of America Holdings 1995 Stock Plan for Non-Employee Directors (incorporated herein by</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7"/>
              </w:rPr>
              <w:t>reference to Annex II to the Company's Definitive Proxy Statement on Schedule 14A, filed with the Commission on June 6, 1997).</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Second Amendment to the Laboratory Corporation of America Holdings 1995 Stock Plan for Non-Employee Directors (incorporated herein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by reference to Annex I of the Company's Definitive Proxy Statement on Schedule 14A, filed with the Commission on April 25, 2001).</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Laboratory Corporation of America Holdings 1997 Employee Stock Purchase Plan (incorporated herein by reference to Exhibit 99.1 of the</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Registration Statement on Form S-8 filed with the Commission on December 13, 1996, File No. 333-17793).</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Amendments to the Laboratory Corporation of America Holdings 1997 Employee Stock Purchase Plan (incorporated herein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Exhibit 4.1 to the Company's Registration Statement on Form S-8, filed with the Commission on January 10, 2000, File No. 333-94331).</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Amendments to the Laboratory Corporation of America Holdings 1997 Employee Stock Purchase Plan (incorporated herein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Exhibit 4.2 to the Company's Registration Statement on Form S-8, filed with the Commission on May 26, 2004, File No. 333-115905).</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Fourth Amendment to the Laboratory Corporation of America Holdings 1997 Employee Stock Purchase Plan (incorporated herein by</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reference to Exhibit 10.2 to the Company's Current Report on Form 8-K filed on May 2, 2012).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Laboratory Corporation of America Holdings Amended and Restated 1999 Stock Incentive Plan (incorporated herein by reference to Annex</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I to the Company's Definitive Proxy Statement on Schedule 14A filed with the Commission on May 3, 1999).</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Laboratory Corporation of America Holdings 2000 Stock Incentive Plan (incorporated herein by reference to Exhibit 4.3 to the Company's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Registration Statement on Form S-8, filed with the Commission on June 5, 2000, File No. 333-38608).</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Laboratory Corporation of America Holdings 2000 Stock Incentive Plan as Amended and Restated April 3, 2002, (incorporated herein by</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reference to Exhibit 4.1 to the Company's Registration Statement on Form S-8, filed with the Commission on June 19, 2002, File No. 333-</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90764).</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Dynacare Inc., Amended and Restated Employee Stock Option Plan (incorporated herein by reference to Exhibit 10.1 to the Company's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Registration Statement on Form S-8, filed with the Commission on August 7, 2002, File No. 333-97745).</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DIANON Systems, Inc. 1996 Stock Incentive Plan (incorporated herein by reference to Exhibit 10.1 the Company's Registration Statement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DIANON Systems, Inc. 1999 Stock Incentive Plan (incorporated herein by reference to Exhibit 10.1 the Company's Registration Statement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DIANON Systems, Inc. 2000 Stock Incentive Plan(incorporated herein by reference to Exhibit 10.1 to the Company's Registration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Statement 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DIANON Systems, Inc. 2001 Stock Incentive Plan (incorporated herein by reference Exhibit 10.1 to the Company's Registration Statement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on Form S-8, filed with the Commission on January 21, 2003, File No. 333-102602).</w:t>
            </w: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UroCor, Inc. Second Amended and Restated 1992 Stock Option Plan (incorporated herein by reference Exhibit 10.5 to the Company's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Registration Statement on Form S-8, filed with the Commission on January 21, 2003, File No. 333-102602).</w:t>
            </w:r>
          </w:p>
        </w:tc>
      </w:tr>
      <w:tr>
        <w:trPr>
          <w:trHeight w:val="486"/>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108" w:right="25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Index</w:t>
              </w:r>
            </w:hyperlink>
          </w:p>
        </w:tc>
        <w:tc>
          <w:tcPr>
            <w:tcW w:w="440" w:type="dxa"/>
            <w:vAlign w:val="bottom"/>
          </w:tcPr>
          <w:p>
            <w:pPr>
              <w:spacing w:after="0"/>
              <w:rPr>
                <w:sz w:val="17"/>
                <w:szCs w:val="17"/>
                <w:color w:val="auto"/>
              </w:rPr>
            </w:pPr>
          </w:p>
        </w:tc>
        <w:tc>
          <w:tcPr>
            <w:tcW w:w="10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Laboratory Corporation of America Holdings Deferred Compensation Plan (incorporated herein by reference to Exhibit 10.22 the</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Annual Report on Form 10-K for the fiscal year ended December 31, 2004).</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First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10.23 to the Company's Annual Report on Form 10-K for the fiscal year ended December 31, 2004).</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10.26</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Second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10.8 to the Company's Quarterly Report on Form 10-Q for the period ended June 30, 2005).</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10.27</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Third Amendment to the Laboratory Corporation of America Amended and Restated New Pension Equalization Plan (incorporated herein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by reference Exhibit 10.28 to the Company's Annual Report on Form 10-K for the fiscal year ended December 31, 2006).</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10.28</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Third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the Company's Annual Report on Form 10-K for the fiscal year ended December 31, 2006).</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10.29</w:t>
            </w: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Fourth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Exhibit 10.34 to the Company's Annual Report on Form 10-K for the fiscal year ended December 31, 2007).</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10.30</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Consulting Agreement between Thomas P. Mac Mahon and the Company dated July 20, 2006 (incorporated herein by reference to Exhibit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10.1 to the Company's Current Report on Form 8-K filed on July 21, 2006).</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10.31</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Laboratory Corporation of America Holdings 2008 Stock Incentive Plan (incorporated herein by reference to Annex III to the Company's</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Definitive Proxy Statement on Schedule 14A filed on March 28, 2008).</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10.32</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 to Laboratory Corporation of America Holdings 2008 Stock Incentive Plan (incorporated herein by reference to Exhibit 10.2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the Company's Current Report on Form 8-K filed on May 7, 2008).</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10.33</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Laboratory Corporation of America Holdings Amended and Restated Master Senior Executive Severance Plan (incorporated herein by</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reference to Exhibit 10.1 to the Company's Quarterly Report on Form 10-Q for the period ended March 31, 2009).</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10.34</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Laboratory Corporation of America Holdings Master Senior Executive Change in Control Severance Plan (incorporated herein by reference</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to Exhibit 10.2 to the Company's Quarterly Report on Form 10-Q for the period ended March 31, 2009).</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10.35</w:t>
            </w:r>
          </w:p>
        </w:tc>
        <w:tc>
          <w:tcPr>
            <w:tcW w:w="10540" w:type="dxa"/>
            <w:vAlign w:val="bottom"/>
          </w:tcPr>
          <w:p>
            <w:pPr>
              <w:ind w:left="440"/>
              <w:spacing w:after="0"/>
              <w:rPr>
                <w:sz w:val="20"/>
                <w:szCs w:val="20"/>
                <w:color w:val="auto"/>
              </w:rPr>
            </w:pPr>
            <w:r>
              <w:rPr>
                <w:rFonts w:ascii="Arial" w:cs="Arial" w:eastAsia="Arial" w:hAnsi="Arial"/>
                <w:sz w:val="18"/>
                <w:szCs w:val="18"/>
                <w:color w:val="auto"/>
                <w:w w:val="98"/>
              </w:rPr>
              <w:t>First Amendment to the Laboratory Corporation of America Holdings Master Senior Executive Change in Control Severance Plan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(incorporated herein by reference to Exhibit 10.1 to the Company's Quarterly Report on Form 10-Q for the period ended March 31, 2010).</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10.36</w:t>
            </w: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Second Amendment to the Laboratory Corporation of America Holdings Master Senior Executive Change in Control Severance Plan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(incorporated herein by reference to Exhibit 10.2 to the Company's Quarterly Report on Form 10-Q for the period ended March 31, 2010).</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10.37</w:t>
            </w:r>
          </w:p>
        </w:tc>
        <w:tc>
          <w:tcPr>
            <w:tcW w:w="10540" w:type="dxa"/>
            <w:vAlign w:val="bottom"/>
            <w:vMerge w:val="restart"/>
          </w:tcPr>
          <w:p>
            <w:pPr>
              <w:ind w:left="440"/>
              <w:spacing w:after="0"/>
              <w:rPr>
                <w:sz w:val="20"/>
                <w:szCs w:val="20"/>
                <w:color w:val="auto"/>
              </w:rPr>
            </w:pPr>
            <w:r>
              <w:rPr>
                <w:rFonts w:ascii="Arial" w:cs="Arial" w:eastAsia="Arial" w:hAnsi="Arial"/>
                <w:sz w:val="18"/>
                <w:szCs w:val="18"/>
                <w:color w:val="auto"/>
                <w:w w:val="97"/>
              </w:rPr>
              <w:t>Laboratory Corporation of America Holdings 2012 Omnibus Incentive Plan (incorporated herein by reference to Exhibit 10.1 to the</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Company's Current Report on Form 8-K filed on May, 2, 2012).</w:t>
            </w:r>
          </w:p>
        </w:tc>
        <w:tc>
          <w:tcPr>
            <w:tcW w:w="0" w:type="dxa"/>
            <w:vAlign w:val="bottom"/>
          </w:tcPr>
          <w:p>
            <w:pPr>
              <w:spacing w:after="0"/>
              <w:rPr>
                <w:sz w:val="1"/>
                <w:szCs w:val="1"/>
                <w:color w:val="auto"/>
              </w:rPr>
            </w:pPr>
          </w:p>
        </w:tc>
      </w:tr>
      <w:tr>
        <w:trPr>
          <w:trHeight w:val="351"/>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10.38</w:t>
            </w:r>
          </w:p>
        </w:tc>
        <w:tc>
          <w:tcPr>
            <w:tcW w:w="10540" w:type="dxa"/>
            <w:vAlign w:val="bottom"/>
            <w:vMerge w:val="restart"/>
          </w:tcPr>
          <w:p>
            <w:pPr>
              <w:ind w:left="440"/>
              <w:spacing w:after="0"/>
              <w:rPr>
                <w:sz w:val="20"/>
                <w:szCs w:val="20"/>
                <w:color w:val="auto"/>
              </w:rPr>
            </w:pPr>
            <w:r>
              <w:rPr>
                <w:rFonts w:ascii="Arial" w:cs="Arial" w:eastAsia="Arial" w:hAnsi="Arial"/>
                <w:sz w:val="18"/>
                <w:szCs w:val="18"/>
                <w:color w:val="auto"/>
                <w:w w:val="94"/>
              </w:rPr>
              <w:t>Bridge Facility Commitment Letter, dated as of November 2, 2014, by and among the Company, Bank of America, N.A., Merrill Lynch,</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Pierce, Fenner &amp; Smith Incorporated, Wells Fargo Bank, National Association and Wells Fargo Securities, LLC (incorporated herein by</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reference to Exhibit 10.1 to the Company's Current Report on Form 8-K filed on November 3, 2014).</w:t>
            </w:r>
          </w:p>
        </w:tc>
        <w:tc>
          <w:tcPr>
            <w:tcW w:w="0" w:type="dxa"/>
            <w:vAlign w:val="bottom"/>
          </w:tcPr>
          <w:p>
            <w:pPr>
              <w:spacing w:after="0"/>
              <w:rPr>
                <w:sz w:val="1"/>
                <w:szCs w:val="1"/>
                <w:color w:val="auto"/>
              </w:rPr>
            </w:pPr>
          </w:p>
        </w:tc>
      </w:tr>
      <w:tr>
        <w:trPr>
          <w:trHeight w:val="351"/>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10.39</w:t>
            </w:r>
          </w:p>
        </w:tc>
        <w:tc>
          <w:tcPr>
            <w:tcW w:w="10540" w:type="dxa"/>
            <w:vAlign w:val="bottom"/>
            <w:vMerge w:val="restart"/>
          </w:tcPr>
          <w:p>
            <w:pPr>
              <w:ind w:left="440"/>
              <w:spacing w:after="0"/>
              <w:rPr>
                <w:sz w:val="20"/>
                <w:szCs w:val="20"/>
                <w:color w:val="auto"/>
              </w:rPr>
            </w:pPr>
            <w:r>
              <w:rPr>
                <w:rFonts w:ascii="Arial" w:cs="Arial" w:eastAsia="Arial" w:hAnsi="Arial"/>
                <w:sz w:val="18"/>
                <w:szCs w:val="18"/>
                <w:color w:val="auto"/>
                <w:w w:val="97"/>
              </w:rPr>
              <w:t>Amended and Restated Credit Agreement, dated as of December 19, 2014, (originally dated as of December 21, 2011) among the</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Company, Bank of America, N.A. as Administrative Agent, Swing Line Lender and L/C Issuer, Wells Fargo Bank, National Association as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Syndication Agent and L/C Issuer, Credit Suisse AG, Cayman Islands Branch as Documentation Agent and L/C Issuer, the Bank of Tokyo-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2"/>
              </w:rPr>
              <w:t>Mitsubishi UFJ, LTD., Barclays Bank PLC, Credit Suisse AG, Cayman Island Branch, KeyBank National Association, PNC Bank, National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7"/>
              </w:rPr>
              <w:t>Association, TD Bank, N.A., and U.S. Bank National Association, as Documentation Agents, Merrill Lynch, Pierce, Fenner &amp; Smith</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Incorporated, Wells Fargo Securities, LLC and Credit Suisse Securities (USA) LLC as Joint Lead Arrangers and Joint Book Managers,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5"/>
              </w:rPr>
              <w:t>the lenders named therein (incorporated herein by reference to Exhibit 10.39 to the Company's Annual Report on Form 10-K filed on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February 26, 2015).</w:t>
            </w:r>
          </w:p>
        </w:tc>
        <w:tc>
          <w:tcPr>
            <w:tcW w:w="0" w:type="dxa"/>
            <w:vAlign w:val="bottom"/>
          </w:tcPr>
          <w:p>
            <w:pPr>
              <w:spacing w:after="0"/>
              <w:rPr>
                <w:sz w:val="1"/>
                <w:szCs w:val="1"/>
                <w:color w:val="auto"/>
              </w:rPr>
            </w:pPr>
          </w:p>
        </w:tc>
      </w:tr>
      <w:tr>
        <w:trPr>
          <w:trHeight w:val="337"/>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10.40</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Term Loan Credit Agreement, dated as of December 19, 2014, among the Company, Bank of America, N.A., as Administrative Agent,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Wells Fargo Bank, National Association, as Syndication Agent, the Bank of Tokyo-Mitsubishi UFJ, LTD., Barclays Bank PLC, Credit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6"/>
              </w:rPr>
              <w:t>Suisse AG, Cayman Islands Branch, KeyBank National Association, PNC Bank, National Association, TD Bank, N.A. and U.S. Bank</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National Association, as Documentation Agents, Merrill Lynch, Pierce, Fenner &amp; Smith Incorporated, Wells Fargo Securities, LLC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w w:val="90"/>
              </w:rPr>
              <w:t>Credit Suisse Securities (USA) LLC as Joint Lead Arrangers and Joint Book Managers, and the lenders named therein (incorporated herein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by reference to Exhibit 10.40 to the Company's Annual Report on Form 10-K filed on February 26, 2015).</w:t>
            </w:r>
          </w:p>
        </w:tc>
        <w:tc>
          <w:tcPr>
            <w:tcW w:w="0" w:type="dxa"/>
            <w:vAlign w:val="bottom"/>
          </w:tcPr>
          <w:p>
            <w:pPr>
              <w:spacing w:after="0"/>
              <w:rPr>
                <w:sz w:val="1"/>
                <w:szCs w:val="1"/>
                <w:color w:val="auto"/>
              </w:rPr>
            </w:pPr>
          </w:p>
        </w:tc>
      </w:tr>
      <w:tr>
        <w:trPr>
          <w:trHeight w:val="256"/>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10.41</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Amendment No. 1, dated as of March 5, 2015, to the Term Loan Credit Agreement dated as of December 19, 2014, with Bank of America,</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N.A. (incorporated herein by reference to Exhibit 10.6 to the Company's Quarterly Report on Form 10-Q filed on May 4, 2015).</w:t>
            </w:r>
          </w:p>
        </w:tc>
        <w:tc>
          <w:tcPr>
            <w:tcW w:w="0" w:type="dxa"/>
            <w:vAlign w:val="bottom"/>
          </w:tcPr>
          <w:p>
            <w:pPr>
              <w:spacing w:after="0"/>
              <w:rPr>
                <w:sz w:val="1"/>
                <w:szCs w:val="1"/>
                <w:color w:val="auto"/>
              </w:rPr>
            </w:pPr>
          </w:p>
        </w:tc>
      </w:tr>
      <w:tr>
        <w:trPr>
          <w:trHeight w:val="405"/>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12.1*</w:t>
            </w:r>
          </w:p>
        </w:tc>
        <w:tc>
          <w:tcPr>
            <w:tcW w:w="10540" w:type="dxa"/>
            <w:vAlign w:val="bottom"/>
          </w:tcPr>
          <w:p>
            <w:pPr>
              <w:ind w:left="44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3"/>
                <w:szCs w:val="23"/>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List of Subsidiaries of the Company</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10540" w:type="dxa"/>
            <w:vAlign w:val="bottom"/>
          </w:tcPr>
          <w:p>
            <w:pPr>
              <w:ind w:left="440"/>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Kerrii B. Anderson</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24.2*</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Jean-Luc Bélingard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24.3*</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D. Gary Gilliland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24.4*</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Garheng Kong, M.D., Ph.D.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24.5*</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Robert E. Mittelstaedt, Jr.</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24.6*</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Peter M. Neupert</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24.7*</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Richelle Parham</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24.8*</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Adam H. Schechter</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24.9*</w:t>
            </w:r>
          </w:p>
        </w:tc>
        <w:tc>
          <w:tcPr>
            <w:tcW w:w="10540" w:type="dxa"/>
            <w:vAlign w:val="bottom"/>
          </w:tcPr>
          <w:p>
            <w:pPr>
              <w:ind w:left="440"/>
              <w:spacing w:after="0"/>
              <w:rPr>
                <w:sz w:val="20"/>
                <w:szCs w:val="20"/>
                <w:color w:val="auto"/>
              </w:rPr>
            </w:pPr>
            <w:r>
              <w:rPr>
                <w:rFonts w:ascii="Arial" w:cs="Arial" w:eastAsia="Arial" w:hAnsi="Arial"/>
                <w:sz w:val="18"/>
                <w:szCs w:val="18"/>
                <w:color w:val="auto"/>
              </w:rPr>
              <w:t>Power of Attorney of R. Sanders Williams, M.D.</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0540" w:type="dxa"/>
            <w:vAlign w:val="bottom"/>
          </w:tcPr>
          <w:p>
            <w:pPr>
              <w:ind w:left="440"/>
              <w:spacing w:after="0"/>
              <w:rPr>
                <w:sz w:val="20"/>
                <w:szCs w:val="20"/>
                <w:color w:val="auto"/>
              </w:rPr>
            </w:pPr>
            <w:r>
              <w:rPr>
                <w:rFonts w:ascii="Arial" w:cs="Arial" w:eastAsia="Arial" w:hAnsi="Arial"/>
                <w:sz w:val="18"/>
                <w:szCs w:val="18"/>
                <w:color w:val="auto"/>
              </w:rPr>
              <w:t>Certification by the Chief Executive Officer pursuant to Rule 13a-14(a) or Rule 15d-14(a)</w:t>
            </w:r>
          </w:p>
        </w:tc>
        <w:tc>
          <w:tcPr>
            <w:tcW w:w="0" w:type="dxa"/>
            <w:vAlign w:val="bottom"/>
          </w:tcPr>
          <w:p>
            <w:pPr>
              <w:spacing w:after="0"/>
              <w:rPr>
                <w:sz w:val="1"/>
                <w:szCs w:val="1"/>
                <w:color w:val="auto"/>
              </w:rPr>
            </w:pPr>
          </w:p>
        </w:tc>
      </w:tr>
      <w:tr>
        <w:trPr>
          <w:trHeight w:val="270"/>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540" w:type="dxa"/>
            <w:vAlign w:val="bottom"/>
          </w:tcPr>
          <w:p>
            <w:pPr>
              <w:ind w:left="440"/>
              <w:spacing w:after="0"/>
              <w:rPr>
                <w:sz w:val="20"/>
                <w:szCs w:val="20"/>
                <w:color w:val="auto"/>
              </w:rPr>
            </w:pPr>
            <w:r>
              <w:rPr>
                <w:rFonts w:ascii="Arial" w:cs="Arial" w:eastAsia="Arial" w:hAnsi="Arial"/>
                <w:sz w:val="18"/>
                <w:szCs w:val="18"/>
                <w:color w:val="auto"/>
              </w:rPr>
              <w:t>Certification by the Chief Financial Officer pursuant to Rule 13a-14(a) or Rule 15d-14(a)</w:t>
            </w: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0" w:gutter="0" w:footer="0" w:header="0"/>
        </w:sectPr>
      </w:pPr>
    </w:p>
    <w:bookmarkStart w:id="75" w:name="page76"/>
    <w:bookmarkEnd w:id="75"/>
    <w:p>
      <w:pPr>
        <w:ind w:left="5"/>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101.SCH*</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101.DEF*</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Written Statement of Chief Executive Officer and Chief Financial Officer pursuant to Section 906 of the Sarbanes-Oxley Act of 2002 (18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00" w:lineRule="exact"/>
        <w:rPr>
          <w:sz w:val="20"/>
          <w:szCs w:val="20"/>
          <w:color w:val="auto"/>
        </w:rPr>
      </w:pPr>
    </w:p>
    <w:p>
      <w:pPr>
        <w:sectPr>
          <w:pgSz w:w="11900" w:h="16838" w:orient="portrait"/>
          <w:cols w:equalWidth="0" w:num="2">
            <w:col w:w="765" w:space="500"/>
            <w:col w:w="10080"/>
          </w:cols>
          <w:pgMar w:left="275" w:top="125" w:right="279" w:bottom="1440" w:gutter="0" w:footer="0" w:header="0"/>
        </w:sectPr>
      </w:pPr>
    </w:p>
    <w:p>
      <w:pPr>
        <w:spacing w:after="0" w:line="133" w:lineRule="exact"/>
        <w:rPr>
          <w:sz w:val="20"/>
          <w:szCs w:val="20"/>
          <w:color w:val="auto"/>
        </w:rPr>
      </w:pPr>
    </w:p>
    <w:p>
      <w:pPr>
        <w:ind w:left="1265" w:hanging="1265"/>
        <w:spacing w:after="0"/>
        <w:tabs>
          <w:tab w:leader="none" w:pos="1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45"/>
          </w:cols>
          <w:pgMar w:left="275" w:top="125" w:right="27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125"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of the Board, President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February 29, 2016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February 29, 2016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460" w:type="dxa"/>
            <w:vAlign w:val="bottom"/>
          </w:tcPr>
          <w:p>
            <w:pPr>
              <w:spacing w:after="0"/>
              <w:rPr>
                <w:sz w:val="17"/>
                <w:szCs w:val="17"/>
                <w:color w:val="auto"/>
              </w:rPr>
            </w:pPr>
          </w:p>
        </w:tc>
        <w:tc>
          <w:tcPr>
            <w:tcW w:w="4340" w:type="dxa"/>
            <w:vAlign w:val="bottom"/>
            <w:gridSpan w:val="3"/>
          </w:tcPr>
          <w:p>
            <w:pPr>
              <w:ind w:left="2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60" w:type="dxa"/>
            <w:vAlign w:val="bottom"/>
          </w:tcPr>
          <w:p>
            <w:pPr>
              <w:ind w:left="40"/>
              <w:spacing w:after="0"/>
              <w:rPr>
                <w:sz w:val="20"/>
                <w:szCs w:val="20"/>
                <w:color w:val="auto"/>
              </w:rPr>
            </w:pPr>
            <w:r>
              <w:rPr>
                <w:rFonts w:ascii="Arial" w:cs="Arial" w:eastAsia="Arial" w:hAnsi="Arial"/>
                <w:sz w:val="18"/>
                <w:szCs w:val="18"/>
                <w:color w:val="auto"/>
              </w:rPr>
              <w:t>/s/ DAVID P. KING</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Chairman of the Board, President and Chief</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Arial" w:cs="Arial" w:eastAsia="Arial" w:hAnsi="Arial"/>
                <w:sz w:val="18"/>
                <w:szCs w:val="18"/>
                <w:color w:val="auto"/>
              </w:rPr>
              <w:t>Executive Officer (Principal Executive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David P. King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GLENN A. EISENBERG</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Arial" w:cs="Arial" w:eastAsia="Arial" w:hAnsi="Arial"/>
                <w:sz w:val="18"/>
                <w:szCs w:val="18"/>
                <w:color w:val="auto"/>
              </w:rPr>
              <w:t>Officer and Treasurer (Principal Financial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Glenn A. Eisenberg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EDWARD T. DODSON</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w w:val="94"/>
              </w:rPr>
              <w:t>Chief Accounting Officer (Principal Accounting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Edward T. Dodson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Kerrii B. Anderson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Jean-Luc Bélingard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Gary Gilliland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Garheng Kong,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Robert E. Mittelstaedt, Jr.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Peter M. Neupert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Richelle Parham</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Adam H. Schechter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 Sanders Williams, M.D.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8"/>
        <w:spacing w:after="0" w:line="308" w:lineRule="auto"/>
        <w:tabs>
          <w:tab w:leader="none" w:pos="2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 Samuel Eberts III, by his signing his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 SAMUEL EBERTS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 Samuel Eberts III</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02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920" w:type="dxa"/>
            <w:vAlign w:val="bottom"/>
            <w:gridSpan w:val="8"/>
          </w:tcPr>
          <w:p>
            <w:pPr>
              <w:jc w:val="center"/>
              <w:ind w:right="11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00" w:type="dxa"/>
            <w:vAlign w:val="bottom"/>
            <w:gridSpan w:val="5"/>
          </w:tcPr>
          <w:p>
            <w:pPr>
              <w:jc w:val="center"/>
              <w:ind w:right="193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b w:val="1"/>
                <w:bCs w:val="1"/>
                <w:color w:val="auto"/>
                <w:w w:val="99"/>
              </w:rPr>
              <w:t>AND SCHEDULE</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0"/>
              </w:rPr>
              <w:t>Page</w:t>
            </w:r>
          </w:p>
        </w:tc>
      </w:tr>
      <w:tr>
        <w:trPr>
          <w:trHeight w:val="34"/>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Report of Independent Registered Public Accounting Firm</w:t>
              </w:r>
            </w:hyperlink>
          </w:p>
        </w:tc>
        <w:tc>
          <w:tcPr>
            <w:tcW w:w="60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F-2</w:t>
              </w:r>
            </w:hyperlink>
          </w:p>
        </w:tc>
        <w:tc>
          <w:tcPr>
            <w:tcW w:w="440" w:type="dxa"/>
            <w:vAlign w:val="bottom"/>
            <w:gridSpan w:val="2"/>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Operations</w:t>
              </w:r>
            </w:hyperlink>
          </w:p>
        </w:tc>
        <w:tc>
          <w:tcPr>
            <w:tcW w:w="71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F-4</w:t>
              </w:r>
            </w:hyperlink>
          </w:p>
        </w:tc>
        <w:tc>
          <w:tcPr>
            <w:tcW w:w="440" w:type="dxa"/>
            <w:vAlign w:val="bottom"/>
            <w:gridSpan w:val="2"/>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Comprehensive Earnings</w:t>
              </w:r>
            </w:hyperlink>
          </w:p>
        </w:tc>
        <w:tc>
          <w:tcPr>
            <w:tcW w:w="61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F-5</w:t>
              </w:r>
            </w:hyperlink>
          </w:p>
        </w:tc>
        <w:tc>
          <w:tcPr>
            <w:tcW w:w="440" w:type="dxa"/>
            <w:vAlign w:val="bottom"/>
            <w:gridSpan w:val="2"/>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Changes in Shareholders' Equity</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F-6</w:t>
              </w:r>
            </w:hyperlink>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top w:val="single" w:sz="8" w:color="0000EE"/>
            </w:tcBorders>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w:t>
              </w:r>
            </w:hyperlink>
          </w:p>
        </w:tc>
        <w:tc>
          <w:tcPr>
            <w:tcW w:w="5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85">
              <w:r>
                <w:rPr>
                  <w:rFonts w:ascii="Arial" w:cs="Arial" w:eastAsia="Arial" w:hAnsi="Arial"/>
                  <w:sz w:val="18"/>
                  <w:szCs w:val="18"/>
                  <w:color w:val="0000EE"/>
                  <w:w w:val="96"/>
                </w:rPr>
                <w:t>F-7</w:t>
              </w:r>
            </w:hyperlink>
          </w:p>
        </w:tc>
        <w:tc>
          <w:tcPr>
            <w:tcW w:w="440" w:type="dxa"/>
            <w:vAlign w:val="bottom"/>
            <w:gridSpan w:val="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F-8</w:t>
              </w:r>
            </w:hyperlink>
          </w:p>
        </w:tc>
      </w:tr>
      <w:tr>
        <w:trPr>
          <w:trHeight w:val="561"/>
        </w:trPr>
        <w:tc>
          <w:tcPr>
            <w:tcW w:w="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 Schedule:</w:t>
            </w:r>
          </w:p>
        </w:tc>
        <w:tc>
          <w:tcPr>
            <w:tcW w:w="71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II - Valuation and Qualifying Accounts and Reserves</w:t>
              </w:r>
            </w:hyperlink>
          </w:p>
        </w:tc>
        <w:tc>
          <w:tcPr>
            <w:tcW w:w="1140" w:type="dxa"/>
            <w:vAlign w:val="bottom"/>
            <w:gridSpan w:val="5"/>
          </w:tcPr>
          <w:p>
            <w:pPr>
              <w:jc w:val="cente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F-50</w:t>
              </w:r>
            </w:hyperlink>
          </w:p>
        </w:tc>
      </w:tr>
      <w:tr>
        <w:trPr>
          <w:trHeight w:val="50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Laboratory Corporation of America Holdings:</w:t>
      </w:r>
    </w:p>
    <w:p>
      <w:pPr>
        <w:spacing w:after="0" w:line="200" w:lineRule="exact"/>
        <w:rPr>
          <w:sz w:val="20"/>
          <w:szCs w:val="20"/>
          <w:color w:val="auto"/>
        </w:rPr>
      </w:pPr>
    </w:p>
    <w:p>
      <w:pPr>
        <w:spacing w:after="0" w:line="227"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Laboratory Corporation of America Holdings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243"/>
        <w:spacing w:after="0" w:line="302" w:lineRule="auto"/>
        <w:rPr>
          <w:sz w:val="20"/>
          <w:szCs w:val="20"/>
          <w:color w:val="auto"/>
        </w:rPr>
      </w:pPr>
      <w:r>
        <w:rPr>
          <w:rFonts w:ascii="Arial" w:cs="Arial" w:eastAsia="Arial" w:hAnsi="Arial"/>
          <w:sz w:val="16"/>
          <w:szCs w:val="16"/>
          <w:color w:val="auto"/>
        </w:rPr>
        <w:t>As described in Item 9A Controls and Procedures, management has excluded Covance, Inc. from its assessment of internal control over financial reporting as of December 31, 2015 because it was acquired by the Company in a purchase business combination during 2015. We have also excluded Covance, Inc. from our audit of internal control over financial reporting. Covance, Inc. is a wholly-owned subsidiary whose total assets and total revenues represent 11% and 27%, respectively, of the related consolidated financial statement amounts as of and for the year ended December 31, 2015.</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1"/>
              </w:rPr>
              <w:t>Accounts receivable, net of allowance for doubtful accounts of $217.0 and $211.6 at December 31, 2015</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2014, respectively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9,262.4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4,463.6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Common stock, 101.3 and 84.6 shares outstanding at December 31, 2015 and 2014,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4,944.4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2,820.5</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5,808.3</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4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8,680.1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5,808.3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cost of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3,585.1</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Reimbursable out-of-pocket expenses</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440" w:type="dxa"/>
            <w:vAlign w:val="bottom"/>
            <w:tcBorders>
              <w:top w:val="single" w:sz="8" w:color="CCEEFF"/>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5,776.8</w:t>
            </w:r>
          </w:p>
        </w:tc>
        <w:tc>
          <w:tcPr>
            <w:tcW w:w="100" w:type="dxa"/>
            <w:vAlign w:val="bottom"/>
            <w:tcBorders>
              <w:top w:val="single" w:sz="8" w:color="CCEEFF"/>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3,808.5</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3,585.1</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1,128.8</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income (expenses):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Equity method income, net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340.2</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573.8</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42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0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8380" w:type="dxa"/>
            <w:vAlign w:val="bottom"/>
            <w:gridSpan w:val="4"/>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COMPREHENSIVE EARNINGS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Investment adjustments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44"/>
        </w:trPr>
        <w:tc>
          <w:tcPr>
            <w:tcW w:w="7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 related to items of comprehensive earnings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Comprehensive earnings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572.2</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comprehensive earnings attributable to Laboratory Corporation of America Holdings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9"/>
              </w:rPr>
              <w:t>Total</w:t>
            </w: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Paid-in</w:t>
            </w:r>
          </w:p>
        </w:tc>
        <w:tc>
          <w:tcPr>
            <w:tcW w:w="18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Shareholders’</w:t>
            </w:r>
          </w:p>
        </w:tc>
      </w:tr>
      <w:tr>
        <w:trPr>
          <w:trHeight w:val="201"/>
        </w:trPr>
        <w:tc>
          <w:tcPr>
            <w:tcW w:w="4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Income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Equity</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2,717.4</w:t>
            </w: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573.8</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174.0</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83"/>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(1,015.6)</w:t>
            </w:r>
          </w:p>
        </w:tc>
      </w:tr>
      <w:tr>
        <w:trPr>
          <w:trHeight w:val="23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18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3,373.5</w:t>
            </w:r>
          </w:p>
        </w:tc>
        <w:tc>
          <w:tcPr>
            <w:tcW w:w="1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(958.9)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2,491.3</w:t>
            </w:r>
          </w:p>
        </w:tc>
      </w:tr>
      <w:tr>
        <w:trPr>
          <w:trHeight w:val="163"/>
        </w:trPr>
        <w:tc>
          <w:tcPr>
            <w:tcW w:w="4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511.2</w:t>
            </w:r>
          </w:p>
        </w:tc>
      </w:tr>
      <w:tr>
        <w:trPr>
          <w:trHeight w:val="264"/>
        </w:trPr>
        <w:tc>
          <w:tcPr>
            <w:tcW w:w="4460" w:type="dxa"/>
            <w:vAlign w:val="bottom"/>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45.7</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(269.0)</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2,820.5</w:t>
            </w: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436.9</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for acquisition consideration</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1,761.0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1,762.5</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102.1</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57"/>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1,974.5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4,223.0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(978.1)</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4,944.4</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5"/>
              </w:rPr>
              <w:t>(In Millions)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4"/>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Stock compensation</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(gain) on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9"/>
              </w:rPr>
              <w:t>Cumulative earnings less than (in excess of) distributions from equity method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in unbilled services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Decrease (increase) in prepaid expenses and other</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(decrease) in 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in deferred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 accrued expenses and other</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Proceeds from sale of investments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licensing technology</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Notes offerings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payments on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Purchase of common stock</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71"/>
        </w:trPr>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9019"/>
          </w:cols>
          <w:pgMar w:left="1440" w:top="125" w:right="1440"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440" w:firstLine="8"/>
        <w:spacing w:after="0" w:line="503" w:lineRule="auto"/>
        <w:tabs>
          <w:tab w:leader="none" w:pos="27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Financial Statement Presentation</w:t>
      </w:r>
    </w:p>
    <w:p>
      <w:pPr>
        <w:spacing w:after="0" w:line="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Laboratory Corporation of America Holdings and its subsidiaries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changing the way care is provided through the deployment of technology-enabled solutions. The Company serves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178"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20 to the Consolidated Financial Statements. In 2015, LCD and CDD contributed 72.9% and 27.1%, respectively, of net revenues to the Company.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LCD recognizes revenue on the accrual basis at the time test results are reported, which approximates when services are provided. Services are provided to certain patients covered by various third-party payer programs including various MCOs, as well as the Medicare and Medicaid programs. Billings for services under third-party payer programs are included in sales net of allowances for contractual discounts and allowances for differences between the amounts billed and estimated program payment amounts. Adjustments to the estimated payment amounts based on final settlement with the programs are recorded upon settlement as an adjustment to revenue. In 2015, 2014 and 2013, approximately 16.0%, 15.0% and 16.0%, respectively, of LCD's revenues were derived directly from the Medicare and Medicaid programs. LCD has capitated agreements with certain MCO customers and recognizes related revenue based on a predetermined monthly contractual rate for each member of the managed care plan regardless of the number or cost of services provided by the Company. In 2015, 2014 and 2013, approximately 3.5%, 3.5% and 3.2%, respectively, of LCD's revenues were derived from such capitated agreements.</w:t>
      </w:r>
    </w:p>
    <w:p>
      <w:pPr>
        <w:spacing w:after="0" w:line="1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CDD also has committed minimum volume arrangements with certain clients.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9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Examples of output measures in early development services, include among others, the number of slides read, or specimens prepared for preclinical laboratory services, or number of dosings or number of volunteers enrolled for clinical pharmacology. Examples of 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8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8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7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7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certain out-of-pocket costs, for which it is reimbursed at cost, without mark-up or profit. Investigator fees are not reflected in net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w w:val="99"/>
              </w:rPr>
              <w:t>The Company's net revenues are comprised of the following:</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5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4"/>
                <w:szCs w:val="24"/>
                <w:color w:val="auto"/>
              </w:rPr>
            </w:pPr>
          </w:p>
        </w:tc>
      </w:tr>
      <w:tr>
        <w:trPr>
          <w:trHeight w:val="34"/>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revenues</w:t>
            </w:r>
          </w:p>
        </w:tc>
        <w:tc>
          <w:tcPr>
            <w:tcW w:w="16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LCD - net revenue</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CDD - net revenue</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138.9</w:t>
            </w: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CDD - reimbursable out-of-pocket expenses</w:t>
            </w:r>
          </w:p>
        </w:tc>
        <w:tc>
          <w:tcPr>
            <w:tcW w:w="16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8,680.1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6,011.6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5,808.3</w:t>
            </w:r>
          </w:p>
        </w:tc>
      </w:tr>
      <w:tr>
        <w:trPr>
          <w:trHeight w:val="20"/>
        </w:trPr>
        <w:tc>
          <w:tcPr>
            <w:tcW w:w="5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F-9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9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pharmaceutical company sponsors with regard to investigator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the allowances for doubtful accounts, deferred tax assets, fair values and amortization lives for intangible assets, and accruals for self-insurance reserves and pensions. The allowance for doubtful accounts is determined based on historical collections trends, the aging of accounts, current economic conditions and regulatory changes.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7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maintains cash and cash equivalents with various major financial institutions. The total cash balances on deposit that exceeded the balances insured by the Federal Deposit Insurance Commission, were approximately $243.6 at December 31, 2015. Cash equivalents at December 31, 2015, totaled $491.3, which includes amounts invested in money market funds, time deposits, municipal, treasury and government funds.</w:t>
      </w:r>
    </w:p>
    <w:p>
      <w:pPr>
        <w:spacing w:after="0" w:line="16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Substantially all of the Company’s accounts receivable are with companies in the healthcare industry and individuals. However, concentrations of credit risk are limited due to the number of the Company’s clients as well as their dispersion across many different geographic regions.</w:t>
      </w:r>
    </w:p>
    <w:p>
      <w:pPr>
        <w:spacing w:after="0" w:line="147"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While the Company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$112.0 and $135.1 at December 31, 2015 and 2014, respectively.</w:t>
      </w:r>
    </w:p>
    <w:p>
      <w:pPr>
        <w:spacing w:after="0" w:line="147"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providers in the province during the year. The accounts receivable balances from the Ontario government sponsored healthcare plan were CN$21.3 and CN$22.4 at December 31, 2015 and 2014, respectively.</w:t>
      </w:r>
    </w:p>
    <w:p>
      <w:pPr>
        <w:spacing w:after="0" w:line="16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2015 and 2014, receivables due from patients represent approximately 18.8% and 27.1% of the Company's consolidated gross accounts receivable. The Company applies assumptions and judgments including historical collection experience for assessing collectibility and determining allowances for doubtful accounts for accounts receivable from patients.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Per Share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Per Share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Per Share</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92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880" w:type="dxa"/>
            <w:vAlign w:val="bottom"/>
            <w:gridSpan w:val="2"/>
          </w:tcPr>
          <w:p>
            <w:pPr>
              <w:ind w:left="16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40"/>
        </w:trPr>
        <w:tc>
          <w:tcPr>
            <w:tcW w:w="3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Arial" w:cs="Arial" w:eastAsia="Arial" w:hAnsi="Arial"/>
                <w:sz w:val="16"/>
                <w:szCs w:val="16"/>
                <w:color w:val="auto"/>
              </w:rPr>
              <w:t>Stock options</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80"/>
              <w:spacing w:after="0"/>
              <w:rPr>
                <w:sz w:val="20"/>
                <w:szCs w:val="20"/>
                <w:color w:val="auto"/>
              </w:rPr>
            </w:pPr>
            <w:r>
              <w:rPr>
                <w:rFonts w:ascii="Arial" w:cs="Arial" w:eastAsia="Arial" w:hAnsi="Arial"/>
                <w:sz w:val="16"/>
                <w:szCs w:val="16"/>
                <w:color w:val="auto"/>
              </w:rPr>
              <w:t>Effect of convertible debt, net of tax</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color w:val="auto"/>
                <w:w w:val="92"/>
              </w:rPr>
              <w:t>Years Ended December 31,</w:t>
            </w:r>
          </w:p>
        </w:tc>
        <w:tc>
          <w:tcPr>
            <w:tcW w:w="90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720" w:type="dxa"/>
            <w:vAlign w:val="bottom"/>
            <w:gridSpan w:val="3"/>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r>
      <w:tr>
        <w:trPr>
          <w:trHeight w:val="27"/>
        </w:trPr>
        <w:tc>
          <w:tcPr>
            <w:tcW w:w="7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9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measures stock compensation cost for all equity awards at fair value on the date of grant and recognizes compensation expense over the service period for awards expected to vest. The fair value of restricted stock units and performance share awards is determined based on the number of shares granted and the quoted price of the Company’s common stock on the grant date. Such value is recognized as expense over the service period, net of estimated forfeitures. The estimation of equity awards that will ultimately vest requires judgment and the Company considers many factors when estimating expected forfeitures, including types of awards, employee class, and historical experience. The cumulative effect on current and prior periods of a change in the estimated forfeiture rate is recognized as compensation expense in earnings in the period of the revision. Actual results and future estimates may differ substantially from the Company’s current estimates.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14 for assumptions used in calculating compensation expense for the Company’s stock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substantially all of which have original maturities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Inventories, consisting primarily of purchased laboratory and client supplies and finished goods for CDD, are stated at the lower of cost (first-in, first-out) or market. Supplies accounted for $157.7 and $139.5 and finished goods accounted for $33.3 million and $0.0 million of total inventory at December 31,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w:t>
      </w:r>
    </w:p>
    <w:p>
      <w:pPr>
        <w:spacing w:after="0" w:line="12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in the accompanying consolidated balance sheets and totaled $92.5 at December 31,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Also included in prepaid expenses and other current assets are assets held for sale. The Company records long-lived assets as held for sale when a plan to sell the asset has been initiated and all other held for sale criteria have been satisfied. Assets classified as held for sale of $72.4 as of December 31, 2015 are recorded in other current assets on the consolidated balance sheet at the lower of their carrying value or fair value less cost to sell. There were no assets held for sale as of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Property, plant and equipment are recorded at cost. The cost of properties held under capital leases is equal to the lower of the net present value of the minimum lease payments or the fair value of the leased property at the inception of the lease. Depreciation and amortization expense is computed on all classes of assets based on their estimated useful lives, as indicated below, using the straight-line method.</w:t>
      </w:r>
    </w:p>
    <w:p>
      <w:pPr>
        <w:spacing w:after="0" w:line="127"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Leasehold improvements and assets held under capital leases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capitalizes purchased software which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generally five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In 2015, the Company changed the timing of its annual impairment testing from the end of the year to the beginning of the fourth quarter. In accordance with the FASB updates to their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first step of the two-step assessment. Similarly, a company can proceed directly to a quantitative assessment in the case of impairment testing for indefinite-lived intangible assets as well.</w:t>
      </w:r>
    </w:p>
    <w:p>
      <w:pPr>
        <w:spacing w:after="0" w:line="18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Step One of the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However, if the estimated fair value is less than the carrying value, the Company performs the second step of the goodwill impairment test is performed to measure the amount of the impairment, if any. The second step involves a hypothetical allocation of the estimated fair value of the reporting unit to its tangible and intangible assets (excluding goodwill) and liabilities as if the reporting unit were newly acquired, which results in an implied fair value of the goodwill. The amount of the impairment charge is the excess of the recorded goodwill, if any, over the implied fair value of the goodwill.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concluded that no triggering events occurred during 2015 related to goodwill and indefinite-lived intangible assets. As such, management performed its annual goodwill and intangible asset impairment testing as of the beginning of the fourth quarter of 2015. The Company elected to perform the qualitative assessment for goodwill and intangible assets, with the exception of the indefinite-lived Canadian licenses, for all reporting units.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are inherent uncertainties related to the factors described above and judgment related to the Company's impairment assessments of goodwill and indefinite-lived intangibles. The assumptions underlying the impairment analyses may change in such a manner that impairment in value may occur in the future. Any such impairment will be recognized in the period in which it becomes known.</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 The Company impaired long-lived assets of $39.7 and $0.0, for the years ended December 31, 2015 and 2014,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11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costs related to the issuance of debt are capitalized and amortized to interest expense over the terms of the related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discounted and is based on actuarial assumptions and factors for known and incurred but not reported claims, including the frequency and payment trends of historical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 The Company’s zero-coupon subordinated notes contain two features that are considered to be embedded derivative instruments under authoritative guidance in connection with accounting for derivative instruments and hedging activities. The Company believes these embedded derivatives had no fair value at December 31, 2015 and 2014.</w:t>
      </w:r>
    </w:p>
    <w:p>
      <w:pPr>
        <w:spacing w:after="0" w:line="1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See Note 18 for the Company’s objectives in using derivative instruments and the effect of derivative instruments and related hedged items on the Company’s financial position, financial performance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expenses R&amp;D costs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9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April 2014, the FASB issued a new accounting standard on discontinued operations that significantly changed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effective beginning of 2015 and will apply it prospectively to all new disposals of components and new classifications as held for sale. The adoption of this standard did not have a material impact on the consolidated financial statements.</w:t>
      </w:r>
    </w:p>
    <w:p>
      <w:pPr>
        <w:spacing w:after="0" w:line="16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early adoption permitted for annual periods beginning after December 16, 2016. The Company is currently evaluating the expected impact of the standard.</w:t>
      </w:r>
    </w:p>
    <w:p>
      <w:pPr>
        <w:spacing w:after="0" w:line="7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associated debt liability. This standard became effective for the Company beginning January 1, 2016. The new guidance applies on a retrospective basis.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2015, the FASB issued a new accounting standard allowing entities to exclude investments measured at net asset value per share under the existing practical expedient from the fair value hierarchy. In addition, when the net asset value practical expedient is not applied to eligible investments, certain other disclosures are no longer required. The standard became effective for the Company beginning January 1, 2016. The adoption of this standard is not expected to have a material impact on the consolidated financial statements.</w:t>
      </w:r>
    </w:p>
    <w:p>
      <w:pPr>
        <w:spacing w:after="0" w:line="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July 2015, the FASB issued a new accounting standard that requires an entity to measure inventory, except inventory that is measured using last-in, first-out (LIFO) or the retail inventory method, at the lower of cost and net realizable value. Net realizable value is the estimated selling price in the ordinary course of business, less reasonably predictable costs of completion, disposal, and transportation. The standard became effective for the Company beginning January 1, 2016. The adoption of this standard is not expected to have a material impact on the consolidated financial statements.</w:t>
      </w:r>
    </w:p>
    <w:p>
      <w:pPr>
        <w:spacing w:after="0" w:line="7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FASB issued a new accounting standard that eliminates the requirement to restate prior period financial statements for measurement period adjustments. The standard requires that the cumulative impact of a measurement period adjustment, including the impact on prior periods, be recognized in the reporting period in which the adjustment is identified. The standard became effective for the Company beginning January 1, 2016 and applies prospectively to measurement period adjustments that occur after the effective date. The adoption of this standard is not expected to have a material impact on the consolidated financial statements.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the deferred tax liabilities and assets to be classified as noncurrent on the consolidated balance sheet. The standard will be effective for the Company beginning January 1, 2017, with early adoption permitted. The adoption of this standard is not expected to have a material impact on the consolidated financial statements.</w:t>
      </w:r>
    </w:p>
    <w:p>
      <w:pPr>
        <w:spacing w:after="0" w:line="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instruments from the first entity or to exchange other financial instruments on potentially favorable terms with the first entity. The standard will be effective for the Company beginning January 1, 2018, with early adoption permitted. The Company is evaluating the impact that this new guidance will have on the consolidated financial statements.</w:t>
      </w:r>
    </w:p>
    <w:p>
      <w:pPr>
        <w:spacing w:after="0" w:line="18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BUSINESS ACQUISITIONS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19, 2015 (Acquisition Date), the Company completed its acquisition (Acquisition) of Covance Inc. (Covance), a leading drug development services company and a leader in nutritional analysis, for $6,150.7. The Company issued debt and common stock to fund the Acquisition. Covance stockholders received $75.76 in cash and 0.2686 shares of the Company's common stock for each share of Covance common stock they owned. The Company financed the Acquisition with 3,900.0 of debt, 15.3 shares of its common stock and $488.2 of available cash, $400.0 of which was derived from a bridge term loan credit facility. 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The Company also entered into a $1,000.0 term loan facility which was advanced in full on February 19, 2015. The term loan credit facility will mature five years after the closing date of the Acquisition and may be prepaid without penalty.</w:t>
      </w:r>
    </w:p>
    <w:p>
      <w:pPr>
        <w:spacing w:after="0" w:line="9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The Company has continued to finalize its purchase price allocation during the measurement period and obtained new fair value information related to the assets acquired and liabilities assumed of Covance, including the related lives of acquired assets. The facts and circumstances that existed at the date of acquisition, if known, would have affected the measurement of the amounts recognized at that date.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measurement period adjustments are not included in current earnings, but recognized as of the date of the acquisition with a corresponding adjustment to goodwill resulting from the change in preliminary amounts. As a result, the Company adjusted the preliminary allocation of the purchase price initially recorded at the Acquisition Date to reflect these measurement period adjustments. While the purchase price allocation is substantially complete, it is still preliminary and subject to change. The areas of the purchase price that are not yet finalized relate primarily to the impact of finalizing deferred taxes and the final allocation of goodwill to the various foreign and domestic subsidiaries of Covance. Accordingly, adjustments may be made as additional information is obtained about the facts and circumstances that existed at the valuation date. The purchase price allocation and related push down to subsidiaries will be finalized in the first quarter of 2016. The impact of any such changes will be reflected in the opening balance sheet and the comparative periods will be revised to include the effect of the measurement period adjustments as if they had been completed on the Acquisition Date in accordance with ASC 805. Any adjustments impacting amounts allocable to international location as finalized will impact currency translation and therefore comprehensive income for the comparative periods as well.</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valuation of acquired assets and assumed liabilities at the date of Acquisition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135255</wp:posOffset>
            </wp:positionV>
            <wp:extent cx="67748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4815" cy="171450"/>
                    </a:xfrm>
                    <a:prstGeom prst="rect">
                      <a:avLst/>
                    </a:prstGeom>
                    <a:noFill/>
                  </pic:spPr>
                </pic:pic>
              </a:graphicData>
            </a:graphic>
          </wp:anchor>
        </w:drawing>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Stock consideration</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1,762.5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4,388.2</w:t>
            </w:r>
          </w:p>
        </w:tc>
      </w:tr>
      <w:tr>
        <w:trPr>
          <w:trHeight w:val="237"/>
        </w:trPr>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67"/>
        </w:trPr>
        <w:tc>
          <w:tcPr>
            <w:tcW w:w="3200" w:type="dxa"/>
            <w:vAlign w:val="bottom"/>
            <w:tcBorders>
              <w:bottom w:val="single" w:sz="8" w:color="CCEEFF"/>
            </w:tcBorders>
          </w:tcPr>
          <w:p>
            <w:pPr>
              <w:spacing w:after="0"/>
              <w:rPr>
                <w:sz w:val="5"/>
                <w:szCs w:val="5"/>
                <w:color w:val="auto"/>
              </w:rPr>
            </w:pPr>
          </w:p>
        </w:tc>
        <w:tc>
          <w:tcPr>
            <w:tcW w:w="2140" w:type="dxa"/>
            <w:vAlign w:val="bottom"/>
            <w:tcBorders>
              <w:bottom w:val="single" w:sz="8" w:color="CCEEFF"/>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r>
      <w:tr>
        <w:trPr>
          <w:trHeight w:val="224"/>
        </w:trPr>
        <w:tc>
          <w:tcPr>
            <w:tcW w:w="3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25"/>
        </w:trPr>
        <w:tc>
          <w:tcPr>
            <w:tcW w:w="3200" w:type="dxa"/>
            <w:vAlign w:val="bottom"/>
          </w:tcPr>
          <w:p>
            <w:pPr>
              <w:spacing w:after="0"/>
              <w:rPr>
                <w:sz w:val="19"/>
                <w:szCs w:val="19"/>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b w:val="1"/>
                <w:bCs w:val="1"/>
                <w:color w:val="auto"/>
              </w:rPr>
              <w:t>Preliminary February 19,</w:t>
            </w:r>
          </w:p>
        </w:tc>
        <w:tc>
          <w:tcPr>
            <w:tcW w:w="220" w:type="dxa"/>
            <w:vAlign w:val="bottom"/>
          </w:tcPr>
          <w:p>
            <w:pPr>
              <w:spacing w:after="0"/>
              <w:rPr>
                <w:sz w:val="19"/>
                <w:szCs w:val="19"/>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Measurement Period</w:t>
            </w:r>
          </w:p>
        </w:tc>
        <w:tc>
          <w:tcPr>
            <w:tcW w:w="2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Adjusted February 19, 2015</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780.8</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347.9</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1,018.2</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3,040.2</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1,830.3</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Land use right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Favorable leases</w:t>
            </w:r>
          </w:p>
        </w:tc>
        <w:tc>
          <w:tcPr>
            <w:tcW w:w="5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7,849.0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8,000.8</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280.8</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852.5</w:t>
            </w:r>
          </w:p>
        </w:tc>
      </w:tr>
      <w:tr>
        <w:trPr>
          <w:trHeight w:val="27"/>
        </w:trPr>
        <w:tc>
          <w:tcPr>
            <w:tcW w:w="3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1,850.1</w:t>
            </w:r>
          </w:p>
        </w:tc>
      </w:tr>
      <w:tr>
        <w:trPr>
          <w:trHeight w:val="257"/>
        </w:trPr>
        <w:tc>
          <w:tcPr>
            <w:tcW w:w="3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20"/>
        </w:trPr>
        <w:tc>
          <w:tcPr>
            <w:tcW w:w="3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amortization periods for intangible assets acquired are 28 years for customer relationships, 15 years for trade names and trademarks, 10 years for technology, and 8 years for favorable leases. The Company recorded certain measurement period</w:t>
      </w:r>
    </w:p>
    <w:p>
      <w:pPr>
        <w:sectPr>
          <w:pgSz w:w="11900" w:h="16838" w:orient="portrait"/>
          <w:cols w:equalWidth="0" w:num="1">
            <w:col w:w="11420"/>
          </w:cols>
          <w:pgMar w:left="240" w:top="125" w:right="239" w:bottom="271"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271"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and certain classifications of expenses, including items associated with the allocation of stock compensation, from cost of revenue to selling, general and administrative expenses.</w:t>
      </w:r>
    </w:p>
    <w:p>
      <w:pPr>
        <w:spacing w:after="0" w:line="130" w:lineRule="exact"/>
        <w:rPr>
          <w:sz w:val="20"/>
          <w:szCs w:val="20"/>
          <w:color w:val="auto"/>
        </w:rPr>
      </w:pPr>
    </w:p>
    <w:p>
      <w:pPr>
        <w:ind w:right="1100" w:firstLine="243"/>
        <w:spacing w:after="0" w:line="422" w:lineRule="auto"/>
        <w:rPr>
          <w:sz w:val="20"/>
          <w:szCs w:val="20"/>
          <w:color w:val="auto"/>
        </w:rPr>
      </w:pPr>
      <w:r>
        <w:rPr>
          <w:rFonts w:ascii="Arial" w:cs="Arial" w:eastAsia="Arial" w:hAnsi="Arial"/>
          <w:sz w:val="18"/>
          <w:szCs w:val="18"/>
          <w:color w:val="auto"/>
        </w:rPr>
        <w:t xml:space="preserve">The Acquisition contributed $2,209.7 and $167.2 of revenue and operating income, respectively, during the year ended December 31, 2015. </w:t>
      </w:r>
      <w:r>
        <w:rPr>
          <w:rFonts w:ascii="Arial" w:cs="Arial" w:eastAsia="Arial" w:hAnsi="Arial"/>
          <w:sz w:val="18"/>
          <w:szCs w:val="18"/>
          <w:i w:val="1"/>
          <w:iCs w:val="1"/>
          <w:color w:val="auto"/>
        </w:rPr>
        <w:t>Unaudited Pro Forma Information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Acquisition on February 19, 2015. Had the Acquisition been completed as of the beginning of 2014, the Company's pro forma results for 2015 and 2014 would have been as follows:</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Year Ended December 31,</w:t>
            </w:r>
          </w:p>
        </w:tc>
      </w:tr>
      <w:tr>
        <w:trPr>
          <w:trHeight w:val="34"/>
        </w:trPr>
        <w:tc>
          <w:tcPr>
            <w:tcW w:w="7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7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8,711.2</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907.7</w:t>
            </w:r>
          </w:p>
        </w:tc>
      </w:tr>
      <w:tr>
        <w:trPr>
          <w:trHeight w:val="27"/>
        </w:trPr>
        <w:tc>
          <w:tcPr>
            <w:tcW w:w="7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Laboratory Corporation of America Holdings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7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4.16</w:t>
            </w:r>
          </w:p>
        </w:tc>
      </w:tr>
    </w:tbl>
    <w:p>
      <w:pPr>
        <w:spacing w:after="0" w:line="134"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The unaudited pro forma results reflect certain adjustments related to past operating performance, acquisition costs and acquisition accounting adjustments, such as increased amortization expense and decreased depreciation expense based on the estimated fair value of assets acquired, the impact of the Company’s new financing arrangements, and the related tax effects. The pro forma results include costs directly attributable to the Acquisition which are not expected to have a continuing impact on the combined company, such as transaction costs of $207.6; comprised of change in control, retention and severance arrangements of $26.8; acceleration of stock based compensation of $43.2 and related employer taxes of $9.4; legal, advisor and success fees of $75.6; write-off of bridge and other deferred financing fees of $15.2; and make-whole payments of $37.4 made in connection with the prepayment of Covance's existing private placement debt, all of which are included in the pro forma results of operations for the year ended December 31, 2014. The pro forma results do not include any anticipated synergies which may be achievable subsequent to the Acquisition. To produce the unaudited pro forma financial information, the Company adjusted Covance’s assets and liabilities to their estimated fair value based on a valuation as of the Acquisition Date. These pro forma results of operations have been prepared for comparative purposes only, and they do not purport to be indicative of the results of operations that actually would have resulted had the Acquisition occurred on the date indicated or that may result in the future.</w:t>
      </w:r>
    </w:p>
    <w:p>
      <w:pPr>
        <w:spacing w:after="0" w:line="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year ended December 31, 2015, the Company also acquired various laboratories and related assets for approximately $128.6 in cash (net of cash acquired). The purchase consideration for these acquisitions has been allocated to the estimated fair market value of the net assets acquired, including approximately $17.4 in identifiable intangible assets (primarily customer relationships) and a residual amount of goodwill of approximately $68.4. These acquisitions were made primarily to extend the Company's geographic reach in important market areas and/or enhance the Company's scientific differentiation and esoteric testing capabilities. The Company's results would not have been materially different from its pro forma results had the Company's other 2015 acquisitions occurred at the beginning of 2014.</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November 20, 2014, the Company completed its acquisition of LipoScience, Inc. (LipoScience), a provider of specialized cardiovascular diagnostic laboratory tests based on nuclear magnetic resonance (NMR) technology, for a purchase price of $5.25 per share or a transaction value of $67.9 (net of cash acquired).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LipoScience purchase consideration has been allocated to the estimated fair market value of the net assets acquired, including approximately $27.2 in identifiable intangible assets (primarily non-tax deductible customer relationships, technology and trade names and trademarks) with weighted-average useful lives of approximately 19.5 years; $9.4 in deferred tax liabilities (relating to identifiable intangible assets); and a residual amount of non-tax deductible goodwill of approximately $17.4.</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year ended December 31, 2014, the Company also acquired various other laboratories and related assets for approximately $91.5 in cash (net of cash acquired). These acquisitions were made primarily to extend the Company's geographic reach in important market areas and/or enhance the Company's scientific differentiation and esoteric testing capabilities. The purchase consideration for these acquisitions has been allocated to the estimated fair market value of the net assets acquired, including approximately $22.0 in identifiable intangible assets (primarily customer relationships and non-compete agreements) and a residual amount of goodwill of approximately $63.4.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During the year ended December 31, 2013, the Company also acquired various other laboratories and related assets for approximately $159.5 in cash (net of cash acquired). These acquisitions were made primarily to extend the Company's geographic reach in important market areas and/or enhance the Company's scientific differentiation and esoteric testing capabilities.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Contingent consideration liabilities associated with the Company's business acquisitions are recorded at fair value based upon the estimated probability assessment of the earn-out criteria. Changes in the fair value of contingent consideration liabilities are recognized in earnings until the arrangement is settled.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OTHER SPECIAL CHARGES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During 2015, the Company recorded net restructuring charges of $113.9; $39.2 within LCD and $74.7 within CDD. The charges were comprised of $59.2 in severance and other personnel costs and $55.8 in facility-related costs primarily associated with general integration activities. A substantial portion of these costs relate to the planned closure of two CDD operations that serviced a minimum volume contract that expired on October 31, 2015. The charges were offset by the reversal of previously established reserves of $1.1 in unused facility-related costs. Included within the facility-related charges noted above is a $26.7 asset impairment charge relating to CDD lab and customer service applications that will no longer be used.</w:t>
      </w:r>
    </w:p>
    <w:p>
      <w:pPr>
        <w:spacing w:after="0" w:line="17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during 2015, the Company recorded $25.6 in consulting expenses (recorded in selling, general and administrative expenses) relating to fees incurred as part of LCD's business process improvement initiative (Project LaunchPad) as well as one-time Covance integration costs and employee compensation studies, along with $5.4 in short-term equity retention arrangements relating to the acquisition of Covance and $0.3 of accelerated equity compensation relating to the previously disclosed retirement of a Company executive (all recorded in selling, general and administrative expenses). The Company also incurred $5.7 relating to the wind-down of the minimum volume contract operations referred to in the previous paragraph. On February 9, 2016, the Company reached an agreement for the sale of the assets and business of one of these sites. As required by U.K. law, substantially all of the employees were transferred with the business.</w:t>
      </w:r>
    </w:p>
    <w:p>
      <w:pPr>
        <w:spacing w:after="0" w:line="18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Additionally, the Company recorded $166.0 of deal costs related to the Acquisition, of which $113.4 is included in selling, general and administrative expenses and $52.6 is included in interest expense. During 2015, the Company also recorded a non-cash loss of $2.3, upon the dissolution of one of its equity investments, which is included in other, net expenses. During the fourth quarter, the Company paid $12.2 in settlement costs and litigation expenses related to the resolution of a U.S. court putative class action lawsuit. In addition, the Company incurred $3.0 of non-capitalized costs associated with the implementation of a major system as part of Project Launchpad.</w:t>
      </w:r>
    </w:p>
    <w:p>
      <w:pPr>
        <w:spacing w:after="0" w:line="18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2014, the Company recorded net restructuring charges of $17.8. The charges were comprised of $10.5 in severance and other personnel costs and $8.4 in facility-related costs primarily associated with general integration activities. These charges were offset by the reversal of previously established reserves of $0.4 in unused severance and $0.7 in unused facility related costs.</w:t>
      </w:r>
    </w:p>
    <w:p>
      <w:pPr>
        <w:spacing w:after="0" w:line="18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During 2013, the Company recorded net restructuring charges of $21.8. The charges were comprised of $15.4 in severance and other personnel costs and $9.5 in facility-related costs primarily associated with the ongoing integration of Orchid Cellmark, Inc. and the Integrated Genetics business (formerly Genzyme Genetics) and costs associated with the previously announced termination of an executive vice president. These charges were offset by the reversal of previously established reserves of $0.7 in unused severance and $2.4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4. RESTRUCTURING RESERVES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7240" w:type="dxa"/>
            <w:vAlign w:val="bottom"/>
            <w:gridSpan w:val="6"/>
          </w:tcPr>
          <w:p>
            <w:pPr>
              <w:spacing w:after="0"/>
              <w:rPr>
                <w:sz w:val="20"/>
                <w:szCs w:val="20"/>
                <w:color w:val="auto"/>
              </w:rPr>
            </w:pPr>
            <w:r>
              <w:rPr>
                <w:rFonts w:ascii="Arial" w:cs="Arial" w:eastAsia="Arial" w:hAnsi="Arial"/>
                <w:sz w:val="18"/>
                <w:szCs w:val="18"/>
                <w:color w:val="auto"/>
              </w:rPr>
              <w:t>The following represents the Company’s restructuring activities for the period indicated: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w w:val="97"/>
              </w:rPr>
              <w:t>CDD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
        </w:trPr>
        <w:tc>
          <w:tcPr>
            <w:tcW w:w="37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78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Severance and Other</w:t>
            </w:r>
          </w:p>
        </w:tc>
        <w:tc>
          <w:tcPr>
            <w:tcW w:w="2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Lease and Other</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Severance and Other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Lease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3"/>
              </w:rPr>
              <w:t>Employee Costs</w:t>
            </w:r>
          </w:p>
        </w:tc>
        <w:tc>
          <w:tcPr>
            <w:tcW w:w="2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Facility Costs</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Employee Costs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Facility Costs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113.9</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58.6</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non-current portion of the restructuring liabilities is expected to be paid out over 6 years. Cash payments and other adjustments includes the reclass of profit sharing, pension, and holiday accrual.</w:t>
      </w:r>
    </w:p>
    <w:p>
      <w:pPr>
        <w:spacing w:after="0" w:line="16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5.</w:t>
        <w:tab/>
        <w:t>JOINT VENTURE PARTNERSHIPS AND EQUITY METHOD INVESTMENTS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December 31, 2015 the Company had investments in the following unconsolidated joint venture partnerships and equity method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Locations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Interest Owned</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38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bottom w:val="single" w:sz="8" w:color="auto"/>
            </w:tcBorders>
            <w:shd w:val="clear" w:color="auto" w:fill="000000"/>
          </w:tcPr>
          <w:p>
            <w:pPr>
              <w:spacing w:after="0" w:line="20" w:lineRule="exact"/>
              <w:rPr>
                <w:sz w:val="1"/>
                <w:szCs w:val="1"/>
                <w:color w:val="auto"/>
              </w:rPr>
            </w:pPr>
          </w:p>
        </w:tc>
      </w:tr>
      <w:tr>
        <w:trPr>
          <w:trHeight w:val="190"/>
        </w:trPr>
        <w:tc>
          <w:tcPr>
            <w:tcW w:w="7700" w:type="dxa"/>
            <w:vAlign w:val="bottom"/>
            <w:gridSpan w:val="5"/>
          </w:tcPr>
          <w:p>
            <w:pPr>
              <w:ind w:left="40"/>
              <w:spacing w:after="0" w:line="189" w:lineRule="exact"/>
              <w:rPr>
                <w:sz w:val="20"/>
                <w:szCs w:val="20"/>
                <w:color w:val="auto"/>
              </w:rPr>
            </w:pPr>
            <w:r>
              <w:rPr>
                <w:rFonts w:ascii="Arial" w:cs="Arial" w:eastAsia="Arial" w:hAnsi="Arial"/>
                <w:sz w:val="18"/>
                <w:szCs w:val="18"/>
                <w:color w:val="auto"/>
              </w:rPr>
              <w:t>Joint Venture Partnerships: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Alberta, Canada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43"/>
        </w:trPr>
        <w:tc>
          <w:tcPr>
            <w:tcW w:w="40" w:type="dxa"/>
            <w:vAlign w:val="bottom"/>
          </w:tcPr>
          <w:p>
            <w:pPr>
              <w:spacing w:after="0"/>
              <w:rPr>
                <w:sz w:val="21"/>
                <w:szCs w:val="21"/>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Florence, South Carolina</w:t>
            </w: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0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Various</w:t>
            </w:r>
          </w:p>
        </w:tc>
        <w:tc>
          <w:tcPr>
            <w:tcW w:w="5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various</w:t>
            </w:r>
          </w:p>
        </w:tc>
      </w:tr>
    </w:tbl>
    <w:p>
      <w:pPr>
        <w:spacing w:after="0" w:line="229" w:lineRule="exact"/>
        <w:rPr>
          <w:sz w:val="20"/>
          <w:szCs w:val="20"/>
          <w:color w:val="auto"/>
        </w:rPr>
      </w:pPr>
    </w:p>
    <w:p>
      <w:pPr>
        <w:jc w:val="both"/>
        <w:ind w:right="20" w:firstLine="270"/>
        <w:spacing w:after="0" w:line="302" w:lineRule="auto"/>
        <w:rPr>
          <w:sz w:val="20"/>
          <w:szCs w:val="20"/>
          <w:color w:val="auto"/>
        </w:rPr>
      </w:pPr>
      <w:r>
        <w:rPr>
          <w:rFonts w:ascii="Arial" w:cs="Arial" w:eastAsia="Arial" w:hAnsi="Arial"/>
          <w:sz w:val="16"/>
          <w:szCs w:val="16"/>
          <w:color w:val="auto"/>
        </w:rPr>
        <w:t>The joint venture agreements that govern the conduct of business of these partnerships mandates unanimous agreement between partners on all major business decisions as well as providing other participating rights to each partner. The equity method investments represent the Company’s purchase of shares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Effective June 30, 2015, the Company dissolved a joint venture partnership that had been located in Milwaukee, Wisconsin.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Condensed unconsolidated financial information for joint venture partnerships and equity method investments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w:t>
            </w:r>
          </w:p>
        </w:tc>
        <w:tc>
          <w:tcPr>
            <w:tcW w:w="31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8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4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64"/>
        </w:trPr>
        <w:tc>
          <w:tcPr>
            <w:tcW w:w="4260" w:type="dxa"/>
            <w:vAlign w:val="bottom"/>
          </w:tcPr>
          <w:p>
            <w:pPr>
              <w:ind w:left="40"/>
              <w:spacing w:after="0"/>
              <w:rPr>
                <w:sz w:val="20"/>
                <w:szCs w:val="20"/>
                <w:color w:val="auto"/>
              </w:rPr>
            </w:pPr>
            <w:r>
              <w:rPr>
                <w:rFonts w:ascii="Arial" w:cs="Arial" w:eastAsia="Arial" w:hAnsi="Arial"/>
                <w:sz w:val="18"/>
                <w:szCs w:val="18"/>
                <w:color w:val="auto"/>
              </w:rPr>
              <w:t>Total liabilities and partners’ equity</w:t>
            </w:r>
          </w:p>
        </w:tc>
        <w:tc>
          <w:tcPr>
            <w:tcW w:w="3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06"/>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the period January 1 - December 31:</w:t>
            </w:r>
          </w:p>
        </w:tc>
        <w:tc>
          <w:tcPr>
            <w:tcW w:w="3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459"/>
        </w:trPr>
        <w:tc>
          <w:tcPr>
            <w:tcW w:w="4260" w:type="dxa"/>
            <w:vAlign w:val="bottom"/>
          </w:tcPr>
          <w:p>
            <w:pPr>
              <w:spacing w:after="0"/>
              <w:rPr>
                <w:sz w:val="24"/>
                <w:szCs w:val="24"/>
                <w:color w:val="auto"/>
              </w:rPr>
            </w:pPr>
          </w:p>
        </w:tc>
        <w:tc>
          <w:tcPr>
            <w:tcW w:w="3460" w:type="dxa"/>
            <w:vAlign w:val="bottom"/>
            <w:gridSpan w:val="2"/>
          </w:tcPr>
          <w:p>
            <w:pPr>
              <w:jc w:val="right"/>
              <w:ind w:right="1840"/>
              <w:spacing w:after="0"/>
              <w:rPr>
                <w:sz w:val="20"/>
                <w:szCs w:val="20"/>
                <w:color w:val="auto"/>
              </w:rPr>
            </w:pPr>
            <w:r>
              <w:rPr>
                <w:rFonts w:ascii="Arial" w:cs="Arial" w:eastAsia="Arial" w:hAnsi="Arial"/>
                <w:sz w:val="18"/>
                <w:szCs w:val="18"/>
                <w:color w:val="auto"/>
              </w:rPr>
              <w:t>F-19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008"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7"/>
          <w:szCs w:val="17"/>
          <w:color w:val="auto"/>
        </w:rPr>
        <w:t>The Company’s recorded investment in one of its Alberta joint venture partnerships at December 31, 2015 includes $35.3 of value assigned to that partnership’s Canadian license (with an indefinite life and deductible for tax) to conduct diagnostic testing services in the province. This Canadian partnership has a license to conduct diagnostic testing services in the province of Alberta. Substantially all of its revenue is received as reimbursement from the Alberta government's healthcare programs.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 government to limit or reduce its reimbursement of laboratory diagnostic services would have a negative impact on the profits and cash flows the Company derives from this Canadian joint venture.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AHS established a Vendor Bid Appeal Panel to hear the appeal, and the hearing occurred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6. ACCOUNTS RECEIVABLE, NET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accounts receivable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w w:val="96"/>
              </w:rPr>
              <w:t>The provision for doubtful accounts was $265.4, $276.5 and $254.8 in 2015, 2014 and 2013 respectively.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Equipment and real estate under capital leases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 and amortization of capital lease assets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Depreciation expense and amortization of property, plant and equipment was $269.9, $157.6 and $144.7 for 2015, 2014 and 2013, respectively, including software depreciation of $66.1, $38.5, and $39.3 for 2015, 2014 and 2013,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changes in the carrying amount of goodwill (net of accumulated amortization) for the years ended December 31,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6"/>
              </w:rPr>
              <w:t>Goodwill acquired during the year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Foreign currency impact and other</w:t>
            </w: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1"/>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16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3,137.7</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2,988.9</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3,090.0</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6,227.7</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discussed in Footnote 2 (Business Acquisitions), the amount of the Acquisition goodwill has not yet been allocated to the underlying domestic and foreign subsidiaries of Covance.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w w:val="93"/>
              </w:rPr>
              <w:t>December 31, 2015</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w w:val="93"/>
              </w:rPr>
              <w:t>December 31, 2014</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Net</w:t>
            </w:r>
          </w:p>
        </w:tc>
      </w:tr>
      <w:tr>
        <w:trPr>
          <w:trHeight w:val="216"/>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4"/>
              </w:rPr>
              <w:t>Accumulated</w:t>
            </w: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4"/>
              </w:rPr>
              <w:t>Accumulated</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7"/>
              </w:rPr>
              <w:t>Amortization</w:t>
            </w:r>
          </w:p>
        </w:tc>
        <w:tc>
          <w:tcPr>
            <w:tcW w:w="2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w w:val="97"/>
              </w:rPr>
              <w:t>Amortization</w:t>
            </w:r>
          </w:p>
        </w:tc>
        <w:tc>
          <w:tcPr>
            <w:tcW w:w="26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Amount</w:t>
            </w:r>
          </w:p>
        </w:tc>
      </w:tr>
      <w:tr>
        <w:trPr>
          <w:trHeight w:val="34"/>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(606.8)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Patents, licenses and technology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w:t>
            </w: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 summary of amortizable intangible assets acquired during 2015, and their respective weighted average amortization periods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Amortization Period</w:t>
            </w:r>
          </w:p>
        </w:tc>
      </w:tr>
      <w:tr>
        <w:trPr>
          <w:trHeight w:val="34"/>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leases</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2,176.5</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Amortization of intangible assets was $164.5, $76.7 and $81.7 in 2015, 2014 and 2013, respectively. The Company recorded earn-out and purchase accounting adjustments through amortization expense of $1.7, $10.4, and $5.8 in 2015, 2014 and 2013, respectively. Amortization expense of intangible assets is estimated to be $174.4 in fiscal 2016, $167.2 in fiscal 2017, $156.0 in fiscal 2018, $149.2 in fiscal 2019, $142.4 in fiscal 2020, and $2,017.3 thereafter.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9. ACCRUED EXPENSES AND OTHER</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taxes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Royalty and license fees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OTHER LIABILITIES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Defined benefit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obligation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Worker's compensation and auto</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portion of long-term debt at December 31, 2015 and 2014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5.625% Senior Notes due 2015</w:t>
            </w:r>
          </w:p>
        </w:tc>
        <w:tc>
          <w:tcPr>
            <w:tcW w:w="5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 obligation</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at December 31, 2015 and 2014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2.20% Senior Notes due 2017</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Senior Notes due 2018</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4.625% Senior Notes due 2020</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618.5</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Senior Notes due 2020</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3.75% Senior Notes due 2022</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Senior Notes due 2022</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4.00% Senior Notes due 2023</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2025</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4.70% Senior Notes due 2045</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leases</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2,682.7</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part of its financing of the Acquisition, the Company entered into a $1,000.0 term loan. The term loan credit facility will mature five years after the closing date of the Acquisition and may be prepaid without penalty. The term loan balance at December 31, 2015 was $715.0.</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2, 2014, in connection with entering into the definitive merger agreement to acquire Covance (Merger Agreement), the Company entered into a bridge facility commitment letter. Under the bridge facility commitment letter, the lenders agreed to provide a $4,250.0 senior unsecured bridge term loan credit facility consisting of a $3,850.0 364-day unsecured debt bridge tranche and a $400.0 60-day unsecured cash bridge tranche for the purpose of financing all or a portion of the cash consideration and the fees and expenses in connection with the transactions contemplated by the Merger Agreement. The bridge facility was permitted to be drawn only in a single drawing on the closing date of the Acquisition.</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Merger Agreement. Pursuant to the bridge facility commitment letter, upon the Company’s entry into the term loan credit facility, the $4,250.0 bridge facility was reduced to a $3,250.0 commitment, comprising a $2,850.0 364-day unsecured debt bridge tranche and a $400.0 60-day cash bridge tranche. The $1,000.0 of term loan commitments made under the term loan credit facility reduced the debt bridge tranche under the bridge facility dollar for dollar. The term loan credit facility was advanced in full on the Acquisition Date.</w:t>
      </w:r>
    </w:p>
    <w:p>
      <w:pPr>
        <w:spacing w:after="0" w:line="19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were no balances outstanding on the Company's new Revolving Credit Facility at December 31, 2015 or on its former revolving credit facility at December 31, 2014.</w:t>
      </w:r>
    </w:p>
    <w:p>
      <w:pPr>
        <w:spacing w:after="0" w:line="19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Net proceeds from the offering of the Acquisition Notes were $2,870.2 after deducting underwriting discounts and other estimated expenses of the offering. Net proceeds were used to pay a portion of the cash consideration and the fees and expenses in connection with the Covance acquisition. Pursuant to the bridge facility commitment letter, upon the Company’s issuance of the Acquisition Notes the remaining $2,850.0 364-day unsecured debt bridge tranche under the senior unsecured bridge term loan credit facility was terminated.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entered into on the terms set forth in the bridge facility commitment letter for the $400.0 60-day cash bridge tranche. The 60-day cash bridge term loan credit facility was advanced in full on the Acquisition Date. On March 16, 2015, the Company elected to prepay the bridge facility without penalty.</w:t>
      </w:r>
    </w:p>
    <w:p>
      <w:pPr>
        <w:spacing w:after="0" w:line="1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Under the term loan facility and the new revolving credit facility, which have affirmative and negative covenants that are substantially identical,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 calculated by excluding the $2,900.0 in total aggregate principal amount of the Company's senior notes issued for the purpose of funding the acquisition. From and after the acquisition closing date, the leverage ratio must be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 and the new revolving credit facility at December 31, 2015. As of December 31, 2015, the ratio of total debt to consolidated EBITDA was 3.6 to 1.0.</w:t>
      </w: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S&amp;P’s and Moody’s, which are currently BBB and Baa2, respectively.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the effective interest rate on the new Revolving Credit Facility was 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Convertible Subordinated Notes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had $105.4 and $106.9 aggregate principal amount at maturity of zero-coupon convertible subordinated notes (the Notes) due 2021 outstanding at December 31, 2015 and 2014, respectively. The Notes, which are subordinate to the Company’s bank debt, were sold at an issue price of $671.65 per $1,000.0 principal amount at maturity (representing a yield to maturity of 2.0% per year). Each one thousand dollar principal amount at maturity of the Notes is convertible into 13.4108 shares of the Company’s common stock, subject to adjustment in certain circumstances, if one of the following conditions occurs:</w:t>
      </w:r>
    </w:p>
    <w:p>
      <w:pPr>
        <w:spacing w:after="0" w:line="188" w:lineRule="exact"/>
        <w:rPr>
          <w:sz w:val="20"/>
          <w:szCs w:val="20"/>
          <w:color w:val="auto"/>
        </w:rPr>
      </w:pPr>
    </w:p>
    <w:p>
      <w:pPr>
        <w:jc w:val="both"/>
        <w:ind w:left="660" w:hanging="652"/>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sales price of the Company’s common stock for at least 20 trading days in a period of 30 consecutive trading days ending on the last trading day of the preceding quarter reaches specified thresholds (beginning at 120% and declining 0.1282% per quarter until it reaches approximately 110% for the quarter beginning July 1, 2021 of the accreted conversion price per share of common stock on the last day of the preceding quarter). The accreted conversion price per share will equal the issue price of a note plus the accrued original issue discount and any accrued contingent additional principal, divided by the number of shares of common stock issuable upon conversion of a note on that day. The conversion trigger price for the fourth quarter of 2015 was $75.11.</w:t>
      </w:r>
    </w:p>
    <w:p>
      <w:pPr>
        <w:spacing w:after="0" w:line="8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credit rating assigned to the notes by S&amp;P’s Ratings Services is at or below BB-.</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Notes are called for redemption.</w:t>
      </w:r>
    </w:p>
    <w:p>
      <w:pPr>
        <w:spacing w:after="0" w:line="117"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specified corporate transactions have occurred (such as if the Company is party to a consolidation, merger or binding share exchange or a transfer of all or substantially all of its assets).</w:t>
      </w:r>
    </w:p>
    <w:p>
      <w:pPr>
        <w:spacing w:after="0" w:line="170"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 may redeem for cash all or a portion of the Notes at any time at specified redemption prices per one thousand dollar principal amount at maturity of the Notes.</w:t>
      </w:r>
    </w:p>
    <w:p>
      <w:pPr>
        <w:spacing w:after="0" w:line="170"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 has registered the notes and the shares of common stock issuable upon conversion of the Notes with the Securities and Exchange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2015 and 2014, the Company settled notices to convert $1.5 and $21.9 aggregate principal amount at maturity of its zero-coupon subordinated notes with a conversion value of $1.3 and $28.7, respectively. The total cash used for these settlements was $1.3 and $18.9 and the Company also issued 0.0 and 0.1 additional shares of common stock, respectively. As a result of these conversions, in 2015 and 2014 the Company also reversed approximately $0.4 and $3.8, respectively, of deferred tax liability to reflect the tax benefit realized upon issuance of the shares.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11, 2015, the Company announced that for the period of September 12, 2015 to March 11, 2016, the zero-coupon subordinated notes will accrue contingent cash interest at a rate of no less than 0.125% of the average market price of a zero-coupon subordinated note for the five trading days ended September 9, 2015, in addition to the continued accrual of the original issue discount.</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4, 2016,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January 1, 2016, through the close of business on the last business day of the calendar quarter, which is 5:00 p.m., New York City time, on Thursday, March 31, 2016. If notices of conversion are received, the Company plans to settle the cash portion of the conversion obligation with cash on hand and/or borrowings under the new revolving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Interest on these notes is payable semi-annually on February 1 and August 1 of each year, commencing on August 1, 2015. Net proceeds from the offering of the Acquisition Notes were $2,870.2 after deducting underwriting discounts and other estimated expenses of the offering. Net proceeds were used to pay a portion of the cash consideration and the fees and expenses in connection with the Covance acquisition.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 2013, the Company issued $700.0 in new senior notes pursuant to the Company’s effective shelf registration on Form S-3. The senior notes consisted of $400.0 aggregate principal amount of 2.50% Senior Notes due 2018 and $300.0 aggregate principal amount of 4.00% Senior Notes due 2023. Interest on these notes is payable semi-annually on November 1 and May 1 of each year, commencing on May 1, 2014. The net proceeds were used to repay all of the outstanding borrowings under the Company’s Revolving Credit Facility and for general corporate purposes.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outstanding at that time. These interest rate swaps are included in other long term assets or liabilities, as applicable, and added to the value of the senior notes, with an aggregate fair value of $21.6 at December 31, 2015.</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Senior Notes due 2017 and Senior Notes due 2022 bear interest at the rate of 2.20% per annum and 3.75% per annum, respectively, payable semi-annually on February 23 and August 23 of each year, commencing February 23, 2013.</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Senior Notes due 2015 bore interest at the rate of 5.625% per annum from December 14, 2005, and was payable semi-annually on June 15 and December 15.</w:t>
      </w:r>
    </w:p>
    <w:p>
      <w:pPr>
        <w:spacing w:after="0" w:line="17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The scheduled payments of long term debt and future minimum lease payments for capital leases at the end of 2015 are summarized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Notes and Other</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0"/>
              </w:rPr>
              <w:t>Capital Leases</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34"/>
        </w:trPr>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511.9</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455.5</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75.8</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1,738.8</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47.2</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3,247.2</w:t>
            </w: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6,460.6</w:t>
            </w:r>
          </w:p>
        </w:tc>
      </w:tr>
      <w:tr>
        <w:trPr>
          <w:trHeight w:val="284"/>
        </w:trPr>
        <w:tc>
          <w:tcPr>
            <w:tcW w:w="64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44"/>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due beyond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5,992.1</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STOCK AND COMMON SHAREHOLDERS’ EQUITY</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Common shares issued and outstanding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treasury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30.0 shares of preferred stock, par value $0.10 per share. There were no preferred shares outstanding as of December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The changes in common shares issued and held in treasury are summarized below:</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Common Shares Issued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in conjunction with the Acquisition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Retirement of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64"/>
        </w:trPr>
        <w:tc>
          <w:tcPr>
            <w:tcW w:w="74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Common stock issued at December 31</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Common Shares Held in Treasury</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December 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December 31, 2015, the Company had outstanding authorization from the Board of Directors to purchase $789.5 of Company common stock based on settled trades as of these respective dates. The repurchase authorization has no expiration date. Following the announcement of the acquisition of Covance, the Company suspended its share repurchases. The Company does not anticipate resuming its share repurchase activity until it approaches its targeted leverage ratio of total debt to consolidated EBITDA of 2.5 to 1.0. However, the Company will continue to evaluate all opportunities for strategic deployment of capital in light of market conditions.</w:t>
      </w:r>
    </w:p>
    <w:p>
      <w:pPr>
        <w:sectPr>
          <w:pgSz w:w="11900" w:h="16838" w:orient="portrait"/>
          <w:cols w:equalWidth="0" w:num="1">
            <w:col w:w="11420"/>
          </w:cols>
          <w:pgMar w:left="240" w:top="125" w:right="239" w:bottom="4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5" w:right="239" w:bottom="406"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6240" w:type="dxa"/>
            <w:vAlign w:val="bottom"/>
            <w:gridSpan w:val="4"/>
          </w:tcPr>
          <w:p>
            <w:pPr>
              <w:ind w:left="240"/>
              <w:spacing w:after="0"/>
              <w:rPr>
                <w:sz w:val="20"/>
                <w:szCs w:val="20"/>
                <w:color w:val="auto"/>
              </w:rPr>
            </w:pPr>
            <w:r>
              <w:rPr>
                <w:rFonts w:ascii="Arial" w:cs="Arial" w:eastAsia="Arial" w:hAnsi="Arial"/>
                <w:sz w:val="18"/>
                <w:szCs w:val="18"/>
                <w:color w:val="auto"/>
                <w:w w:val="95"/>
              </w:rPr>
              <w:t>The components of accumulated other comprehensive earnings are as follows: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4"/>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Unrealized Gains</w:t>
            </w:r>
          </w:p>
        </w:tc>
        <w:tc>
          <w:tcPr>
            <w:tcW w:w="160" w:type="dxa"/>
            <w:vAlign w:val="bottom"/>
          </w:tcPr>
          <w:p>
            <w:pPr>
              <w:spacing w:after="0"/>
              <w:rPr>
                <w:sz w:val="24"/>
                <w:szCs w:val="24"/>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Currency</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Benefit</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and Losses on</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Available for Sale</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Adjustments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0"/>
              </w:rPr>
              <w:t>Earnings</w:t>
            </w: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(351.8)</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 (b)</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8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66" w:lineRule="auto"/>
        <w:tabs>
          <w:tab w:leader="none" w:pos="204" w:val="left"/>
        </w:tabs>
        <w:numPr>
          <w:ilvl w:val="0"/>
          <w:numId w:val="35"/>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16 Pension and Postretirement Plans for additional information regarding the Company's net periodic benefit cost.</w:t>
      </w:r>
    </w:p>
    <w:p>
      <w:pPr>
        <w:spacing w:after="0" w:line="1" w:lineRule="exact"/>
        <w:rPr>
          <w:rFonts w:ascii="Arial" w:cs="Arial" w:eastAsia="Arial" w:hAnsi="Arial"/>
          <w:sz w:val="14"/>
          <w:szCs w:val="14"/>
          <w:i w:val="1"/>
          <w:iCs w:val="1"/>
          <w:color w:val="auto"/>
        </w:rPr>
      </w:pPr>
    </w:p>
    <w:p>
      <w:pPr>
        <w:ind w:right="560" w:firstLine="8"/>
        <w:spacing w:after="0" w:line="261" w:lineRule="auto"/>
        <w:tabs>
          <w:tab w:leader="none" w:pos="255"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The realized gain from the sale of an available for sale investment and the other-than-temporary impairment on an available for sale investment are included in Other, net on the Consolidated Statement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3"/>
              </w:rPr>
              <w:t>The sources of income before taxes, classified between domestic and foreign entities are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9"/>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844.2</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provisions (benefits) for income taxes in the accompanying consolidated statements of operations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9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19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color w:val="auto"/>
        </w:rPr>
        <w:t>A portion of the tax benefit associated with option exercises from stock plans reducing taxes currently payable is recorded through additional paid-in capital. The benefits recorded through additional paid-in capital are approximately $13.1, $5.9 and $10.6 in 2015, 2014 and 2013, respectively.</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3220" w:type="dxa"/>
            <w:vAlign w:val="bottom"/>
            <w:gridSpan w:val="5"/>
          </w:tcPr>
          <w:p>
            <w:pPr>
              <w:ind w:left="1140"/>
              <w:spacing w:after="0"/>
              <w:rPr>
                <w:sz w:val="20"/>
                <w:szCs w:val="20"/>
                <w:color w:val="auto"/>
              </w:rPr>
            </w:pPr>
            <w:r>
              <w:rPr>
                <w:rFonts w:ascii="Arial" w:cs="Arial" w:eastAsia="Arial" w:hAnsi="Arial"/>
                <w:sz w:val="18"/>
                <w:szCs w:val="18"/>
                <w:color w:val="auto"/>
                <w:w w:val="92"/>
              </w:rPr>
              <w:t>Years Ended December 31,</w:t>
            </w:r>
          </w:p>
        </w:tc>
        <w:tc>
          <w:tcPr>
            <w:tcW w:w="980" w:type="dxa"/>
            <w:vAlign w:val="bottom"/>
          </w:tcPr>
          <w:p>
            <w:pPr>
              <w:spacing w:after="0"/>
              <w:rPr>
                <w:sz w:val="20"/>
                <w:szCs w:val="20"/>
                <w:color w:val="auto"/>
              </w:rPr>
            </w:pPr>
          </w:p>
        </w:tc>
      </w:tr>
      <w:tr>
        <w:trPr>
          <w:trHeight w:val="34"/>
        </w:trPr>
        <w:tc>
          <w:tcPr>
            <w:tcW w:w="7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16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7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State and local income taxes, net of U.S. income tax effect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taxes at lower rates than the statutory U.S. rate</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One-time restructuring and acquisition items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64"/>
        </w:trPr>
        <w:tc>
          <w:tcPr>
            <w:tcW w:w="7160" w:type="dxa"/>
            <w:vAlign w:val="bottom"/>
          </w:tcPr>
          <w:p>
            <w:pPr>
              <w:ind w:left="40"/>
              <w:spacing w:after="0"/>
              <w:rPr>
                <w:sz w:val="20"/>
                <w:szCs w:val="20"/>
                <w:color w:val="auto"/>
              </w:rPr>
            </w:pPr>
            <w:r>
              <w:rPr>
                <w:rFonts w:ascii="Arial" w:cs="Arial" w:eastAsia="Arial" w:hAnsi="Arial"/>
                <w:sz w:val="18"/>
                <w:szCs w:val="18"/>
                <w:color w:val="auto"/>
              </w:rPr>
              <w:t>Effective rate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40.2 %</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37.2 %</w:t>
            </w:r>
          </w:p>
        </w:tc>
      </w:tr>
      <w:tr>
        <w:trPr>
          <w:trHeight w:val="20"/>
        </w:trPr>
        <w:tc>
          <w:tcPr>
            <w:tcW w:w="7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2015 was unfavorably impacted by one-time restructuring and acquisition items, recording of additional uncertain tax reserves, and a decrease in the benefit recorded from releasing uncertain tax reserves. The 2015 rate was favorably impacted by foreign earnings taxed at rates lower than the U.S. statutory rate.</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effective rate for 2014 was unfavorably impacted by the recording of a full valuation allowance for the write down of two of the Company's investments.</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2013 was favorably impacted by the release of the capital loss valuation allowance and recording two years of the R&amp;D tax credit. The American Taxpayer Relief Act of 2012 was enacted in early 2013 and reinstated the R&amp;D tax credit for 2012 and extended the credit for calendar year 2013.</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Self insurance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obligation</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and restructuring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valuation allowance</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earnings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Zero-coupon subordinated notes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71"/>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gross deferred tax liabilities</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valuation allowance decreased from $17.1 in 2014 to $15.1 in 2015. The decrease in the valuation allowance is primarily due to releasing an allowance for capital loss carryover as the Company recorded capital gain income during 2015.</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foreign tax loss carryovers of $39.5 of which $27.4 has a full valuation allowance. Most of the foreign losses have an indefinite carryover. The Company has U.S. tax loss carryovers of approximately $245.0 expiring periodically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748"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2035. The utilization of the tax loss carryovers is limited due to change of ownership rules. However, at this time the Company expects to fully utilize substantially all U.S. tax loss carryovers with the exception of approximately $3.9 for which a full valuation allowance has been provided. In addition to the net operating losses, the Company has a foreign capital loss carryover of $6.8. The loss has an indefinite life and has a full valuation allowance.</w:t>
      </w:r>
    </w:p>
    <w:p>
      <w:pPr>
        <w:spacing w:after="0" w:line="14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unrecognized income tax benefits were $24.2 and $16.7 at December 31, 2015 and 2014, respectively. The increase in the reserve is primarily due to the beginning balances carried over in the Acquisition. It is anticipated that the amount of the unrecognized income tax benefits will change within the next twelve months; however, these changes are not expected to have a significant impact on the results of operations, cash flows or the financial position of the Company.</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$12.7 and $8.2 as of December 31, 2015 and 2014, respectively. During the years ended December 31, 2015, 2014 and 2013, the Company recognized $1.8, $2.2 and $2.4, respectively, in interest and penalties expense, which was offset by a benefit of $2.2, $3.3 and $2.9, respectively.</w:t>
      </w:r>
    </w:p>
    <w:p>
      <w:pPr>
        <w:spacing w:after="0" w:line="18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from uncertain tax positions for the years ended December 31, 2015, 2014 and 2013: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reserve for tax positions taken in the current year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 as a result of acquisition</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reserve as a result of settlements reached with tax authorities</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24.2</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16.7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2015 and 2014, $24.2 and $16.7, respectively, is the approximate amount of unrecognized income tax benefits that, if recognized, would favorably affect the effective income tax rate in any future periods.</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2011. Substantially all material state and local, and foreign income tax matters have been concluded through 2010 and 2004, respectively.</w:t>
      </w:r>
    </w:p>
    <w:p>
      <w:pPr>
        <w:spacing w:after="0" w:line="1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Internal Revenue Service concluded the examination of the Company's 2010 and 2011 income tax returns during 2013. The Company was notified during the first quarter of 2016 that the 2014 income tax return is under examination. Canada Revenue Agency concluded its examination of 2009 and 2010 Canadian income tax returns during 2015. The Company has various state income tax examinations ongoing throughout the year. The Company believes adequate provisions have been recorded related to all open tax years.</w:t>
      </w:r>
    </w:p>
    <w:p>
      <w:pPr>
        <w:spacing w:after="0" w:line="187"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changed its method for accounting for foreign earnings at the beginning of 2015 as a result of the Acquisition. Prior to the Acquisition, the Company provided tax for substantially all of the foreign earnings. Other than certain amounts associated with the Acquisition, the Company considers its foreign earnings are now permanently invested outside of the U.S. The Company intends to leave its future generated unremitted foreign earnings invested indefinitely outside the U.S. given its expanded global profile. It is not practical to estimate the amount of additional tax that could be payable if accumulated earnings were remitted. Total unremitted foreign earnings for which income tax has not been provided is approximately $662.0 as of December 31, 2015.</w:t>
      </w:r>
    </w:p>
    <w:p>
      <w:pPr>
        <w:spacing w:after="0" w:line="154" w:lineRule="exact"/>
        <w:rPr>
          <w:sz w:val="20"/>
          <w:szCs w:val="20"/>
          <w:color w:val="auto"/>
        </w:rPr>
      </w:pPr>
    </w:p>
    <w:p>
      <w:pPr>
        <w:ind w:right="8320" w:firstLine="8"/>
        <w:spacing w:after="0" w:line="503" w:lineRule="auto"/>
        <w:tabs>
          <w:tab w:leader="none" w:pos="31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There are currently 10.2 shares authorized for issuance under the Laboratory Corporation of America Holdings 2012 Omnibus Incentive Plan and at December 31, 2015 there were 5.3 additional shares available for grant under the Plan. This Plan was approved by shareholders at the 2012 annual meeting. An additional 1.2 authorized shares were acquired with the Acquisition under the Covance 2014 Employee Equity Participation Plan and were utilized for the 2015 grant.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Aggregate</w:t>
            </w:r>
          </w:p>
        </w:tc>
      </w:tr>
      <w:tr>
        <w:trPr>
          <w:trHeight w:val="216"/>
        </w:trPr>
        <w:tc>
          <w:tcPr>
            <w:tcW w:w="47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r>
      <w:tr>
        <w:trPr>
          <w:trHeight w:val="230"/>
        </w:trPr>
        <w:tc>
          <w:tcPr>
            <w:tcW w:w="47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per Option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Value</w:t>
            </w:r>
          </w:p>
        </w:tc>
      </w:tr>
      <w:tr>
        <w:trPr>
          <w:trHeight w:val="34"/>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2015</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2015</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2015 and the exercise price, multiplied by the number of in-the-money options) that would have been received by the option holders had all option holders exercised their options on December 31, 2015. The amount of intrinsic value will change based on the fair market value of the Company’s stock.</w:t>
      </w:r>
    </w:p>
    <w:p>
      <w:pPr>
        <w:spacing w:after="0" w:line="18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2015, 2014, and 2013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by the Company</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benefits realized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16.2</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42.2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32.1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concerning currently outstanding and exercisable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3"/>
          </w:tcPr>
          <w:p>
            <w:pPr>
              <w:ind w:left="1200"/>
              <w:spacing w:after="0"/>
              <w:rPr>
                <w:sz w:val="20"/>
                <w:szCs w:val="20"/>
                <w:color w:val="auto"/>
              </w:rPr>
            </w:pPr>
            <w:r>
              <w:rPr>
                <w:rFonts w:ascii="Arial" w:cs="Arial" w:eastAsia="Arial" w:hAnsi="Arial"/>
                <w:sz w:val="18"/>
                <w:szCs w:val="18"/>
                <w:color w:val="auto"/>
              </w:rPr>
              <w:t>Options Outstanding</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3"/>
          </w:tcPr>
          <w:p>
            <w:pPr>
              <w:ind w:left="11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4"/>
          </w:tcPr>
          <w:p>
            <w:pPr>
              <w:ind w:left="1220"/>
              <w:spacing w:after="0"/>
              <w:rPr>
                <w:sz w:val="20"/>
                <w:szCs w:val="20"/>
                <w:color w:val="auto"/>
              </w:rPr>
            </w:pPr>
            <w:r>
              <w:rPr>
                <w:rFonts w:ascii="Arial" w:cs="Arial" w:eastAsia="Arial" w:hAnsi="Arial"/>
                <w:sz w:val="18"/>
                <w:szCs w:val="18"/>
                <w:color w:val="auto"/>
              </w:rPr>
              <w:t>Weighted Average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Range of</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Exercise</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Exercise Prices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820" w:type="dxa"/>
            <w:vAlign w:val="bottom"/>
          </w:tcPr>
          <w:p>
            <w:pPr>
              <w:jc w:val="center"/>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$ 6.80 - 59.37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$59.37</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1"/>
              </w:rPr>
              <w:t>$59.38 - 67.60</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$60.35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$60.35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$67.61 - 75.63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$71.63</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1"/>
              </w:rPr>
              <w:t>$75.64 - 80.37</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$79.59</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$79.59</w:t>
            </w:r>
          </w:p>
        </w:tc>
        <w:tc>
          <w:tcPr>
            <w:tcW w:w="0" w:type="dxa"/>
            <w:vAlign w:val="bottom"/>
          </w:tcPr>
          <w:p>
            <w:pPr>
              <w:spacing w:after="0"/>
              <w:rPr>
                <w:sz w:val="1"/>
                <w:szCs w:val="1"/>
                <w:color w:val="auto"/>
              </w:rPr>
            </w:pPr>
          </w:p>
        </w:tc>
      </w:tr>
      <w:tr>
        <w:trPr>
          <w:trHeight w:val="311"/>
        </w:trPr>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$80.38 - 98.49</w:t>
            </w:r>
          </w:p>
        </w:tc>
        <w:tc>
          <w:tcPr>
            <w:tcW w:w="12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5.8</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$87.48</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$87.48</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$81.14</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$81.14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ind w:left="7880"/>
              <w:spacing w:after="0"/>
              <w:rPr>
                <w:sz w:val="20"/>
                <w:szCs w:val="20"/>
                <w:color w:val="auto"/>
              </w:rPr>
            </w:pPr>
            <w:r>
              <w:rPr>
                <w:rFonts w:ascii="Arial" w:cs="Arial" w:eastAsia="Arial" w:hAnsi="Arial"/>
                <w:sz w:val="18"/>
                <w:szCs w:val="18"/>
                <w:color w:val="auto"/>
                <w:w w:val="99"/>
              </w:rPr>
              <w:t>2015</w:t>
            </w:r>
          </w:p>
        </w:tc>
        <w:tc>
          <w:tcPr>
            <w:tcW w:w="1380" w:type="dxa"/>
            <w:vAlign w:val="bottom"/>
            <w:gridSpan w:val="3"/>
          </w:tcPr>
          <w:p>
            <w:pPr>
              <w:ind w:left="960"/>
              <w:spacing w:after="0"/>
              <w:rPr>
                <w:sz w:val="20"/>
                <w:szCs w:val="20"/>
                <w:color w:val="auto"/>
              </w:rPr>
            </w:pPr>
            <w:r>
              <w:rPr>
                <w:rFonts w:ascii="Arial" w:cs="Arial" w:eastAsia="Arial" w:hAnsi="Arial"/>
                <w:sz w:val="18"/>
                <w:szCs w:val="18"/>
                <w:color w:val="auto"/>
                <w:w w:val="99"/>
              </w:rPr>
              <w:t>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1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Valuation assumptions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Weighted average expected life (in years)</w:t>
            </w:r>
          </w:p>
        </w:tc>
        <w:tc>
          <w:tcPr>
            <w:tcW w:w="1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8300" w:type="dxa"/>
            <w:vAlign w:val="bottom"/>
            <w:gridSpan w:val="2"/>
          </w:tcPr>
          <w:p>
            <w:pPr>
              <w:ind w:left="380"/>
              <w:spacing w:after="0"/>
              <w:rPr>
                <w:sz w:val="20"/>
                <w:szCs w:val="20"/>
                <w:color w:val="auto"/>
              </w:rPr>
            </w:pPr>
            <w:r>
              <w:rPr>
                <w:rFonts w:ascii="Arial" w:cs="Arial" w:eastAsia="Arial" w:hAnsi="Arial"/>
                <w:sz w:val="18"/>
                <w:szCs w:val="18"/>
                <w:color w:val="auto"/>
              </w:rPr>
              <w:t>Risk free interest rate</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volatility</w:t>
            </w:r>
          </w:p>
        </w:tc>
        <w:tc>
          <w:tcPr>
            <w:tcW w:w="1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8300" w:type="dxa"/>
            <w:vAlign w:val="bottom"/>
            <w:gridSpan w:val="2"/>
          </w:tcPr>
          <w:p>
            <w:pPr>
              <w:ind w:left="380"/>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uses historical data to calculate the expected life of the option. Groups of employees and non-employee directors that have similar exercise behavior with regard to option exercise timing and forfeiture rates are considered separately for valuation purposes. For 2015, 2014 and 2013, expense related to the Company’s stock option plan totaled $2.2, $6.9 and $14.5, respectively. The Company did not grant any options to employees during 2015 or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grants restricted stock, restricted stock units and performance shares (non-vested shares) to officers and key employees and grants restricted stock and restricted stock units to non-employee directors. Restricted stock and restricted stock units typically vest annually in equal one third increments beginning on the first anniversary of the grant. A performance share grant in 2013 represents a three-year award opportunity for the period 2013-2015, and if earned, vests fully (to the extent earned) in the first quarter of 2016. A performance share grant in 2014 represents a three-year award opportunity for the period of 2014-2016 and, if earned, vests fully (to the extent earned) in the first quarter of 2017. A performance share grant in 2015 represents a three-year award opportunity for the period of 2015-2017 and, if earned, vests fully (to the extent earned) in the first quarter of 2018. Performance share awards are subject to certain earnings per share, revenue, operating income, earnings before income taxes and total shareholder return targets, the achievement of which may increase or decrease the number of shares which the grantee earns and therefore receives upon vesting. Unearned restricted stock and performance share compensation is amortized to expense over the applicable vesting periods. For 2015, 2014 and 2013, total restricted stock, restricted stock unit and performance share compensation expense was $83.8, $34.8 and $19.3,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a summary of non-vested shares for the year ended December 31,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9"/>
              </w:rPr>
              <w:t>Weighted-Average</w:t>
            </w:r>
          </w:p>
        </w:tc>
      </w:tr>
      <w:tr>
        <w:trPr>
          <w:trHeight w:val="216"/>
        </w:trPr>
        <w:tc>
          <w:tcPr>
            <w:tcW w:w="8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8"/>
              </w:rPr>
              <w:t>Grant Date</w:t>
            </w:r>
          </w:p>
        </w:tc>
      </w:tr>
      <w:tr>
        <w:trPr>
          <w:trHeight w:val="230"/>
        </w:trPr>
        <w:tc>
          <w:tcPr>
            <w:tcW w:w="8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34"/>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91.30</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123.61</w:t>
            </w:r>
          </w:p>
        </w:tc>
      </w:tr>
      <w:tr>
        <w:trPr>
          <w:trHeight w:val="27"/>
        </w:trPr>
        <w:tc>
          <w:tcPr>
            <w:tcW w:w="8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95.44</w:t>
            </w:r>
          </w:p>
        </w:tc>
      </w:tr>
      <w:tr>
        <w:trPr>
          <w:trHeight w:val="284"/>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111.38</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109.00</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As of December 31, 2015, there was $95.6 of total unrecognized compensation cost related to non-vested restricted stock, restricted stock unit and performance share-based compensation arrangements granted under the Company's stock incentive plans. That cost is expected to be recognized over a weighted average period of 1.9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has an employee stock purchase plan, begun in 1997 and amended in 1999, 2004, 2008 and 2012, with 6.3 shares of common stock authorized for issuance. The plan permits substantially all employees to purchase a limited number of shares of Company stock at 85% of market value. The Company issues shares to participating employees semi-annually in January and July of each year. Approximately 0.2 shares were purchased by eligible employees in 2015, 2014 and 2013, respectively. For 2015, 2014 and 2013, expense related to the Company’s employee stock purchase plan was $4.1, $4.0 and $3.5,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17.22</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CONTINGENT LIABILITIES</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professional liability,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193"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17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19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As reported, the Company reached a settlement in the previously disclosed lawsuit, </w:t>
      </w:r>
      <w:r>
        <w:rPr>
          <w:rFonts w:ascii="Arial" w:cs="Arial" w:eastAsia="Arial" w:hAnsi="Arial"/>
          <w:sz w:val="16"/>
          <w:szCs w:val="16"/>
          <w:i w:val="1"/>
          <w:iCs w:val="1"/>
          <w:color w:val="auto"/>
        </w:rPr>
        <w:t>California ex rel. Hunter Laboratories, LLC et al. v. Quest Diagnostics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et al. </w:t>
      </w:r>
      <w:r>
        <w:rPr>
          <w:rFonts w:ascii="Arial" w:cs="Arial" w:eastAsia="Arial" w:hAnsi="Arial"/>
          <w:sz w:val="16"/>
          <w:szCs w:val="16"/>
          <w:color w:val="auto"/>
        </w:rPr>
        <w:t>(Hunter Labs Settlement Agreement), to avoid the uncertainty and costs associated with prolonged litigation. Pursuant to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from Medi-Cal's otherwise applicable maximum reimbursement rate from November 1, 2011, through October 31, 2012. In June of 2012, the California legislature enacted Assembly Bill No. 1494, Section 9 of which directed the Department of Healthcare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In April 2015, CMS approved a 10.0% payment reduction under Assembly Bill No. 1494. This cut, which applied retroactively to the period of July 1, 2012 through June 30, 2015, is being implemented through recoupments from weekly reimbursements at a rate of 5% of the amount owed until paid in full.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 third-party payers exceeding 80.0% of Medicare reimbursement amounts and its proposal to impose the 10.0% payment reduction enacted in Assembly Bill No. 97 after calculation of the new rates. In January 2015, after receiving stakeholder comments, DHCS instructed laboratories to submit 2014 payment data by March 27, 2015, which DHCS used (except for data on payment amounts exceeding 80.0% of Medicare reimbursement) to establish new rates. DHCS obtained CMS approval of a state plan amendment adopting the new rate methodology and rates effective July 1, 2015, and posted the new rates on the DHCS website. DHCS intends to apply the 10.0% payment reduction referenced in Assembly Bill No. 97 to the new rates. Due to an initial implementation delay, the new rates were to be implemented prospectively until November 1, 2015. A recoupment to account for differences between the new rates and the rates paid for the period of July 1, 2015 through October 31, 2015 was to be implemented through recoupments applied to each weekly reimbursement. Therefore, until the recoupment was paid in full, the Company was not to receive a weekly reimbursement. All retroactive recoupments were expected to be completed by February 2016. However, due to further implementation delays, the new rates have not yet been implemented, and no recoupment has yet occurred. DHCS has instructed laboratories to submit 2015 payment data by March 18, 2016, which will be used to establish new rates effective July 1, 2016. DHCS has not provided further direction regarding possible recoupments. Taken together, these changes are not expected to have a material impact on the Company's consolidated revenues or results of operations.</w:t>
      </w:r>
    </w:p>
    <w:p>
      <w:pPr>
        <w:spacing w:after="0" w:line="29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Southern District of New York unsealed a False Claims Act lawsuit, </w:t>
      </w:r>
      <w:r>
        <w:rPr>
          <w:rFonts w:ascii="Arial" w:cs="Arial" w:eastAsia="Arial" w:hAnsi="Arial"/>
          <w:sz w:val="17"/>
          <w:szCs w:val="17"/>
          <w:i w:val="1"/>
          <w:iCs w:val="1"/>
          <w:color w:val="auto"/>
        </w:rPr>
        <w:t>United States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ex rel. NPT Associates v. Laboratory Corporation of America Holdings</w:t>
      </w:r>
      <w:r>
        <w:rPr>
          <w:rFonts w:ascii="Arial" w:cs="Arial" w:eastAsia="Arial" w:hAnsi="Arial"/>
          <w:sz w:val="17"/>
          <w:szCs w:val="17"/>
          <w:color w:val="auto"/>
        </w:rPr>
        <w:t>, which alleges that the Company offered UnitedHealthcare kickbacks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 return for Medicare business. The Plaintiff's third amended complaint further alleges that the Company's billing practices violated the False Claims Acts of fourteen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1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On November 4, 2013, the State of Florida through the Office of the Attorney General filed an Intervention Complaint in a False Claims Act lawsuit, </w:t>
      </w:r>
      <w:r>
        <w:rPr>
          <w:rFonts w:ascii="Arial" w:cs="Arial" w:eastAsia="Arial" w:hAnsi="Arial"/>
          <w:sz w:val="18"/>
          <w:szCs w:val="18"/>
          <w:i w:val="1"/>
          <w:iCs w:val="1"/>
          <w:color w:val="auto"/>
        </w:rPr>
        <w:t>State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Florida ex rel. Hunter Laboratories, LLC and Chris Riedel v. Quest Diagnostics Incorporated, et al. </w:t>
      </w:r>
      <w:r>
        <w:rPr>
          <w:rFonts w:ascii="Arial" w:cs="Arial" w:eastAsia="Arial" w:hAnsi="Arial"/>
          <w:sz w:val="18"/>
          <w:szCs w:val="18"/>
          <w:color w:val="auto"/>
        </w:rPr>
        <w:t>in the Circuit Court for the Second Judicial Circuit for</w:t>
      </w:r>
      <w:r>
        <w:rPr>
          <w:rFonts w:ascii="Arial" w:cs="Arial" w:eastAsia="Arial" w:hAnsi="Arial"/>
          <w:sz w:val="18"/>
          <w:szCs w:val="18"/>
          <w:i w:val="1"/>
          <w:iCs w:val="1"/>
          <w:color w:val="auto"/>
        </w:rPr>
        <w:t xml:space="preserve"> </w:t>
      </w:r>
      <w:r>
        <w:rPr>
          <w:rFonts w:ascii="Arial" w:cs="Arial" w:eastAsia="Arial" w:hAnsi="Arial"/>
          <w:sz w:val="18"/>
          <w:szCs w:val="18"/>
          <w:color w:val="auto"/>
        </w:rPr>
        <w:t>Leon County. The complaint, originally filed by a competitor laboratory, alleges that the Company overcharged Florida’s Medicaid program. The lawsuit seeks actual and treble damages and civil penalties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for each alleged false claim, as well as recovery of costs, attorney’s fees, and legal expenses. The Company's Motion to Dismiss was denied in February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vigorously defend the lawsuit.</w:t>
      </w:r>
    </w:p>
    <w:p>
      <w:pPr>
        <w:spacing w:after="0" w:line="116"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18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On February 27, 2012, the Company was served with a False Claims Act lawsuit, </w:t>
      </w:r>
      <w:r>
        <w:rPr>
          <w:rFonts w:ascii="Arial" w:cs="Arial" w:eastAsia="Arial" w:hAnsi="Arial"/>
          <w:sz w:val="16"/>
          <w:szCs w:val="16"/>
          <w:i w:val="1"/>
          <w:iCs w:val="1"/>
          <w:color w:val="auto"/>
        </w:rPr>
        <w:t>United States ex rel. Margaret Brown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 and Tri-State Clinical Laboratory Services, LLC</w:t>
      </w:r>
      <w:r>
        <w:rPr>
          <w:rFonts w:ascii="Arial" w:cs="Arial" w:eastAsia="Arial" w:hAnsi="Arial"/>
          <w:sz w:val="16"/>
          <w:szCs w:val="16"/>
          <w:color w:val="auto"/>
        </w:rPr>
        <w:t>, filed in the United States District Court for the Southern District of Ohio,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The Company owned 50% of Tri-State Clinical Laboratory Services, LLC, which was dissolved in June of 2011 pursuant to a voluntary petition filed under Chapter 7 of Title 11 of the United States Code. The lawsuit alleges that the defendants submitted false claims for payment for laboratory testing services performed as a result of financial relationships that violated the Stark and Anti-Kickback Statute. The lawsuit seeks actual and treble damages and civil penalties for each alleged false claim, as well as recovery of costs, attorney's fees, and legal expenses. The U.S. government has not intervened in the lawsuit. The parties have reached a settlement in principle, but the Company will vigorously defend the lawsuit if the settlement is not finalized.</w:t>
      </w:r>
    </w:p>
    <w:p>
      <w:pPr>
        <w:spacing w:after="0" w:line="16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178"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has filed a notice of appeal. The Company will vigorously defend the lawsuit.</w:t>
      </w:r>
    </w:p>
    <w:p>
      <w:pPr>
        <w:spacing w:after="0" w:line="16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The Company was a defendant in two separate putative class action lawsuits, </w:t>
      </w:r>
      <w:r>
        <w:rPr>
          <w:rFonts w:ascii="Arial" w:cs="Arial" w:eastAsia="Arial" w:hAnsi="Arial"/>
          <w:sz w:val="17"/>
          <w:szCs w:val="17"/>
          <w:i w:val="1"/>
          <w:iCs w:val="1"/>
          <w:color w:val="auto"/>
        </w:rPr>
        <w:t>Christine Bohlander v. Laboratory Corporation of America,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Jemuel Andres, et al. v. Laboratory Corporation of America Holdings, et. al., </w:t>
      </w:r>
      <w:r>
        <w:rPr>
          <w:rFonts w:ascii="Arial" w:cs="Arial" w:eastAsia="Arial" w:hAnsi="Arial"/>
          <w:sz w:val="17"/>
          <w:szCs w:val="17"/>
          <w:color w:val="auto"/>
        </w:rPr>
        <w:t>related to overtime pay. After the filing of the two lawsuits on July 8, 2013, the</w:t>
      </w:r>
      <w:r>
        <w:rPr>
          <w:rFonts w:ascii="Arial" w:cs="Arial" w:eastAsia="Arial" w:hAnsi="Arial"/>
          <w:sz w:val="17"/>
          <w:szCs w:val="17"/>
          <w:i w:val="1"/>
          <w:iCs w:val="1"/>
          <w:color w:val="auto"/>
        </w:rPr>
        <w:t xml:space="preserve"> Bohlander </w:t>
      </w:r>
      <w:r>
        <w:rPr>
          <w:rFonts w:ascii="Arial" w:cs="Arial" w:eastAsia="Arial" w:hAnsi="Arial"/>
          <w:sz w:val="17"/>
          <w:szCs w:val="17"/>
          <w:color w:val="auto"/>
        </w:rPr>
        <w:t>lawsuit was consolidated into the</w:t>
      </w:r>
      <w:r>
        <w:rPr>
          <w:rFonts w:ascii="Arial" w:cs="Arial" w:eastAsia="Arial" w:hAnsi="Arial"/>
          <w:sz w:val="17"/>
          <w:szCs w:val="17"/>
          <w:i w:val="1"/>
          <w:iCs w:val="1"/>
          <w:color w:val="auto"/>
        </w:rPr>
        <w:t xml:space="preserve"> Andres </w:t>
      </w:r>
      <w:r>
        <w:rPr>
          <w:rFonts w:ascii="Arial" w:cs="Arial" w:eastAsia="Arial" w:hAnsi="Arial"/>
          <w:sz w:val="17"/>
          <w:szCs w:val="17"/>
          <w:color w:val="auto"/>
        </w:rPr>
        <w:t>lawsuit and removed to the United States District Court for the Central District of California.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lawsuit, the Plaintiffs alleged on behalf of similarly situated phlebotomists and couriers that the Company failed to pay overtime, failed to provide meal and rest breaks, and committed other violations of the California Labor Code. On May 28, 2015, the District Court issued a preliminary approval of the class action settlement and notice of the settlement terms has been sent to putative class members.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is also a defendant in two additional putative class action lawsuits alleging similar claims to the </w:t>
      </w:r>
      <w:r>
        <w:rPr>
          <w:rFonts w:ascii="Arial" w:cs="Arial" w:eastAsia="Arial" w:hAnsi="Arial"/>
          <w:sz w:val="18"/>
          <w:szCs w:val="18"/>
          <w:i w:val="1"/>
          <w:iCs w:val="1"/>
          <w:color w:val="auto"/>
        </w:rPr>
        <w:t>Bohlander/Andres</w:t>
      </w:r>
      <w:r>
        <w:rPr>
          <w:rFonts w:ascii="Arial" w:cs="Arial" w:eastAsia="Arial" w:hAnsi="Arial"/>
          <w:sz w:val="18"/>
          <w:szCs w:val="18"/>
          <w:color w:val="auto"/>
        </w:rPr>
        <w:t xml:space="preserve"> consolidated lawsuit. The lawsuit of </w:t>
      </w:r>
      <w:r>
        <w:rPr>
          <w:rFonts w:ascii="Arial" w:cs="Arial" w:eastAsia="Arial" w:hAnsi="Arial"/>
          <w:sz w:val="18"/>
          <w:szCs w:val="18"/>
          <w:i w:val="1"/>
          <w:iCs w:val="1"/>
          <w:color w:val="auto"/>
        </w:rPr>
        <w:t>Rachel Rabanes v. California Laboratory Sciences, LLC, et al.,</w:t>
      </w:r>
      <w:r>
        <w:rPr>
          <w:rFonts w:ascii="Arial" w:cs="Arial" w:eastAsia="Arial" w:hAnsi="Arial"/>
          <w:sz w:val="18"/>
          <w:szCs w:val="18"/>
          <w:color w:val="auto"/>
        </w:rPr>
        <w:t xml:space="preserve"> was filed in April 2014 in the Superior Court of California for the County of Los Angeles, and the lawsuit </w:t>
      </w:r>
      <w:r>
        <w:rPr>
          <w:rFonts w:ascii="Arial" w:cs="Arial" w:eastAsia="Arial" w:hAnsi="Arial"/>
          <w:sz w:val="18"/>
          <w:szCs w:val="18"/>
          <w:i w:val="1"/>
          <w:iCs w:val="1"/>
          <w:color w:val="auto"/>
        </w:rPr>
        <w:t>Rita Varsam v. Laboratory Corporation of America DBA LabCorp</w:t>
      </w:r>
      <w:r>
        <w:rPr>
          <w:rFonts w:ascii="Arial" w:cs="Arial" w:eastAsia="Arial" w:hAnsi="Arial"/>
          <w:sz w:val="18"/>
          <w:szCs w:val="18"/>
          <w:color w:val="auto"/>
        </w:rPr>
        <w:t xml:space="preserve">, was filed in June 2014 in the Superior Court of California for the County of San Diego. As a result of the </w:t>
      </w:r>
      <w:r>
        <w:rPr>
          <w:rFonts w:ascii="Arial" w:cs="Arial" w:eastAsia="Arial" w:hAnsi="Arial"/>
          <w:sz w:val="18"/>
          <w:szCs w:val="18"/>
          <w:i w:val="1"/>
          <w:iCs w:val="1"/>
          <w:color w:val="auto"/>
        </w:rPr>
        <w:t>Andres</w:t>
      </w:r>
      <w:r>
        <w:rPr>
          <w:rFonts w:ascii="Arial" w:cs="Arial" w:eastAsia="Arial" w:hAnsi="Arial"/>
          <w:sz w:val="18"/>
          <w:szCs w:val="18"/>
          <w:color w:val="auto"/>
        </w:rPr>
        <w:t xml:space="preserve"> settlement, the Plaintiff in the </w:t>
      </w:r>
      <w:r>
        <w:rPr>
          <w:rFonts w:ascii="Arial" w:cs="Arial" w:eastAsia="Arial" w:hAnsi="Arial"/>
          <w:sz w:val="18"/>
          <w:szCs w:val="18"/>
          <w:i w:val="1"/>
          <w:iCs w:val="1"/>
          <w:color w:val="auto"/>
        </w:rPr>
        <w:t>Rabanes</w:t>
      </w:r>
      <w:r>
        <w:rPr>
          <w:rFonts w:ascii="Arial" w:cs="Arial" w:eastAsia="Arial" w:hAnsi="Arial"/>
          <w:sz w:val="18"/>
          <w:szCs w:val="18"/>
          <w:color w:val="auto"/>
        </w:rPr>
        <w:t xml:space="preserve"> case dismissed her case in June 2015. The </w:t>
      </w:r>
      <w:r>
        <w:rPr>
          <w:rFonts w:ascii="Arial" w:cs="Arial" w:eastAsia="Arial" w:hAnsi="Arial"/>
          <w:sz w:val="18"/>
          <w:szCs w:val="18"/>
          <w:i w:val="1"/>
          <w:iCs w:val="1"/>
          <w:color w:val="auto"/>
        </w:rPr>
        <w:t>Varsam</w:t>
      </w:r>
      <w:r>
        <w:rPr>
          <w:rFonts w:ascii="Arial" w:cs="Arial" w:eastAsia="Arial" w:hAnsi="Arial"/>
          <w:sz w:val="18"/>
          <w:szCs w:val="18"/>
          <w:color w:val="auto"/>
        </w:rPr>
        <w:t xml:space="preserve"> case was settled in November 2015.</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December 17, 2010, the Company was served with a lawsuit, </w:t>
      </w:r>
      <w:r>
        <w:rPr>
          <w:rFonts w:ascii="Arial" w:cs="Arial" w:eastAsia="Arial" w:hAnsi="Arial"/>
          <w:sz w:val="18"/>
          <w:szCs w:val="18"/>
          <w:i w:val="1"/>
          <w:iCs w:val="1"/>
          <w:color w:val="auto"/>
        </w:rPr>
        <w:t>Oliver Wuth, et al. v. Laboratory Corporation of America, et al.</w:t>
      </w:r>
      <w:r>
        <w:rPr>
          <w:rFonts w:ascii="Arial" w:cs="Arial" w:eastAsia="Arial" w:hAnsi="Arial"/>
          <w:sz w:val="18"/>
          <w:szCs w:val="18"/>
          <w:color w:val="auto"/>
        </w:rPr>
        <w:t>, filed in the State Superior Court of King County, Washington. The lawsuit alleges that the Company was negligent in the handling of a prenatal genetic test order that allegedly resulted in the parents being given incorrect information. The matter was tried before a jury beginning on October 21, 2013. On December 10, 2013, the jury returned a verdict in in plaintiffs’ favor in the amount of $50.0, with 50.0% of liability apportioned to the Company and 50.0% of liability apportioned to co-defendant Valley Medical Center. The Company filed post-judgment motions for a new trial, which were denied, and then appealed to the Court of Appeals of the State of Washington. The Appeals Court heard oral argument in June 2015. In August 2015, the Appeals Court affirmed the trial court's judgment. In September 2015, the Company filed a Petition for Review with the Supreme Court of the State of Washington. On March 1, 2016, the Supreme Court will decide whether it will review the merits of the case. The Company carries self-insurance reserves and excess liability insurance sufficient to cover the potential liability in this case.</w:t>
      </w:r>
    </w:p>
    <w:p>
      <w:pPr>
        <w:spacing w:after="0" w:line="15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before a jury beginning on April 1, 2014. On April 17, 2014, the jury returned a verdict in Plaintiff’s favor in the amount of $20.8, with non-economic damages reduced by 25.0% to account for the Plaintiff's negligence, for a final verdict of $15.8. The Company filed post-trial motions. On July 28, 2014, the Court granted the Company’s motion for remittitur and reduced the jury’s non-economic damages award to $5.0, reduced by 25.0% for the Plaintiff’s negligence. Accordingly, the total judgment is $4.4. The Plaintiff opposed the remittitur and the Court ordered a new trial on the issue of damages only. The trial was scheduled for January 2016, but did not go forward at that time. Pending the outcome of pre-trial motions, the trial date may be reset. The Company will vigorously defend this lawsuit.</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July 9, 2014, the Company was served with a putative class action lawsuit, </w:t>
      </w:r>
      <w:r>
        <w:rPr>
          <w:rFonts w:ascii="Arial" w:cs="Arial" w:eastAsia="Arial" w:hAnsi="Arial"/>
          <w:sz w:val="18"/>
          <w:szCs w:val="18"/>
          <w:i w:val="1"/>
          <w:iCs w:val="1"/>
          <w:color w:val="auto"/>
        </w:rPr>
        <w:t>Christopher W. Legg, et al. v. Laboratory Corporation of America</w:t>
      </w:r>
      <w:r>
        <w:rPr>
          <w:rFonts w:ascii="Arial" w:cs="Arial" w:eastAsia="Arial" w:hAnsi="Arial"/>
          <w:sz w:val="18"/>
          <w:szCs w:val="18"/>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sought damages of not less than $0.0001 but not more than $0.01 per violation, and punitive damages, injunctive relief, and attorney’s fees. On November 4, 2015, the District Court issued preliminary approval of the class action settlement and notice of the settlement was sent to putative class members. On February 18, 2016, the District Court entered a final order approving the settlement.</w:t>
      </w:r>
    </w:p>
    <w:p>
      <w:pPr>
        <w:spacing w:after="0" w:line="15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5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On September 4, 2014, LipoScience, Inc. (LipoScience) and the Company entered into a Merger Agreement pursuant to which the Company through its subsidiary, Bear Acquisition Corp (Merger Sub), would acquire all of the outstanding shares of LipoScience at a purchase price of $5.25 per share in cash for each outstanding share of LipoScience (Merger). Prior to the consummation of the Merger on November 20, 2014, purported stockholders of LipoScience filed four putative class action lawsuits against LipoScience, members of the LipoScience board of directors, the Company and Bear Acquisition Corp., a wholly owned subsidiary of the Company, in the Delaware Court of Chancery and, with respect to one of the lawsuits, in the Superior Court of Wake County, North Carolina. The lawsuits alleged breach of fiduciary duty and/or other violations of state law arising out of the Merger. Each suit sought, among other things, injunctive relief enjoining the merger. On October 23, 2014, the case in North Carolina was voluntarily dismissed without prejudice by the Plaintiff. On October 29, 2014, the Delaware Court of Chancery consolidated the remaining three actions under the caption </w:t>
      </w:r>
      <w:r>
        <w:rPr>
          <w:rFonts w:ascii="Arial" w:cs="Arial" w:eastAsia="Arial" w:hAnsi="Arial"/>
          <w:sz w:val="17"/>
          <w:szCs w:val="17"/>
          <w:i w:val="1"/>
          <w:iCs w:val="1"/>
          <w:color w:val="auto"/>
        </w:rPr>
        <w:t>In re LipoScience, Inc. Stockholder</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 Consolidated C.A. No. 10252-VCP</w:t>
      </w:r>
      <w:r>
        <w:rPr>
          <w:rFonts w:ascii="Arial" w:cs="Arial" w:eastAsia="Arial" w:hAnsi="Arial"/>
          <w:sz w:val="17"/>
          <w:szCs w:val="17"/>
          <w:color w:val="auto"/>
        </w:rPr>
        <w:t>. After limited discovery, the parties agreed on certain additional disclosures to the Company's definitive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filed on October 20, 2014, which were made in a supplement to the definitive proxy statement filed on November 10, 2014 (LipoScience Supplemental Disclosures). On November 30, 2015, the Court approved a stipulation under which Plaintiffs voluntarily dismissed the action without prejudice as to all Plaintiffs and any other putative class member. The Court retained jurisdiction solely for the purpose of adjudicating Plaintiffs' counsel's anticipated application for an award of attorneys' fees and reimbursement of expenses in connection with the LipoScience Supplemental Disclosures. The Company subsequently agreed to pay $0.2 to Plaintiffs' counsel for attorney’s fees and expenses in full satisfaction of their claim for attorney’s fees and expenses in the action. The Court has not been asked to review, and will pass no judgment on, the payment of the attorney’s fees and expenses or their reasonableness. Contact information for counsel is Brian D. Long (BDL@rl-legal.com) for Plaintiffs and Raymond J. DiCamillo (dicamillo@rlf.com) for the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November 2, 2014, the Company entered into a definitive merger agreement to acquire Covance for $6,150.7 in cash and Company common stock. The transaction closed on February 19, 2015. Prior to the closing of the transaction, purported stockholders of Covance filed two putative class action lawsuits. One of the lawsuits, captioned Berk v Covance Inc., et al., C.A. No. 10440-VCL, was filed in the Delaware Court of Chancery on December 9, 2014. The other lawsuit, captioned Ojeda v. Herring et al., No. MER-C-92-14,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Acquisition. The lawsuits alleged breach of fiduciary duty and/or other violations of state law arising out of the proposed acquisition. Each suit sought, among other things, injunctive relief enjoining the merger. On January 21, 2015, the case in New Jersey was voluntarily dismissed without prejudice by the Plaintiff. After limited discovery, the parties agreed on certain additional disclosures to the Company's definitive proxy statement filed on November 26, 2014, which were made in a supplement to the definitive proxy statement filed on February 9, 2015 (Covance Supplemental Disclosures). On December 1, 2015, the Court approved a stipulation under which Plaintiffs voluntarily dismissed the action, with prejudice as to the named Plaintiff only. The Court retained jurisdiction solely for the purpose of adjudicating Plaintiffs' counsel's anticipated application for an award of attorney’s fees and reimbursement of expenses in connection with the Covance Supplemental Disclosures. The Company subsequently agreed to pay $0.2 to Plaintiff’s counsel for attorney’s fees and expenses in full satisfaction of their claim for attorney’s fees and expenses in the action. The Court has not been asked to review, and will pass no judgment on, the payment of the attorneys' fees and expenses or their reasonableness.</w:t>
      </w:r>
    </w:p>
    <w:p>
      <w:pPr>
        <w:spacing w:after="0" w:line="1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268"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color w:val="auto"/>
        </w:rPr>
        <w:t>In March 2015, the Company received a subpoena from the Attorney General of the State of New York, which requests information regarding the Company’s relationship with Direct Laboratories LLC. The Company cooperated with the request, and the matter was settled in December 2015.</w:t>
      </w:r>
    </w:p>
    <w:p>
      <w:pPr>
        <w:spacing w:after="0" w:line="52"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If the contract is not renewed after March 2017, then the Canadian partnership's revenues would decrease substantially and the carrying value of the Company's investment could potentially be impaired.</w:t>
      </w:r>
    </w:p>
    <w:p>
      <w:pPr>
        <w:spacing w:after="0" w:line="72"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At December 31, 2015, the Company had provided letters of credit aggregating approximately $45.4, primarily in connection with certain insurance programs. The Company’s availability under its Revolving Credit Facility is reduced by the amount of these letters of credit.</w:t>
      </w:r>
    </w:p>
    <w:p>
      <w:pPr>
        <w:spacing w:after="0" w:line="1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leases various facilities and equipment under non-cancelable lease arrangements. Future minimum rental commitments for leases with non-cancelable terms of one year or more at December 31, 2015 are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6"/>
              </w:rPr>
              <w:t>Operating</w:t>
            </w:r>
          </w:p>
        </w:tc>
      </w:tr>
      <w:tr>
        <w:trPr>
          <w:trHeight w:val="34"/>
        </w:trPr>
        <w:tc>
          <w:tcPr>
            <w:tcW w:w="10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84"/>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10160" w:type="dxa"/>
            <w:vAlign w:val="bottom"/>
          </w:tcPr>
          <w:p>
            <w:pPr>
              <w:ind w:left="380"/>
              <w:spacing w:after="0"/>
              <w:rPr>
                <w:sz w:val="20"/>
                <w:szCs w:val="20"/>
                <w:color w:val="auto"/>
              </w:rPr>
            </w:pPr>
            <w:r>
              <w:rPr>
                <w:rFonts w:ascii="Arial" w:cs="Arial" w:eastAsia="Arial" w:hAnsi="Arial"/>
                <w:sz w:val="18"/>
                <w:szCs w:val="18"/>
                <w:color w:val="auto"/>
              </w:rPr>
              <w:t>Amounts included in restructuring and acquisition related accruals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Non-cancelable sub-lease income</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10160" w:type="dxa"/>
            <w:vAlign w:val="bottom"/>
          </w:tcPr>
          <w:p>
            <w:pPr>
              <w:ind w:left="40"/>
              <w:spacing w:after="0"/>
              <w:rPr>
                <w:sz w:val="20"/>
                <w:szCs w:val="20"/>
                <w:color w:val="auto"/>
              </w:rPr>
            </w:pPr>
            <w:r>
              <w:rPr>
                <w:rFonts w:ascii="Arial" w:cs="Arial" w:eastAsia="Arial" w:hAnsi="Arial"/>
                <w:sz w:val="18"/>
                <w:szCs w:val="18"/>
                <w:color w:val="auto"/>
              </w:rPr>
              <w:t>Total minimum operating lease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Rental expense, which includes rent for real estate, equipment and automobiles under operating leases, amounted to $287.1, $235.7 and $226.0 for the years ended December 31, 2015, 2014 and 2013, respectively.</w:t>
      </w:r>
    </w:p>
    <w:p>
      <w:pPr>
        <w:spacing w:after="0" w:line="166" w:lineRule="exact"/>
        <w:rPr>
          <w:sz w:val="20"/>
          <w:szCs w:val="20"/>
          <w:color w:val="auto"/>
        </w:rPr>
      </w:pPr>
    </w:p>
    <w:p>
      <w:pPr>
        <w:ind w:right="7480" w:firstLine="8"/>
        <w:spacing w:after="0" w:line="503" w:lineRule="auto"/>
        <w:tabs>
          <w:tab w:leader="none" w:pos="31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 Pension Plans</w:t>
      </w:r>
    </w:p>
    <w:p>
      <w:pPr>
        <w:spacing w:after="0" w:line="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has a defined benefit retirement plan (Company Plan) and a nonqualified supplemental retirement plan (PEP). Both plans have been closed to new participants since December 31, 2009. Employees participating in the Company Plan and the PEP no longer earn service-based credits, but continue to earn interest credits. In addition, effective January 1, 2010, all employees eligible for the defined contribution retirement plan (401K Plan) receive a minimum 3% non-elective contribution (NEC) concurrent with each payroll period. Employees are not required to make a contribution to the 401K Plan to receive the NEC. The NEC is non-forfeitable and vests immediately. The 401K Plan also permits discretionary contributions by the Company of up to 1% and up to 3% of pay for eligible employees based on service.</w:t>
      </w:r>
    </w:p>
    <w:p>
      <w:pPr>
        <w:spacing w:after="0" w:line="178"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Company’s 401K Plan covers substantially all pre-Acquisition employees. Prior to 2010, Company contributions to the plan were based on a percentage of employee contributions. In 2013, 2012 and 2011, the Company made non-elective and discretionary contributions to the plan. In 2015, 2014, and 2013, non-elective and discretionary contributions were $43.3, $51.6 and $49.4, respectively. As a result of the Acquisition, the Company also incurred expense of $37.8 for the Covance 401K Plan during the year ended December 31, 2015. Under the Covance 401K Plan, which is available on a voluntary basis to substantially all US employees, the Company matches employee contributions up to a maximum Company contribution of 4.5%.</w:t>
      </w:r>
    </w:p>
    <w:p>
      <w:pPr>
        <w:spacing w:after="0" w:line="15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the Company Plan covers substantially all employees hired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Company made contributions to the Company Plan of $9.5, $12.4 and $8.4 in 2015, 2014 and 2013, respectively.</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PEP covers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18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Projected pension expense for the Company Plan and the PEP is expected to increase to $12.9 in 2016. This amount excludes any accelerated recognition of pension cost due to the total lump-sum payouts exceeding certain components of net periodic pension cost in a fiscal year. If such levels were to be met in 2016, the Company projects that it would result in additional pension expense of several million dollars. The actual amount would be determined in the fiscal quarter when the lump-sum payments cross the threshold and would be based upon the plan's funded status and actuarial assumptions in effect at that time.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plans to make contributions of $12.7 to the Company Plan during 2016.</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effect on operations for both the Company Plan and the PEP are summarized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Amounts included in accumulated other comprehensive earnings consist of unamortized net loss of $135.1. The accumulated other comprehensive earnings that are expected to be recognized as components of the defined benefit plan costs during 2016 are $10.5 related to amortization of the net loss.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gridSpan w:val="7"/>
          </w:tcPr>
          <w:p>
            <w:pPr>
              <w:ind w:left="280"/>
              <w:spacing w:after="0"/>
              <w:rPr>
                <w:sz w:val="20"/>
                <w:szCs w:val="20"/>
                <w:color w:val="auto"/>
              </w:rPr>
            </w:pPr>
            <w:r>
              <w:rPr>
                <w:rFonts w:ascii="Arial" w:cs="Arial" w:eastAsia="Arial" w:hAnsi="Arial"/>
                <w:sz w:val="18"/>
                <w:szCs w:val="18"/>
                <w:color w:val="auto"/>
                <w:w w:val="92"/>
              </w:rPr>
              <w:t>A summary of the changes in the projected benefit obligations of the Company Plan and the PEP are summarized as follows: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3"/>
          </w:tcPr>
          <w:p>
            <w:pPr>
              <w:jc w:val="right"/>
              <w:ind w:right="330"/>
              <w:spacing w:after="0"/>
              <w:rPr>
                <w:sz w:val="20"/>
                <w:szCs w:val="20"/>
                <w:color w:val="auto"/>
              </w:rPr>
            </w:pPr>
            <w:r>
              <w:rPr>
                <w:rFonts w:ascii="Arial" w:cs="Arial" w:eastAsia="Arial" w:hAnsi="Arial"/>
                <w:sz w:val="18"/>
                <w:szCs w:val="18"/>
                <w:color w:val="auto"/>
                <w:w w:val="84"/>
              </w:rPr>
              <w:t>2015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388.6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Service cost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Actuarial (gain)/loss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Benefits and administrative expenses paid</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4"/>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Balance at December 31</w:t>
            </w:r>
          </w:p>
        </w:tc>
        <w:tc>
          <w:tcPr>
            <w:tcW w:w="320" w:type="dxa"/>
            <w:vAlign w:val="bottom"/>
          </w:tcPr>
          <w:p>
            <w:pPr>
              <w:spacing w:after="0"/>
              <w:rPr>
                <w:sz w:val="22"/>
                <w:szCs w:val="2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363.1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ind w:left="280"/>
              <w:spacing w:after="0"/>
              <w:rPr>
                <w:sz w:val="20"/>
                <w:szCs w:val="20"/>
                <w:color w:val="auto"/>
              </w:rPr>
            </w:pPr>
            <w:r>
              <w:rPr>
                <w:rFonts w:ascii="Arial" w:cs="Arial" w:eastAsia="Arial" w:hAnsi="Arial"/>
                <w:sz w:val="18"/>
                <w:szCs w:val="18"/>
                <w:color w:val="auto"/>
                <w:w w:val="93"/>
              </w:rPr>
              <w:t>The Accumulated Benefit Obligation was $363.1 and $388.6 at December 31, 2015 and 2014, respectively.</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ind w:left="280"/>
              <w:spacing w:after="0"/>
              <w:rPr>
                <w:sz w:val="20"/>
                <w:szCs w:val="20"/>
                <w:color w:val="auto"/>
              </w:rPr>
            </w:pPr>
            <w:r>
              <w:rPr>
                <w:rFonts w:ascii="Arial" w:cs="Arial" w:eastAsia="Arial" w:hAnsi="Arial"/>
                <w:sz w:val="18"/>
                <w:szCs w:val="18"/>
                <w:color w:val="auto"/>
              </w:rPr>
              <w:t>A summary of the changes in the fair value of plan assets follows: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3"/>
          </w:tcPr>
          <w:p>
            <w:pPr>
              <w:jc w:val="right"/>
              <w:ind w:right="330"/>
              <w:spacing w:after="0"/>
              <w:rPr>
                <w:sz w:val="20"/>
                <w:szCs w:val="20"/>
                <w:color w:val="auto"/>
              </w:rPr>
            </w:pPr>
            <w:r>
              <w:rPr>
                <w:rFonts w:ascii="Arial" w:cs="Arial" w:eastAsia="Arial" w:hAnsi="Arial"/>
                <w:sz w:val="18"/>
                <w:szCs w:val="18"/>
                <w:color w:val="auto"/>
                <w:w w:val="84"/>
              </w:rPr>
              <w:t>2015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269.1</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Benefits and administrative expenses paid</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8"/>
                <w:szCs w:val="18"/>
                <w:color w:val="auto"/>
              </w:rPr>
              <w:t>The net funded status of the Company Plan and the PEP at December 31:</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4"/>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119.6</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1.7</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119.6</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 average assumptions used in the accounting for the Company Plan and the PEP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jc w:val="right"/>
              <w:ind w:right="4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2013</w:t>
            </w:r>
          </w:p>
        </w:tc>
      </w:tr>
      <w:tr>
        <w:trPr>
          <w:trHeight w:val="34"/>
        </w:trPr>
        <w:tc>
          <w:tcPr>
            <w:tcW w:w="7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Expected long term rate of return</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7.0%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updated the mortality assumption to the RP-2014 Mortality Tables in 2015 which increased the Company's total projected obligation.</w:t>
      </w:r>
    </w:p>
    <w:p>
      <w:pPr>
        <w:spacing w:after="0" w:line="24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maintains an investment policy for the management of the Company Plan’s assets. The objective of this policy is to build a portfolio designed to achieve a balance between investment return and asset protection by investing in indexed funds that are comprised of equities of high quality companies and in high quality fixed income securities which are broadly balanced and represent all market sectors. The target allocations for plan assets are 50% equity securities, 45% fixed income securities and 5% in other assets. Equity securities primarily include investments in large-cap, mid-cap and small-cap companies located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694"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and to a lesser extent international equities in developed and emerging countries. Fixed income securities primarily include U.S. Treasury securities, mortgage-backed bonds and corporate bonds of companies from diversified industries. Other assets include investments in commodities. The weighted average expected long-term rate of return for the Company Plan’s assets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16"/>
        </w:trPr>
        <w:tc>
          <w:tcPr>
            <w:tcW w:w="73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Target</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Expected Long-Term</w:t>
            </w:r>
          </w:p>
        </w:tc>
      </w:tr>
      <w:tr>
        <w:trPr>
          <w:trHeight w:val="230"/>
        </w:trPr>
        <w:tc>
          <w:tcPr>
            <w:tcW w:w="73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Rate of Return</w:t>
            </w:r>
          </w:p>
        </w:tc>
      </w:tr>
      <w:tr>
        <w:trPr>
          <w:trHeight w:val="34"/>
        </w:trPr>
        <w:tc>
          <w:tcPr>
            <w:tcW w:w="73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fair values of the Company Plan’s assets at December 31, 2015 and 2014, by asset category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December 31, 2015</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744"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fixed income (f)</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inflation protection income (g)</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fair value of the Company Plan’s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Category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December 31, 2014</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31, 2014</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-1234440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-162560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200" w:space="720"/>
            <w:col w:w="6500"/>
          </w:cols>
          <w:pgMar w:left="240" w:top="125" w:right="239" w:bottom="744"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(e)</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fixed income (f)</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304"/>
        </w:trPr>
        <w:tc>
          <w:tcPr>
            <w:tcW w:w="4920" w:type="dxa"/>
            <w:vAlign w:val="bottom"/>
          </w:tcPr>
          <w:p>
            <w:pPr>
              <w:ind w:left="280"/>
              <w:spacing w:after="0"/>
              <w:rPr>
                <w:sz w:val="20"/>
                <w:szCs w:val="20"/>
                <w:color w:val="auto"/>
              </w:rPr>
            </w:pPr>
            <w:r>
              <w:rPr>
                <w:rFonts w:ascii="Arial" w:cs="Arial" w:eastAsia="Arial" w:hAnsi="Arial"/>
                <w:sz w:val="18"/>
                <w:szCs w:val="18"/>
                <w:color w:val="auto"/>
              </w:rPr>
              <w:t>U.S inflation protection income (g)</w:t>
            </w:r>
          </w:p>
        </w:tc>
        <w:tc>
          <w:tcPr>
            <w:tcW w:w="6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51"/>
        </w:trPr>
        <w:tc>
          <w:tcPr>
            <w:tcW w:w="49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500 Index.</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mid-cap 400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Russell 2000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MSCI ACWI ex USA 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e)This category represents a commodities index fund not actively managed that tracks the Dow Jones - UBS Commodity Index.</w:t>
      </w:r>
    </w:p>
    <w:p>
      <w:pPr>
        <w:spacing w:after="0" w:line="9" w:lineRule="exact"/>
        <w:rPr>
          <w:sz w:val="20"/>
          <w:szCs w:val="20"/>
          <w:color w:val="auto"/>
        </w:rPr>
      </w:pPr>
    </w:p>
    <w:p>
      <w:pPr>
        <w:ind w:left="340" w:right="2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category primarily represents bond index funds not actively managed that track the Barclays Capital U.S. Aggregate Index as well as an actively managed strategy which utilizes the Barclays Capital U.S. Aggregate Bond Index as its primary prospectus benchmark.</w:t>
      </w: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category primarily represents a bond index fund not actively managed that tracks the Barclays Capital U.S. TIPS Index.</w:t>
      </w:r>
    </w:p>
    <w:p>
      <w:pPr>
        <w:sectPr>
          <w:pgSz w:w="11900" w:h="16838" w:orient="portrait"/>
          <w:cols w:equalWidth="0" w:num="1">
            <w:col w:w="11420"/>
          </w:cols>
          <w:pgMar w:left="240" w:top="125" w:right="239" w:bottom="744"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125" w:right="239" w:bottom="744"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 Plan and PEP,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2017</w:t>
            </w:r>
          </w:p>
        </w:tc>
        <w:tc>
          <w:tcPr>
            <w:tcW w:w="4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5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2019</w:t>
            </w:r>
          </w:p>
        </w:tc>
        <w:tc>
          <w:tcPr>
            <w:tcW w:w="4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5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Years 2021-2025</w:t>
            </w:r>
          </w:p>
        </w:tc>
        <w:tc>
          <w:tcPr>
            <w:tcW w:w="4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123.9</w:t>
            </w: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the PEP, as a result of the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The pension benefit obligation as of the Acquisition date was $32.8. For the 2015 period, the beginning of the year is February 19, 2015, and the net periodic pension cost is for the ten months ended December 31, 2015. The components of the net periodic pension cost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amortization and deferral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Curtailment gain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pension cost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14236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5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0.9</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23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31750</wp:posOffset>
            </wp:positionV>
            <wp:extent cx="72466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80" w:space="720"/>
            <w:col w:w="2220"/>
          </w:cols>
          <w:pgMar w:left="240" w:top="125"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390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3900" w:type="dxa"/>
            <w:vAlign w:val="bottom"/>
          </w:tcPr>
          <w:p>
            <w:pPr>
              <w:jc w:val="right"/>
              <w:ind w:right="90"/>
              <w:spacing w:after="0"/>
              <w:rPr>
                <w:sz w:val="20"/>
                <w:szCs w:val="20"/>
                <w:color w:val="auto"/>
              </w:rPr>
            </w:pPr>
            <w:r>
              <w:rPr>
                <w:rFonts w:ascii="Arial" w:cs="Arial" w:eastAsia="Arial" w:hAnsi="Arial"/>
                <w:sz w:val="18"/>
                <w:szCs w:val="18"/>
                <w:color w:val="auto"/>
              </w:rPr>
              <w:t>N/A</w:t>
            </w:r>
          </w:p>
        </w:tc>
      </w:tr>
    </w:tbl>
    <w:p>
      <w:pPr>
        <w:spacing w:after="0" w:line="391"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The change in the projected benefit obligation, the funded status of the plan and a reconciliation of such funded status to the amounts reported in the consolidated balance sheet as of December 31, 2015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Balance at Acquisition Date</w:t>
            </w:r>
          </w:p>
        </w:tc>
        <w:tc>
          <w:tcPr>
            <w:tcW w:w="7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Gross benefits paid</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Curtailments</w:t>
            </w: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2015</w:t>
            </w:r>
          </w:p>
        </w:tc>
        <w:tc>
          <w:tcPr>
            <w:tcW w:w="7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gridSpan w:val="2"/>
            <w:vMerge w:val="restart"/>
          </w:tcPr>
          <w:p>
            <w:pPr>
              <w:ind w:left="260"/>
              <w:spacing w:after="0"/>
              <w:rPr>
                <w:sz w:val="20"/>
                <w:szCs w:val="20"/>
                <w:color w:val="auto"/>
              </w:rPr>
            </w:pPr>
            <w:r>
              <w:rPr>
                <w:rFonts w:ascii="Arial" w:cs="Arial" w:eastAsia="Arial" w:hAnsi="Arial"/>
                <w:sz w:val="18"/>
                <w:szCs w:val="18"/>
                <w:color w:val="auto"/>
              </w:rPr>
              <w:t>The accumulated benefit obligation as of December 31, 2015 was $30.9.</w:t>
            </w: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40" w:type="dxa"/>
            <w:vAlign w:val="bottom"/>
            <w:gridSpan w:val="2"/>
            <w:vMerge w:val="continue"/>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SERP, which were used in the calculation of projected benefit obligations, are expected to be paid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8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2017</w:t>
            </w:r>
          </w:p>
        </w:tc>
        <w:tc>
          <w:tcPr>
            <w:tcW w:w="48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52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2019</w:t>
            </w:r>
          </w:p>
        </w:tc>
        <w:tc>
          <w:tcPr>
            <w:tcW w:w="48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2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Years 2021-2025</w:t>
            </w:r>
          </w:p>
        </w:tc>
        <w:tc>
          <w:tcPr>
            <w:tcW w:w="48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w:t>
            </w:r>
          </w:p>
        </w:tc>
      </w:tr>
    </w:tbl>
    <w:p>
      <w:pPr>
        <w:spacing w:after="0" w:line="6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As a result of the Acquisition, the Company sponsors two defined benefit pension plans for the benefit of its employees at two U.K. subsidiaries (U.K. Plans) and one defined benefit pension plan for the benefit of its employees at a German subsidiary (German Plan), all of which are legacy plans of previously acquired companies. Benefit amounts for all three plans are based upon years of service and compensation. The German Plan is unfunded while the U.K.</w:t>
      </w:r>
    </w:p>
    <w:tbl>
      <w:tblPr>
        <w:tblLayout w:type="fixed"/>
        <w:tblInd w:w="0" w:type="dxa"/>
        <w:tblCellMar>
          <w:top w:w="0" w:type="dxa"/>
          <w:left w:w="0" w:type="dxa"/>
          <w:bottom w:w="0" w:type="dxa"/>
          <w:right w:w="0" w:type="dxa"/>
        </w:tblCellMar>
      </w:tblPr>
      <w:tr>
        <w:trPr>
          <w:trHeight w:val="230"/>
        </w:trPr>
        <w:tc>
          <w:tcPr>
            <w:tcW w:w="10880" w:type="dxa"/>
            <w:vAlign w:val="bottom"/>
            <w:gridSpan w:val="5"/>
          </w:tcPr>
          <w:p>
            <w:pPr>
              <w:spacing w:after="0"/>
              <w:rPr>
                <w:sz w:val="20"/>
                <w:szCs w:val="20"/>
                <w:color w:val="auto"/>
              </w:rPr>
            </w:pPr>
            <w:r>
              <w:rPr>
                <w:rFonts w:ascii="Arial" w:cs="Arial" w:eastAsia="Arial" w:hAnsi="Arial"/>
                <w:sz w:val="18"/>
                <w:szCs w:val="18"/>
                <w:color w:val="auto"/>
                <w:w w:val="92"/>
              </w:rPr>
              <w:t>Plans are funded. The Company’s funding policy has been to contribute annually amounts at least equal to the local statutory funding requirements.</w:t>
            </w:r>
          </w:p>
        </w:tc>
        <w:tc>
          <w:tcPr>
            <w:tcW w:w="540" w:type="dxa"/>
            <w:vAlign w:val="bottom"/>
          </w:tcPr>
          <w:p>
            <w:pPr>
              <w:spacing w:after="0"/>
              <w:rPr>
                <w:sz w:val="20"/>
                <w:szCs w:val="20"/>
                <w:color w:val="auto"/>
              </w:rPr>
            </w:pPr>
          </w:p>
        </w:tc>
      </w:tr>
      <w:tr>
        <w:trPr>
          <w:trHeight w:val="418"/>
        </w:trPr>
        <w:tc>
          <w:tcPr>
            <w:tcW w:w="6180" w:type="dxa"/>
            <w:vAlign w:val="bottom"/>
          </w:tcPr>
          <w:p>
            <w:pPr>
              <w:spacing w:after="0"/>
              <w:rPr>
                <w:sz w:val="24"/>
                <w:szCs w:val="24"/>
                <w:color w:val="auto"/>
              </w:rPr>
            </w:pPr>
          </w:p>
        </w:tc>
        <w:tc>
          <w:tcPr>
            <w:tcW w:w="2000" w:type="dxa"/>
            <w:vAlign w:val="bottom"/>
          </w:tcPr>
          <w:p>
            <w:pPr>
              <w:jc w:val="center"/>
              <w:ind w:left="490"/>
              <w:spacing w:after="0"/>
              <w:rPr>
                <w:sz w:val="20"/>
                <w:szCs w:val="20"/>
                <w:color w:val="auto"/>
              </w:rPr>
            </w:pPr>
            <w:r>
              <w:rPr>
                <w:rFonts w:ascii="Arial" w:cs="Arial" w:eastAsia="Arial" w:hAnsi="Arial"/>
                <w:sz w:val="18"/>
                <w:szCs w:val="18"/>
                <w:color w:val="auto"/>
                <w:w w:val="91"/>
              </w:rPr>
              <w:t>U.K. Plans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ind w:left="430"/>
              <w:spacing w:after="0"/>
              <w:rPr>
                <w:sz w:val="20"/>
                <w:szCs w:val="20"/>
                <w:color w:val="auto"/>
              </w:rPr>
            </w:pPr>
            <w:r>
              <w:rPr>
                <w:rFonts w:ascii="Arial" w:cs="Arial" w:eastAsia="Arial" w:hAnsi="Arial"/>
                <w:sz w:val="18"/>
                <w:szCs w:val="18"/>
                <w:color w:val="auto"/>
                <w:w w:val="88"/>
              </w:rPr>
              <w:t>German Plan</w:t>
            </w:r>
          </w:p>
        </w:tc>
        <w:tc>
          <w:tcPr>
            <w:tcW w:w="540" w:type="dxa"/>
            <w:vAlign w:val="bottom"/>
          </w:tcPr>
          <w:p>
            <w:pPr>
              <w:spacing w:after="0"/>
              <w:rPr>
                <w:sz w:val="24"/>
                <w:szCs w:val="24"/>
                <w:color w:val="auto"/>
              </w:rPr>
            </w:pPr>
          </w:p>
        </w:tc>
      </w:tr>
      <w:tr>
        <w:trPr>
          <w:trHeight w:val="34"/>
        </w:trPr>
        <w:tc>
          <w:tcPr>
            <w:tcW w:w="61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9"/>
        </w:trPr>
        <w:tc>
          <w:tcPr>
            <w:tcW w:w="6180" w:type="dxa"/>
            <w:vAlign w:val="bottom"/>
          </w:tcPr>
          <w:p>
            <w:pPr>
              <w:spacing w:after="0"/>
              <w:rPr>
                <w:sz w:val="19"/>
                <w:szCs w:val="19"/>
                <w:color w:val="auto"/>
              </w:rPr>
            </w:pPr>
          </w:p>
        </w:tc>
        <w:tc>
          <w:tcPr>
            <w:tcW w:w="2000" w:type="dxa"/>
            <w:vAlign w:val="bottom"/>
          </w:tcPr>
          <w:p>
            <w:pPr>
              <w:jc w:val="center"/>
              <w:ind w:left="470"/>
              <w:spacing w:after="0"/>
              <w:rPr>
                <w:sz w:val="20"/>
                <w:szCs w:val="20"/>
                <w:color w:val="auto"/>
              </w:rPr>
            </w:pPr>
            <w:r>
              <w:rPr>
                <w:rFonts w:ascii="Arial" w:cs="Arial" w:eastAsia="Arial" w:hAnsi="Arial"/>
                <w:sz w:val="18"/>
                <w:szCs w:val="18"/>
                <w:color w:val="auto"/>
                <w:w w:val="88"/>
              </w:rPr>
              <w:t>Year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center"/>
              <w:ind w:left="450"/>
              <w:spacing w:after="0"/>
              <w:rPr>
                <w:sz w:val="20"/>
                <w:szCs w:val="20"/>
                <w:color w:val="auto"/>
              </w:rPr>
            </w:pPr>
            <w:r>
              <w:rPr>
                <w:rFonts w:ascii="Arial" w:cs="Arial" w:eastAsia="Arial" w:hAnsi="Arial"/>
                <w:sz w:val="18"/>
                <w:szCs w:val="18"/>
                <w:color w:val="auto"/>
                <w:w w:val="88"/>
              </w:rPr>
              <w:t>Year Ended</w:t>
            </w:r>
          </w:p>
        </w:tc>
        <w:tc>
          <w:tcPr>
            <w:tcW w:w="540" w:type="dxa"/>
            <w:vAlign w:val="bottom"/>
          </w:tcPr>
          <w:p>
            <w:pPr>
              <w:spacing w:after="0"/>
              <w:rPr>
                <w:sz w:val="19"/>
                <w:szCs w:val="19"/>
                <w:color w:val="auto"/>
              </w:rPr>
            </w:pPr>
          </w:p>
        </w:tc>
      </w:tr>
      <w:tr>
        <w:trPr>
          <w:trHeight w:val="230"/>
        </w:trPr>
        <w:tc>
          <w:tcPr>
            <w:tcW w:w="618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Arial" w:cs="Arial" w:eastAsia="Arial" w:hAnsi="Arial"/>
                <w:sz w:val="18"/>
                <w:szCs w:val="18"/>
                <w:color w:val="auto"/>
                <w:w w:val="89"/>
              </w:rPr>
              <w:t>December 31, 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ind w:left="430"/>
              <w:spacing w:after="0"/>
              <w:rPr>
                <w:sz w:val="20"/>
                <w:szCs w:val="20"/>
                <w:color w:val="auto"/>
              </w:rPr>
            </w:pPr>
            <w:r>
              <w:rPr>
                <w:rFonts w:ascii="Arial" w:cs="Arial" w:eastAsia="Arial" w:hAnsi="Arial"/>
                <w:sz w:val="18"/>
                <w:szCs w:val="18"/>
                <w:color w:val="auto"/>
                <w:w w:val="89"/>
              </w:rPr>
              <w:t>December 31, 2015</w:t>
            </w:r>
          </w:p>
        </w:tc>
        <w:tc>
          <w:tcPr>
            <w:tcW w:w="540" w:type="dxa"/>
            <w:vAlign w:val="bottom"/>
          </w:tcPr>
          <w:p>
            <w:pPr>
              <w:spacing w:after="0"/>
              <w:rPr>
                <w:sz w:val="20"/>
                <w:szCs w:val="20"/>
                <w:color w:val="auto"/>
              </w:rPr>
            </w:pPr>
          </w:p>
        </w:tc>
      </w:tr>
      <w:tr>
        <w:trPr>
          <w:trHeight w:val="34"/>
        </w:trPr>
        <w:tc>
          <w:tcPr>
            <w:tcW w:w="61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000" w:type="dxa"/>
            <w:vAlign w:val="bottom"/>
          </w:tcPr>
          <w:p>
            <w:pPr>
              <w:jc w:val="right"/>
              <w:ind w:right="1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20" w:type="dxa"/>
            <w:vAlign w:val="bottom"/>
          </w:tcPr>
          <w:p>
            <w:pPr>
              <w:jc w:val="right"/>
              <w:ind w:right="1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0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89"/>
              </w:rPr>
              <w:t>(10.7)</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2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participant contributions</w:t>
            </w:r>
          </w:p>
        </w:tc>
        <w:tc>
          <w:tcPr>
            <w:tcW w:w="20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2000" w:type="dxa"/>
            <w:vAlign w:val="bottom"/>
            <w:tcBorders>
              <w:bottom w:val="single" w:sz="8" w:color="auto"/>
            </w:tcBorders>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61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57"/>
        </w:trPr>
        <w:tc>
          <w:tcPr>
            <w:tcW w:w="6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2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Salary increases</w:t>
            </w:r>
          </w:p>
        </w:tc>
        <w:tc>
          <w:tcPr>
            <w:tcW w:w="2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weighted average expected long-term rate of return on assets of the U.K Plans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the projected benefit obligation and plan assets, the funded status of the plan and a reconciliation of such funded status to the amounts reported in the consolidated balance sheet as of December 31, 2015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500" w:type="dxa"/>
            <w:vAlign w:val="bottom"/>
          </w:tcPr>
          <w:p>
            <w:pPr>
              <w:spacing w:after="0"/>
              <w:rPr>
                <w:sz w:val="23"/>
                <w:szCs w:val="23"/>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color w:val="auto"/>
              </w:rPr>
              <w:t>U.K. Plans</w:t>
            </w:r>
          </w:p>
        </w:tc>
        <w:tc>
          <w:tcPr>
            <w:tcW w:w="440" w:type="dxa"/>
            <w:vAlign w:val="bottom"/>
          </w:tcPr>
          <w:p>
            <w:pPr>
              <w:spacing w:after="0"/>
              <w:rPr>
                <w:sz w:val="23"/>
                <w:szCs w:val="23"/>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24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Acquisition Date</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5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Actuarial gain</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0"/>
        </w:trPr>
        <w:tc>
          <w:tcPr>
            <w:tcW w:w="6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46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fair value of assets:</w:t>
            </w:r>
          </w:p>
        </w:tc>
        <w:tc>
          <w:tcPr>
            <w:tcW w:w="500" w:type="dxa"/>
            <w:vAlign w:val="bottom"/>
          </w:tcPr>
          <w:p>
            <w:pPr>
              <w:spacing w:after="0"/>
              <w:rPr>
                <w:sz w:val="24"/>
                <w:szCs w:val="24"/>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color w:val="auto"/>
              </w:rPr>
              <w:t>U.K. Plans</w:t>
            </w:r>
          </w:p>
        </w:tc>
        <w:tc>
          <w:tcPr>
            <w:tcW w:w="440" w:type="dxa"/>
            <w:vAlign w:val="bottom"/>
          </w:tcPr>
          <w:p>
            <w:pPr>
              <w:spacing w:after="0"/>
              <w:rPr>
                <w:sz w:val="24"/>
                <w:szCs w:val="24"/>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24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Acquisition Date</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Company contributions</w:t>
            </w:r>
          </w:p>
        </w:tc>
        <w:tc>
          <w:tcPr>
            <w:tcW w:w="5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Participant contributions</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Actual return on assets</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 2015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9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125" w:right="239" w:bottom="1095"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34"/>
        </w:trPr>
        <w:tc>
          <w:tcPr>
            <w:tcW w:w="62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186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70"/>
        </w:trPr>
        <w:tc>
          <w:tcPr>
            <w:tcW w:w="6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860" w:type="dxa"/>
            <w:vAlign w:val="bottom"/>
          </w:tcPr>
          <w:p>
            <w:pPr>
              <w:jc w:val="right"/>
              <w:ind w:right="165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r>
        <w:trPr>
          <w:trHeight w:val="237"/>
        </w:trPr>
        <w:tc>
          <w:tcPr>
            <w:tcW w:w="6240" w:type="dxa"/>
            <w:vAlign w:val="bottom"/>
          </w:tcPr>
          <w:p>
            <w:pPr>
              <w:spacing w:after="0"/>
              <w:rPr>
                <w:sz w:val="20"/>
                <w:szCs w:val="20"/>
                <w:color w:val="auto"/>
              </w:rPr>
            </w:pPr>
          </w:p>
        </w:tc>
        <w:tc>
          <w:tcPr>
            <w:tcW w:w="1860" w:type="dxa"/>
            <w:vAlign w:val="bottom"/>
            <w:tcBorders>
              <w:top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62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contributed $6.6 in 2015 to the U.K. Plans and expected to contribute $17.1 in 2016. No contributions were made to the German plan during 2015, nor are any contributions expected to be made in 2016 since the plan is unfunded.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accumulated benefit obligation for the U.K. Plans and the German Plan was $215.1 and $20.6 at December 31, 2015, respectively.</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jc w:val="right"/>
              <w:ind w:right="730"/>
              <w:spacing w:after="0"/>
              <w:rPr>
                <w:sz w:val="20"/>
                <w:szCs w:val="20"/>
                <w:color w:val="auto"/>
              </w:rPr>
            </w:pPr>
            <w:r>
              <w:rPr>
                <w:rFonts w:ascii="Arial" w:cs="Arial" w:eastAsia="Arial" w:hAnsi="Arial"/>
                <w:sz w:val="18"/>
                <w:szCs w:val="18"/>
                <w:color w:val="auto"/>
              </w:rPr>
              <w:t>German Plan</w:t>
            </w:r>
          </w:p>
        </w:tc>
      </w:tr>
      <w:tr>
        <w:trPr>
          <w:trHeight w:val="34"/>
        </w:trPr>
        <w:tc>
          <w:tcPr>
            <w:tcW w:w="6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Less: Tax benefit (expense) (deferred tax asset)</w:t>
            </w:r>
          </w:p>
        </w:tc>
        <w:tc>
          <w:tcPr>
            <w:tcW w:w="188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7"/>
        </w:trPr>
        <w:tc>
          <w:tcPr>
            <w:tcW w:w="6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880" w:type="dxa"/>
            <w:vAlign w:val="bottom"/>
            <w:tcBorders>
              <w:bottom w:val="single" w:sz="8" w:color="auto"/>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r>
      <w:tr>
        <w:trPr>
          <w:trHeight w:val="20"/>
        </w:trPr>
        <w:tc>
          <w:tcPr>
            <w:tcW w:w="6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57"/>
        </w:trPr>
        <w:tc>
          <w:tcPr>
            <w:tcW w:w="6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8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8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1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is no net actuarial loss for the U.K. Plans and German Plan required to be amortized from accumulated other comprehensive income into net periodic pension cost in 2016.</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investment policies for the U.K. Plans are set by the plan trustees, based upon the guidance of professional advisors and after consultation with the Company, taking into consideration the plans’ liabilities and future funding levels. The trustees have set the long-term investment policy largely in accordance with the asset allocation of a broadly diversified investment portfolio. Assets are generally invested within the target ranges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3"/>
              </w:rPr>
              <w:t>60.0%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80" w:type="dxa"/>
            <w:vAlign w:val="bottom"/>
            <w:shd w:val="clear" w:color="auto" w:fill="CCEEFF"/>
          </w:tcPr>
          <w:p>
            <w:pPr>
              <w:spacing w:after="0"/>
              <w:rPr>
                <w:sz w:val="23"/>
                <w:szCs w:val="23"/>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3"/>
              </w:rPr>
              <w:t>10.0%</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10.0%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32"/>
        </w:trPr>
        <w:tc>
          <w:tcPr>
            <w:tcW w:w="80" w:type="dxa"/>
            <w:vAlign w:val="bottom"/>
          </w:tcPr>
          <w:p>
            <w:pPr>
              <w:spacing w:after="0"/>
              <w:rPr>
                <w:sz w:val="24"/>
                <w:szCs w:val="24"/>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w w:val="93"/>
              </w:rPr>
              <w:t>The weighted average asset allocation of the U.K. Plans as of December 31, 2015 by asset category is as follows: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20" w:type="dxa"/>
            <w:vAlign w:val="bottom"/>
            <w:gridSpan w:val="2"/>
          </w:tcPr>
          <w:p>
            <w:pPr>
              <w:ind w:left="560"/>
              <w:spacing w:after="0"/>
              <w:rPr>
                <w:sz w:val="20"/>
                <w:szCs w:val="20"/>
                <w:color w:val="auto"/>
              </w:rPr>
            </w:pPr>
            <w:r>
              <w:rPr>
                <w:rFonts w:ascii="Arial" w:cs="Arial" w:eastAsia="Arial" w:hAnsi="Arial"/>
                <w:sz w:val="18"/>
                <w:szCs w:val="18"/>
                <w:color w:val="auto"/>
                <w:w w:val="91"/>
              </w:rPr>
              <w:t>December 31, 2015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0"/>
              </w:rPr>
              <w:t>68.0%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0"/>
              </w:rPr>
              <w:t>13.0%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0"/>
              </w:rPr>
              <w:t>14.0%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2"/>
              </w:rPr>
              <w:t>5.0%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Investments are made in pooled investment funds. Pooled investment fund managers are regulated by the Financial Conduct Authority in the U.K. and operate under terms which contain restrictions on the way in which the portfolios are managed and require the managers to ensure that suitable internal operating procedures are in place. The trustees have set performance objectives for each fund manager and routinely monitor and assess the managers’ performance against such objectives. Annuities represent annuity buy-in insurance policies purchased by the plan trustees from large, financially sound insurers. The cash flows from the annuities are intended to match the plan’s obligations to specific groups of participants, typically those participants currently receiving benefits.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 of the Company’s U.K. Plans' assets as of December 31, 2015, by asset category, are as follows: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4"/>
                <w:szCs w:val="24"/>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Mutual funds represent pooled investment vehicles offered by investment managers, which are generally comprised of investments in equities, bonds, property and cash. The plans’ trustees hold units in these funds, the value of which is determined by the number of units held multiplied by the unit price calculated by the investment managers. That unit price is derived based on the market value of the securities that comprise the fund, which are determined by quoted prices in active markets. No element of the valuation is based on inputs made by the plans’ trustees.</w:t>
      </w:r>
    </w:p>
    <w:p>
      <w:pPr>
        <w:spacing w:after="0" w:line="9" w:lineRule="exact"/>
        <w:rPr>
          <w:rFonts w:ascii="Arial" w:cs="Arial" w:eastAsia="Arial" w:hAnsi="Arial"/>
          <w:sz w:val="17"/>
          <w:szCs w:val="17"/>
          <w:color w:val="auto"/>
        </w:rPr>
      </w:pPr>
    </w:p>
    <w:p>
      <w:pPr>
        <w:jc w:val="both"/>
        <w:ind w:left="660" w:hanging="652"/>
        <w:spacing w:after="0" w:line="29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Annuities represent annuity buy-in insurance policies, whereby the insurer pays the pension payments for the lifetime of the members covered. The annuities are assets of the plan and payments from the insurer are made to the plans’ trustees, who then use those proceeds to pay the pensioners. The cash flows from the annuities are intended to effectively match the payments to the pensioners covered by the policy. As such, these assets are valued actuarially based upon the value of the liabilities with which they are associated. As the valuation of these assets is judgmental, and there are no observable inputs associated with the valuation, these assets are classified as Level 3 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Expected future benefit payments are as follows:</w:t>
            </w:r>
          </w:p>
        </w:tc>
        <w:tc>
          <w:tcPr>
            <w:tcW w:w="188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51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9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34"/>
        </w:trPr>
        <w:tc>
          <w:tcPr>
            <w:tcW w:w="62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90" w:type="dxa"/>
            <w:vAlign w:val="bottom"/>
            <w:tcBorders>
              <w:bottom w:val="single" w:sz="8" w:color="auto"/>
            </w:tcBorders>
          </w:tcPr>
          <w:p>
            <w:pPr>
              <w:spacing w:after="0"/>
              <w:rPr>
                <w:sz w:val="2"/>
                <w:szCs w:val="2"/>
                <w:color w:val="auto"/>
              </w:rPr>
            </w:pPr>
          </w:p>
        </w:tc>
        <w:tc>
          <w:tcPr>
            <w:tcW w:w="51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51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2017</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3.5</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2019</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4.1</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Years 2021-2025</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34.1</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229"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As a result of the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 The net periodic post-retirement benefit cost for the year ended December 31, 2015 was $0.2, and the pension benefit</w:t>
      </w:r>
    </w:p>
    <w:tbl>
      <w:tblPr>
        <w:tblLayout w:type="fixed"/>
        <w:tblInd w:w="0" w:type="dxa"/>
        <w:tblCellMar>
          <w:top w:w="0" w:type="dxa"/>
          <w:left w:w="0" w:type="dxa"/>
          <w:bottom w:w="0" w:type="dxa"/>
          <w:right w:w="0" w:type="dxa"/>
        </w:tblCellMar>
      </w:tblP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obligation as of the Acquisition date was $6.3.</w:t>
            </w: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The components of net periodic post-retirement benefit cost for 2015 are as follows:</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jc w:val="right"/>
              <w:ind w:right="730"/>
              <w:spacing w:after="0"/>
              <w:rPr>
                <w:sz w:val="20"/>
                <w:szCs w:val="20"/>
                <w:color w:val="auto"/>
              </w:rPr>
            </w:pPr>
            <w:r>
              <w:rPr>
                <w:rFonts w:ascii="Arial" w:cs="Arial" w:eastAsia="Arial" w:hAnsi="Arial"/>
                <w:sz w:val="18"/>
                <w:szCs w:val="18"/>
                <w:color w:val="auto"/>
              </w:rPr>
              <w:t>Year Ended</w:t>
            </w:r>
          </w:p>
        </w:tc>
      </w:tr>
      <w:tr>
        <w:trPr>
          <w:trHeight w:val="230"/>
        </w:trPr>
        <w:tc>
          <w:tcPr>
            <w:tcW w:w="1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December 31, 2015</w:t>
            </w:r>
          </w:p>
        </w:tc>
      </w:tr>
      <w:tr>
        <w:trPr>
          <w:trHeight w:val="34"/>
        </w:trPr>
        <w:tc>
          <w:tcPr>
            <w:tcW w:w="1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r>
      <w:tr>
        <w:trPr>
          <w:trHeight w:val="297"/>
        </w:trPr>
        <w:tc>
          <w:tcPr>
            <w:tcW w:w="120" w:type="dxa"/>
            <w:vAlign w:val="bottom"/>
          </w:tcPr>
          <w:p>
            <w:pPr>
              <w:spacing w:after="0"/>
              <w:rPr>
                <w:sz w:val="24"/>
                <w:szCs w:val="24"/>
                <w:color w:val="auto"/>
              </w:rPr>
            </w:pPr>
          </w:p>
        </w:tc>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periodic post-retirement benefit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r>
      <w:tr>
        <w:trPr>
          <w:trHeight w:val="257"/>
        </w:trPr>
        <w:tc>
          <w:tcPr>
            <w:tcW w:w="120" w:type="dxa"/>
            <w:vAlign w:val="bottom"/>
          </w:tcPr>
          <w:p>
            <w:pPr>
              <w:spacing w:after="0"/>
              <w:rPr>
                <w:sz w:val="22"/>
                <w:szCs w:val="22"/>
                <w:color w:val="auto"/>
              </w:rPr>
            </w:pPr>
          </w:p>
        </w:tc>
        <w:tc>
          <w:tcPr>
            <w:tcW w:w="8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r>
      <w:tr>
        <w:trPr>
          <w:trHeight w:val="243"/>
        </w:trPr>
        <w:tc>
          <w:tcPr>
            <w:tcW w:w="1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Assumptions used to determine net periodic post-retirement benefit cost:</w:t>
            </w:r>
          </w:p>
        </w:tc>
        <w:tc>
          <w:tcPr>
            <w:tcW w:w="30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Healthcare cost trend rate</w:t>
            </w:r>
          </w:p>
        </w:tc>
        <w:tc>
          <w:tcPr>
            <w:tcW w:w="3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change in the projected post-retirement benefit obligation, the funded status of the plan and the reconciliation of such funded status to the amounts reported in the consolidated balance sheets as of December 31, 2015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4"/>
              </w:rPr>
              <w:t>2015</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Acquisition Date</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rPr>
                <w:sz w:val="20"/>
                <w:szCs w:val="20"/>
                <w:color w:val="auto"/>
              </w:rPr>
            </w:pPr>
            <w:r>
              <w:rPr>
                <w:rFonts w:ascii="Arial" w:cs="Arial" w:eastAsia="Arial" w:hAnsi="Arial"/>
                <w:sz w:val="18"/>
                <w:szCs w:val="18"/>
                <w:color w:val="auto"/>
              </w:rPr>
              <w:t>Participant contributions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tcPr>
          <w:p>
            <w:pPr>
              <w:spacing w:after="0"/>
              <w:rPr>
                <w:sz w:val="23"/>
                <w:szCs w:val="23"/>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60" w:type="dxa"/>
            <w:vAlign w:val="bottom"/>
            <w:gridSpan w:val="3"/>
            <w:vMerge w:val="restart"/>
          </w:tcPr>
          <w:p>
            <w:pPr>
              <w:ind w:left="100"/>
              <w:spacing w:after="0"/>
              <w:rPr>
                <w:sz w:val="20"/>
                <w:szCs w:val="20"/>
                <w:color w:val="auto"/>
              </w:rPr>
            </w:pPr>
            <w:r>
              <w:rPr>
                <w:rFonts w:ascii="Arial" w:cs="Arial" w:eastAsia="Arial" w:hAnsi="Arial"/>
                <w:sz w:val="18"/>
                <w:szCs w:val="18"/>
                <w:color w:val="auto"/>
                <w:w w:val="90"/>
              </w:rPr>
              <w:t>The amounts recognized in accumulated other comprehensive income as of December 31, 2015 are as follows:</w:t>
            </w: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Year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jc w:val="right"/>
              <w:ind w:right="109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Less: Deferred tax benefit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Assumptions used to determine benefit obligation:</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120" w:type="dxa"/>
            <w:vAlign w:val="bottom"/>
            <w:tcBorders>
              <w:right w:val="single" w:sz="8" w:color="CCEEFF"/>
            </w:tcBorders>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4.2%</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Healthcare cost trend rate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2"/>
              </w:rPr>
              <w:t>7.0%</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 one percentage point (1%) increase or decrease in the assumed healthcare cost trend rate would not impact the net service and interest cost components of the net periodic post-retirement benefit cost or the post-retirement benefit obligation since future increases in plan costs are paid by participant contributions. The Company expects to contribute $0.6 to the post-employment retiree health and welfare plan in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280"/>
              <w:spacing w:after="0"/>
              <w:rPr>
                <w:sz w:val="20"/>
                <w:szCs w:val="20"/>
                <w:color w:val="auto"/>
              </w:rPr>
            </w:pPr>
            <w:r>
              <w:rPr>
                <w:rFonts w:ascii="Arial" w:cs="Arial" w:eastAsia="Arial" w:hAnsi="Arial"/>
                <w:sz w:val="18"/>
                <w:szCs w:val="18"/>
                <w:color w:val="auto"/>
              </w:rPr>
              <w:t>Expected future gross benefit payments are as follows:</w:t>
            </w:r>
          </w:p>
        </w:tc>
        <w:tc>
          <w:tcPr>
            <w:tcW w:w="34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5"/>
        </w:trPr>
        <w:tc>
          <w:tcPr>
            <w:tcW w:w="65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4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2017</w:t>
            </w:r>
          </w:p>
        </w:tc>
        <w:tc>
          <w:tcPr>
            <w:tcW w:w="3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2019</w:t>
            </w:r>
          </w:p>
        </w:tc>
        <w:tc>
          <w:tcPr>
            <w:tcW w:w="3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2021 and thereafter</w:t>
            </w:r>
          </w:p>
        </w:tc>
        <w:tc>
          <w:tcPr>
            <w:tcW w:w="34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color w:val="auto"/>
              </w:rPr>
              <w:t>Post-retirement medical plan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8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125" w:right="239" w:bottom="487"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Amounts included in accumulated other comprehensive earnings consist of unamortized net loss of $9.3. The accumulated other comprehensive earnings that are expected to be recognized as components of the post-retirement medical plan costs during 2016 are $10.4 related to amortization of the net gain resulting from the shift of Medicare-eligible participants to private exchanges.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Service cost for benefits earned</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 on benefit obligation</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Participants contributions</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21.4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257"/>
        </w:trPr>
        <w:tc>
          <w:tcPr>
            <w:tcW w:w="88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Recorded as: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4.4% and 4.0% as of December 31, 2015 and 2014, respectively. The healthcare cost trend rate was removed due to the expectation of future funding to be at the same level as the previous year's funding.</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2017</w:t>
            </w:r>
          </w:p>
        </w:tc>
        <w:tc>
          <w:tcPr>
            <w:tcW w:w="49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2019</w:t>
            </w:r>
          </w:p>
        </w:tc>
        <w:tc>
          <w:tcPr>
            <w:tcW w:w="49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7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Years 2021-2025</w:t>
            </w:r>
          </w:p>
        </w:tc>
        <w:tc>
          <w:tcPr>
            <w:tcW w:w="49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2001, the Board approved the Deferred Compensation Plan (DCP) under which certain of the Company's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this plan were $46.4 and $43.4 at December 31, 2015 and 2014, respectively. Deferred amounts are the Company's general unsecured obligations and are subject to claims by the Company's creditors. The Company's general assets may be used to fund obligations and pay DCP benefits.</w:t>
      </w:r>
    </w:p>
    <w:p>
      <w:pPr>
        <w:sectPr>
          <w:pgSz w:w="11900" w:h="16838" w:orient="portrait"/>
          <w:cols w:equalWidth="0" w:num="1">
            <w:col w:w="11420"/>
          </w:cols>
          <w:pgMar w:left="240" w:top="125" w:right="23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25" w:right="239" w:bottom="1028"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17.</w:t>
        <w:tab/>
        <w:t>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Company’s population of financial assets and liabilities subject to fair value measurements as of December 31,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6"/>
          </w:tcPr>
          <w:p>
            <w:pPr>
              <w:ind w:left="800"/>
              <w:spacing w:after="0"/>
              <w:rPr>
                <w:sz w:val="20"/>
                <w:szCs w:val="20"/>
                <w:color w:val="auto"/>
              </w:rPr>
            </w:pPr>
            <w:r>
              <w:rPr>
                <w:rFonts w:ascii="Arial" w:cs="Arial" w:eastAsia="Arial" w:hAnsi="Arial"/>
                <w:sz w:val="18"/>
                <w:szCs w:val="18"/>
                <w:color w:val="auto"/>
                <w:w w:val="89"/>
              </w:rPr>
              <w:t>Fair Value Measurements as of</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8"/>
              </w:rPr>
              <w:t>Fair Value as of</w:t>
            </w:r>
          </w:p>
        </w:tc>
        <w:tc>
          <w:tcPr>
            <w:tcW w:w="260" w:type="dxa"/>
            <w:vAlign w:val="bottom"/>
          </w:tcPr>
          <w:p>
            <w:pPr>
              <w:spacing w:after="0"/>
              <w:rPr>
                <w:sz w:val="23"/>
                <w:szCs w:val="23"/>
                <w:color w:val="auto"/>
              </w:rPr>
            </w:pPr>
          </w:p>
        </w:tc>
        <w:tc>
          <w:tcPr>
            <w:tcW w:w="3060" w:type="dxa"/>
            <w:vAlign w:val="bottom"/>
            <w:gridSpan w:val="6"/>
          </w:tcPr>
          <w:p>
            <w:pPr>
              <w:jc w:val="center"/>
              <w:ind w:left="670"/>
              <w:spacing w:after="0"/>
              <w:rPr>
                <w:sz w:val="20"/>
                <w:szCs w:val="20"/>
                <w:color w:val="auto"/>
              </w:rPr>
            </w:pPr>
            <w:r>
              <w:rPr>
                <w:rFonts w:ascii="Arial" w:cs="Arial" w:eastAsia="Arial" w:hAnsi="Arial"/>
                <w:sz w:val="18"/>
                <w:szCs w:val="18"/>
                <w:color w:val="auto"/>
                <w:w w:val="92"/>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 2015</w:t>
            </w:r>
          </w:p>
        </w:tc>
        <w:tc>
          <w:tcPr>
            <w:tcW w:w="26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Level 2</w:t>
            </w:r>
          </w:p>
        </w:tc>
        <w:tc>
          <w:tcPr>
            <w:tcW w:w="38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6"/>
          </w:tcPr>
          <w:p>
            <w:pPr>
              <w:ind w:left="800"/>
              <w:spacing w:after="0"/>
              <w:rPr>
                <w:sz w:val="20"/>
                <w:szCs w:val="20"/>
                <w:color w:val="auto"/>
              </w:rPr>
            </w:pPr>
            <w:r>
              <w:rPr>
                <w:rFonts w:ascii="Arial" w:cs="Arial" w:eastAsia="Arial" w:hAnsi="Arial"/>
                <w:sz w:val="18"/>
                <w:szCs w:val="18"/>
                <w:color w:val="auto"/>
                <w:w w:val="89"/>
              </w:rPr>
              <w:t>Fair Value Measurements as of</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2014</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8"/>
              </w:rPr>
              <w:t>Fair Value as of</w:t>
            </w:r>
          </w:p>
        </w:tc>
        <w:tc>
          <w:tcPr>
            <w:tcW w:w="260" w:type="dxa"/>
            <w:vAlign w:val="bottom"/>
          </w:tcPr>
          <w:p>
            <w:pPr>
              <w:spacing w:after="0"/>
              <w:rPr>
                <w:sz w:val="23"/>
                <w:szCs w:val="23"/>
                <w:color w:val="auto"/>
              </w:rPr>
            </w:pPr>
          </w:p>
        </w:tc>
        <w:tc>
          <w:tcPr>
            <w:tcW w:w="3060" w:type="dxa"/>
            <w:vAlign w:val="bottom"/>
            <w:gridSpan w:val="6"/>
          </w:tcPr>
          <w:p>
            <w:pPr>
              <w:jc w:val="center"/>
              <w:ind w:left="670"/>
              <w:spacing w:after="0"/>
              <w:rPr>
                <w:sz w:val="20"/>
                <w:szCs w:val="20"/>
                <w:color w:val="auto"/>
              </w:rPr>
            </w:pPr>
            <w:r>
              <w:rPr>
                <w:rFonts w:ascii="Arial" w:cs="Arial" w:eastAsia="Arial" w:hAnsi="Arial"/>
                <w:sz w:val="18"/>
                <w:szCs w:val="18"/>
                <w:color w:val="auto"/>
                <w:w w:val="92"/>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 2014</w:t>
            </w:r>
          </w:p>
        </w:tc>
        <w:tc>
          <w:tcPr>
            <w:tcW w:w="26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Level 2</w:t>
            </w:r>
          </w:p>
        </w:tc>
        <w:tc>
          <w:tcPr>
            <w:tcW w:w="38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noncontrolling interest put is valued at its contractually determined value, which approximate fair value. During the year ended December 31, 2015, the carrying value of the noncontrolling interest put decreased by $2.8 consisting of a $2.0 decrease in the contractually determined value and a $0.8 decrease for foreign currency translation.</w:t>
      </w:r>
    </w:p>
    <w:p>
      <w:pPr>
        <w:spacing w:after="0" w:line="181"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17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$177.1 and $155.6 as of December 31, 2015 and 2014, respectively. The fair market value of the senior notes, based on market pricing, was approximately $6,070.5 and $2,949.8 as of December 31, 2015 and 2014, respectively. The Company's note and debt instruments are considered level 2 instruments, as the fair market values of these instruments are determined using other observable inputs. The Company's investment in equity securities of $0.0 and $1.0 as of December 31, 2015 and 2014, respectively, is considered a Level 1 instrument, as the fair market value of this instrument is determined using observable inputs.</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18.</w:t>
        <w:tab/>
        <w:t>DERIVATIVE INSTRUMENTS AND HEDGING ACTIVITIES</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 section below), the Company does not hold or issue derivative financial instruments for trading purposes. The Company does not believe that its exposure to market risk is material to the Company’s financial position or results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or liabilities, as applicable, and added to the value of the senior notes, with an aggregate fair value of $21.6 at December 31, 2015.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70" w:lineRule="exact"/>
        <w:rPr>
          <w:sz w:val="20"/>
          <w:szCs w:val="20"/>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7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believes these embedded derivatives had no fair value at December 31, 2015 and 2014. These embedded derivatives also had no impact on the consolidated statements of operations for the years ended December 31, 2015,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Instruments</w:t>
      </w:r>
    </w:p>
    <w:p>
      <w:pPr>
        <w:spacing w:after="0" w:line="229"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2015.</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r>
      <w:tr>
        <w:trPr>
          <w:trHeight w:val="3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34"/>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301.5</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shares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74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 INFORMATION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following table is a summary of segment information for the years ended December 31, 2015, 2014, and 2013.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has been identified as the CODM.</w:t>
      </w:r>
    </w:p>
    <w:p>
      <w:pPr>
        <w:spacing w:after="0" w:line="22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Prior to the first quarter of 2015, the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these financial statements has been conformed to present segments on this revised basis for all prior periods. Under the new organizational structure, the CODM manages the Company under two segments: LCD and CDD. LCD includes the Company's legacy LabCorp business, and the Company's nutritional chemistry and food safety business, which were previously part of Covance, but excludes LabCorp’s legacy clinical trials testing business, which is now part of CDD. CDD includes Covance's legacy business, and LabCorp’s legacy clinical trials testing business, but excludes Covance's nutritional chemistry and food safety business, which are now part of LCD.</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fourth quarter of 2015, the Company refined its methodology for how it allocates corporate expenses between the segments, which impacts segment results and has been applied to prior periods for comparative purposes.</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5,669.4</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CDD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2,306.4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6,011.6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5,808.3</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(loss):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LCD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1,061.4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982.3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Non-operating expenses,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Laboratory Corporation of America Holdings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CDD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64"/>
        </w:trPr>
        <w:tc>
          <w:tcPr>
            <w:tcW w:w="5800" w:type="dxa"/>
            <w:vAlign w:val="bottom"/>
          </w:tcPr>
          <w:p>
            <w:pPr>
              <w:ind w:left="2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434.3</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LCD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CDD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distribution of net revenues</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5,847.3</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64"/>
        </w:trPr>
        <w:tc>
          <w:tcPr>
            <w:tcW w:w="58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6,199.3</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2,306.4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8,505.7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LCD</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CDD</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5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64"/>
        </w:trPr>
        <w:tc>
          <w:tcPr>
            <w:tcW w:w="59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21. QUARTERLY DATA (UNAUDITED)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Arial" w:cs="Arial" w:eastAsia="Arial" w:hAnsi="Arial"/>
                <w:sz w:val="18"/>
                <w:szCs w:val="18"/>
                <w:color w:val="auto"/>
                <w:w w:val="99"/>
              </w:rPr>
              <w:t>The following is a summary of unaudited quarterly data:</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8"/>
              </w:rPr>
              <w:t>Year ended December 31, 2015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r>
      <w:tr>
        <w:trPr>
          <w:trHeight w:val="34"/>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2,903.3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30"/>
        </w:trPr>
        <w:tc>
          <w:tcPr>
            <w:tcW w:w="20" w:type="dxa"/>
            <w:vAlign w:val="bottom"/>
          </w:tcPr>
          <w:p>
            <w:pPr>
              <w:spacing w:after="0"/>
              <w:rPr>
                <w:sz w:val="20"/>
                <w:szCs w:val="20"/>
                <w:color w:val="auto"/>
              </w:rPr>
            </w:pPr>
          </w:p>
        </w:tc>
        <w:tc>
          <w:tcPr>
            <w:tcW w:w="7420" w:type="dxa"/>
            <w:vAlign w:val="bottom"/>
            <w:gridSpan w:val="7"/>
          </w:tcPr>
          <w:p>
            <w:pPr>
              <w:spacing w:after="0"/>
              <w:rPr>
                <w:sz w:val="20"/>
                <w:szCs w:val="20"/>
                <w:color w:val="auto"/>
              </w:rPr>
            </w:pPr>
            <w:r>
              <w:rPr>
                <w:rFonts w:ascii="Arial" w:cs="Arial" w:eastAsia="Arial" w:hAnsi="Arial"/>
                <w:sz w:val="18"/>
                <w:szCs w:val="18"/>
                <w:color w:val="auto"/>
                <w:w w:val="95"/>
              </w:rPr>
              <w:t>The quarterly data above reflects all measurement period adjustments as of the Acquisition Date.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8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8"/>
              </w:rPr>
              <w:t>Year ended December 31, 2014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r>
      <w:tr>
        <w:trPr>
          <w:trHeight w:val="34"/>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6,011.6</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2,203.1</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420"/>
          </w:cols>
          <w:pgMar w:left="240" w:top="125" w:right="239" w:bottom="717"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ind w:left="340" w:right="228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VALUATION AND QUALIFYING ACCOUNTS AND RESERVES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December 31, 2015, 2014 and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 at</w:t>
            </w: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Additions</w:t>
            </w:r>
          </w:p>
        </w:tc>
        <w:tc>
          <w:tcPr>
            <w:tcW w:w="380" w:type="dxa"/>
            <w:vAlign w:val="bottom"/>
          </w:tcPr>
          <w:p>
            <w:pPr>
              <w:spacing w:after="0"/>
              <w:rPr>
                <w:sz w:val="18"/>
                <w:szCs w:val="18"/>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beginning</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Charged to Costs and</w:t>
            </w:r>
          </w:p>
        </w:tc>
        <w:tc>
          <w:tcPr>
            <w:tcW w:w="38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7"/>
              </w:rPr>
              <w:t>at end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of year</w:t>
            </w: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Expense</w:t>
            </w:r>
          </w:p>
        </w:tc>
        <w:tc>
          <w:tcPr>
            <w:tcW w:w="1820" w:type="dxa"/>
            <w:vAlign w:val="bottom"/>
            <w:gridSpan w:val="3"/>
          </w:tcPr>
          <w:p>
            <w:pPr>
              <w:ind w:left="20"/>
              <w:spacing w:after="0"/>
              <w:rPr>
                <w:sz w:val="20"/>
                <w:szCs w:val="20"/>
                <w:color w:val="auto"/>
              </w:rPr>
            </w:pPr>
            <w:r>
              <w:rPr>
                <w:rFonts w:ascii="Arial" w:cs="Arial" w:eastAsia="Arial" w:hAnsi="Arial"/>
                <w:sz w:val="18"/>
                <w:szCs w:val="18"/>
                <w:color w:val="auto"/>
              </w:rPr>
              <w:t>(Deductions)Additions</w:t>
            </w:r>
          </w:p>
        </w:tc>
        <w:tc>
          <w:tcPr>
            <w:tcW w:w="34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4"/>
              </w:rPr>
              <w:t>of year</w:t>
            </w:r>
          </w:p>
        </w:tc>
        <w:tc>
          <w:tcPr>
            <w:tcW w:w="0" w:type="dxa"/>
            <w:vAlign w:val="bottom"/>
          </w:tcPr>
          <w:p>
            <w:pPr>
              <w:spacing w:after="0"/>
              <w:rPr>
                <w:sz w:val="1"/>
                <w:szCs w:val="1"/>
                <w:color w:val="auto"/>
              </w:rPr>
            </w:pPr>
          </w:p>
        </w:tc>
      </w:tr>
      <w:tr>
        <w:trPr>
          <w:trHeight w:val="34"/>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Year ended December 31, 2015:</w:t>
            </w: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50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4280" w:hanging="5532"/>
        <w:spacing w:after="0" w:line="559"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(Deductions) Additions consists primarily of write-offs of accounts receivable amounts. F-50</w:t>
      </w:r>
    </w:p>
    <w:p>
      <w:pPr>
        <w:sectPr>
          <w:pgSz w:w="11900" w:h="16838" w:orient="portrait"/>
          <w:cols w:equalWidth="0" w:num="1">
            <w:col w:w="11320"/>
          </w:cols>
          <w:pgMar w:left="24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Exhibit 12.1</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COMPUTATION OF RATIOS OF EARNINGS TO FIXED CHARGES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ratio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8"/>
          </w:tcPr>
          <w:p>
            <w:pPr>
              <w:ind w:left="260"/>
              <w:spacing w:after="0"/>
              <w:rPr>
                <w:sz w:val="20"/>
                <w:szCs w:val="20"/>
                <w:color w:val="auto"/>
              </w:rPr>
            </w:pPr>
            <w:r>
              <w:rPr>
                <w:rFonts w:ascii="Arial" w:cs="Arial" w:eastAsia="Arial" w:hAnsi="Arial"/>
                <w:sz w:val="18"/>
                <w:szCs w:val="18"/>
                <w:b w:val="1"/>
                <w:bCs w:val="1"/>
                <w:color w:val="auto"/>
              </w:rPr>
              <w:t>Fiscal Years Ended December 31,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 before income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866.1</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944.2</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915.6</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554"/>
        </w:trPr>
        <w:tc>
          <w:tcPr>
            <w:tcW w:w="516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00"/>
              <w:spacing w:after="0"/>
              <w:rPr>
                <w:sz w:val="20"/>
                <w:szCs w:val="20"/>
                <w:color w:val="auto"/>
              </w:rPr>
            </w:pPr>
            <w:r>
              <w:rPr>
                <w:rFonts w:ascii="Arial" w:cs="Arial" w:eastAsia="Arial" w:hAnsi="Arial"/>
                <w:sz w:val="18"/>
                <w:szCs w:val="18"/>
                <w:color w:val="auto"/>
              </w:rPr>
              <w:t>Interest on long-term and</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short-term debt including</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debt expense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554"/>
        </w:trPr>
        <w:tc>
          <w:tcPr>
            <w:tcW w:w="5160" w:type="dxa"/>
            <w:vAlign w:val="bottom"/>
          </w:tcPr>
          <w:p>
            <w:pPr>
              <w:ind w:left="100"/>
              <w:spacing w:after="0"/>
              <w:rPr>
                <w:sz w:val="20"/>
                <w:szCs w:val="20"/>
                <w:color w:val="auto"/>
              </w:rPr>
            </w:pPr>
            <w:r>
              <w:rPr>
                <w:rFonts w:ascii="Arial" w:cs="Arial" w:eastAsia="Arial" w:hAnsi="Arial"/>
                <w:sz w:val="18"/>
                <w:szCs w:val="18"/>
                <w:color w:val="auto"/>
              </w:rPr>
              <w:t>Portion of rental expense as can be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of the interest factor</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tcPr>
          <w:p>
            <w:pPr>
              <w:ind w:left="2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00"/>
              <w:spacing w:after="0"/>
              <w:rPr>
                <w:sz w:val="20"/>
                <w:szCs w:val="20"/>
                <w:color w:val="auto"/>
              </w:rPr>
            </w:pPr>
            <w:r>
              <w:rPr>
                <w:rFonts w:ascii="Arial" w:cs="Arial" w:eastAsia="Arial" w:hAnsi="Arial"/>
                <w:sz w:val="18"/>
                <w:szCs w:val="18"/>
                <w:color w:val="auto"/>
              </w:rPr>
              <w:t>fixed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1,028.4</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1,113.6</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1,086.5</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51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280" w:top="283" w:right="519" w:bottom="1440" w:gutter="0" w:footer="0" w:header="0"/>
        </w:sectPr>
      </w:pPr>
    </w:p>
    <w:bookmarkStart w:id="131" w:name="page132"/>
    <w:bookmarkEnd w:id="131"/>
    <w:p>
      <w:pPr>
        <w:jc w:val="right"/>
        <w:ind w:right="2379"/>
        <w:spacing w:after="0"/>
        <w:tabs>
          <w:tab w:leader="none" w:pos="240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21"/>
          <w:szCs w:val="21"/>
          <w:b w:val="1"/>
          <w:bCs w:val="1"/>
          <w:color w:val="auto"/>
        </w:rPr>
        <w:t>LIST OF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8165335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8348596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Bode Cellmark Forensics,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Cellmark Forensics,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DaVinci/Medicorp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Laboratory Partnership Dynacare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 DX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 DX Infrastructure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GeneScreen,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Glen Ames LLP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HHLA Lab-In-An-Envelope,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IDX Pathology, Inc.</w:t>
      </w:r>
    </w:p>
    <w:p>
      <w:pPr>
        <w:sectPr>
          <w:pgSz w:w="11900" w:h="16838" w:orient="portrait"/>
          <w:cols w:equalWidth="0" w:num="1">
            <w:col w:w="9399"/>
          </w:cols>
          <w:pgMar w:left="1060" w:top="585" w:right="1440" w:bottom="942"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Impact Genetics,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(Singapore)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Testing Centers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 (LCA)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 Holdings (LCAH)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Lifecodes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GP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Princeton Diagnostic Laboratories of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ReliaGene Technologies,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SW/DL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Biomarker Factory,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Operating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Asia-Pacific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(Argentina)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Austria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Bioanalytical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Brazil Pharmaceutical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Covance Central Laboratory Services Limited Partnership</w:t>
      </w:r>
    </w:p>
    <w:p>
      <w:pPr>
        <w:sectPr>
          <w:pgSz w:w="11900" w:h="16838" w:orient="portrait"/>
          <w:cols w:equalWidth="0" w:num="1">
            <w:col w:w="9399"/>
          </w:cols>
          <w:pgMar w:left="1060" w:top="751" w:right="1440" w:bottom="573"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Covance Central Laboratory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Covance Charitable Foundation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Chile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Product Developments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Colombia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CRU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Denmark Aps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Development Services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Hungaria Consultancy Limited Liability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India Pharmaceutical Services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International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Japan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Korea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Latin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Neon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Market Access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Malaysia Sdn. Bhd.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Mexico Services, S. DE R. L. De C.V.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New Zealand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Pharmaceutical Research and Development (Beijing) Co., Ltd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Covance Pharmaceutical Research and Development (Shanghai) Co., Ltd.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Covance (Polska)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Products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Specialty Pharmacy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CRPP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(Thailand)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Taiwan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Virtual Central Laboratory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ectPr>
          <w:pgSz w:w="11900" w:h="16838" w:orient="portrait"/>
          <w:cols w:equalWidth="0" w:num="1">
            <w:col w:w="9399"/>
          </w:cols>
          <w:pgMar w:left="1060" w:top="751" w:right="1440" w:bottom="969"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auto"/>
        </w:rPr>
        <w:t>Covance Inc. Inactive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NPA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Dynacare non-operating entities identified subsequent to the acquisition of Dynacare Inc. on July 25,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1004679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563911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794475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829318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854512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879606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900747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925893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942489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947342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949235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958069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977681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978550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978551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Amherstview Medical Centre Developments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DHG Place Du Centre Clinique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International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Glen Davis Equities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L.R.C. Management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Lawrence-Curlew Medical Centre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Roselat Developments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 Joseph's Health Centre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Stockwin Corporation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Thistle Place Care Corp.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Toronto Argyro Medical Laboratories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Woodstock Medical Arts Building Inc.</w:t>
      </w:r>
    </w:p>
    <w:p>
      <w:pPr>
        <w:sectPr>
          <w:pgSz w:w="11900" w:h="16838" w:orient="portrait"/>
          <w:cols w:equalWidth="0" w:num="1">
            <w:col w:w="9399"/>
          </w:cols>
          <w:pgMar w:left="1060" w:top="747" w:right="1440"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S-3ASR (No. 333-200740) and Form S-8 (No. 333-102602, No. 333-90764, No. 333-97745, No. 333-115905, No. 333-150704, No. 333-181107 and No. 333-181108) of Laboratory Corporation of America Holdings of our report dated February 29, 2016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3" w:lineRule="auto"/>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08"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Exhibit 24.1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420"/>
          </w:cols>
          <w:pgMar w:left="240" w:top="108"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Exhibit 24.2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200" w:lineRule="exact"/>
        <w:rPr>
          <w:sz w:val="20"/>
          <w:szCs w:val="20"/>
          <w:color w:val="auto"/>
        </w:rPr>
      </w:pPr>
    </w:p>
    <w:p>
      <w:pPr>
        <w:spacing w:after="0" w:line="295"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420"/>
          </w:cols>
          <w:pgMar w:left="240" w:top="10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Exhibit 24.3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 Gary Gilliland</w:t>
      </w:r>
    </w:p>
    <w:p>
      <w:pPr>
        <w:sectPr>
          <w:pgSz w:w="11900" w:h="16838" w:orient="portrait"/>
          <w:cols w:equalWidth="0" w:num="1">
            <w:col w:w="11420"/>
          </w:cols>
          <w:pgMar w:left="240" w:top="108"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Exhibit 24.4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420"/>
          </w:cols>
          <w:pgMar w:left="240" w:top="108"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Exhibit 24.5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E. Mittelstaedt, Jr.</w:t>
      </w:r>
    </w:p>
    <w:p>
      <w:pPr>
        <w:sectPr>
          <w:pgSz w:w="11900" w:h="16838" w:orient="portrait"/>
          <w:cols w:equalWidth="0" w:num="1">
            <w:col w:w="11420"/>
          </w:cols>
          <w:pgMar w:left="240" w:top="108"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Exhibit 24.6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420"/>
          </w:cols>
          <w:pgMar w:left="240" w:top="108"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Exhibit 24.7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Richelle Parham</w:t>
      </w:r>
    </w:p>
    <w:p>
      <w:pPr>
        <w:sectPr>
          <w:pgSz w:w="11900" w:h="16838" w:orient="portrait"/>
          <w:cols w:equalWidth="0" w:num="1">
            <w:col w:w="11420"/>
          </w:cols>
          <w:pgMar w:left="240" w:top="742"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Exhibit 24.8</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Adam H. Schechter</w:t>
      </w:r>
    </w:p>
    <w:p>
      <w:pPr>
        <w:sectPr>
          <w:pgSz w:w="11900" w:h="16838" w:orient="portrait"/>
          <w:cols w:equalWidth="0" w:num="1">
            <w:col w:w="11420"/>
          </w:cols>
          <w:pgMar w:left="240" w:top="108"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Exhibit 24.9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2015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29th day of February, 2016.</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420"/>
          </w:cols>
          <w:pgMar w:left="240" w:top="108"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2016</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2016</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70" w:lineRule="exact"/>
        <w:rPr>
          <w:sz w:val="20"/>
          <w:szCs w:val="20"/>
          <w:color w:val="auto"/>
        </w:rPr>
      </w:pPr>
    </w:p>
    <w:p>
      <w:pPr>
        <w:ind w:firstLine="656"/>
        <w:spacing w:after="0" w:line="277" w:lineRule="auto"/>
        <w:tabs>
          <w:tab w:leader="none" w:pos="9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2015 filed on the date hereof with the Securities and Exchange Commission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29, 2016</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24"/>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6"/>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5"/>
    </w:lvl>
  </w:abstractNum>
  <w:abstractNum w:abstractNumId="21">
    <w:nsid w:val="3006C83E"/>
    <w:multiLevelType w:val="hybridMultilevel"/>
    <w:lvl w:ilvl="0">
      <w:lvlJc w:val="left"/>
      <w:lvlText w:val="%1."/>
      <w:numFmt w:val="decimal"/>
      <w:start w:val="39"/>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bullet"/>
      <w:start w:val="1"/>
    </w:lvl>
  </w:abstractNum>
  <w:abstractNum w:abstractNumId="26">
    <w:nsid w:val="5072367"/>
    <w:multiLevelType w:val="hybridMultilevel"/>
    <w:lvl w:ilvl="0">
      <w:lvlJc w:val="left"/>
      <w:lvlText w:val="2"/>
      <w:numFmt w:val="bullet"/>
      <w:start w:val="1"/>
    </w:lvl>
  </w:abstractNum>
  <w:abstractNum w:abstractNumId="27">
    <w:nsid w:val="3804823E"/>
    <w:multiLevelType w:val="hybridMultilevel"/>
    <w:lvl w:ilvl="0">
      <w:lvlJc w:val="left"/>
      <w:lvlText w:val="3"/>
      <w:numFmt w:val="bullet"/>
      <w:start w:val="1"/>
    </w:lvl>
  </w:abstractNum>
  <w:abstractNum w:abstractNumId="28">
    <w:nsid w:val="77465F01"/>
    <w:multiLevelType w:val="hybridMultilevel"/>
    <w:lvl w:ilvl="0">
      <w:lvlJc w:val="left"/>
      <w:lvlText w:val="4"/>
      <w:numFmt w:val="bullet"/>
      <w:start w:val="1"/>
    </w:lvl>
  </w:abstractNum>
  <w:abstractNum w:abstractNumId="29">
    <w:nsid w:val="7724C67E"/>
    <w:multiLevelType w:val="hybridMultilevel"/>
    <w:lvl w:ilvl="0">
      <w:lvlJc w:val="left"/>
      <w:lvlText w:val="(%1)"/>
      <w:numFmt w:val="lowerLetter"/>
      <w:start w:val="1"/>
    </w:lvl>
    <w:lvl w:ilvl="1">
      <w:lvlJc w:val="left"/>
      <w:lvlText w:val="(%2)"/>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4"/>
    </w:lvl>
  </w:abstractNum>
  <w:abstractNum w:abstractNumId="36">
    <w:nsid w:val="153EA438"/>
    <w:multiLevelType w:val="hybridMultilevel"/>
    <w:lvl w:ilvl="0">
      <w:lvlJc w:val="left"/>
      <w:lvlText w:val="%1."/>
      <w:numFmt w:val="decimal"/>
      <w:start w:val="16"/>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6"/>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2019-12-29T13:04:20Z</dcterms:created>
  <dcterms:modified xsi:type="dcterms:W3CDTF">2019-12-29T13:04:20Z</dcterms:modified>
</cp:coreProperties>
</file>