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460" w:hanging="305"/>
        <w:spacing w:after="0"/>
        <w:tabs>
          <w:tab w:leader="none" w:pos="3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w:t>
      </w:r>
    </w:p>
    <w:p>
      <w:pPr>
        <w:spacing w:after="0" w:line="23"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3320" w:hanging="154"/>
        <w:spacing w:after="0"/>
        <w:tabs>
          <w:tab w:leader="none" w:pos="3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w:t>
      </w:r>
    </w:p>
    <w:p>
      <w:pPr>
        <w:spacing w:after="0" w:line="9"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______ to 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1-11353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 HOLDINGS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right"/>
              <w:ind w:right="233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358 South Main Street,</w:t>
            </w:r>
          </w:p>
        </w:tc>
        <w:tc>
          <w:tcPr>
            <w:tcW w:w="5700" w:type="dxa"/>
            <w:vAlign w:val="bottom"/>
          </w:tcPr>
          <w:p>
            <w:pPr>
              <w:spacing w:after="0"/>
              <w:rPr>
                <w:sz w:val="24"/>
                <w:szCs w:val="24"/>
                <w:color w:val="auto"/>
              </w:rPr>
            </w:pPr>
          </w:p>
        </w:tc>
      </w:tr>
      <w:tr>
        <w:trPr>
          <w:trHeight w:val="270"/>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Burlington, North Carolina</w:t>
            </w:r>
          </w:p>
        </w:tc>
        <w:tc>
          <w:tcPr>
            <w:tcW w:w="5700" w:type="dxa"/>
            <w:vAlign w:val="bottom"/>
          </w:tcPr>
          <w:p>
            <w:pPr>
              <w:jc w:val="right"/>
              <w:ind w:right="2530"/>
              <w:spacing w:after="0"/>
              <w:rPr>
                <w:sz w:val="20"/>
                <w:szCs w:val="20"/>
                <w:color w:val="auto"/>
              </w:rPr>
            </w:pPr>
            <w:r>
              <w:rPr>
                <w:rFonts w:ascii="Arial" w:cs="Arial" w:eastAsia="Arial" w:hAnsi="Arial"/>
                <w:sz w:val="18"/>
                <w:szCs w:val="18"/>
                <w:b w:val="1"/>
                <w:bCs w:val="1"/>
                <w:color w:val="auto"/>
              </w:rPr>
              <w:t>27215</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3"/>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336-229-1127</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(paragraph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4180"/>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020" w:space="720"/>
            <w:col w:w="568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4"/>
          <w:szCs w:val="24"/>
          <w:color w:val="auto"/>
        </w:rPr>
      </w:pPr>
    </w:p>
    <w:p>
      <w:pPr>
        <w:sectPr>
          <w:pgSz w:w="11900" w:h="16838" w:orient="portrait"/>
          <w:cols w:equalWidth="0" w:num="2">
            <w:col w:w="5200" w:space="540"/>
            <w:col w:w="5680"/>
          </w:cols>
          <w:pgMar w:left="240" w:top="220"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is 100.6 million shares, net of treasury stock as of July 27, 2015.</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5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INDEX</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rPr>
              <w:t>PART I. FINANCIAL INFORMATION</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8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w w:val="92"/>
              </w:rPr>
              <w:t>June 30, 2015 and December 31, 2014</w:t>
            </w:r>
          </w:p>
        </w:tc>
        <w:tc>
          <w:tcPr>
            <w:tcW w:w="3540" w:type="dxa"/>
            <w:vAlign w:val="bottom"/>
            <w:gridSpan w:val="8"/>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2800" w:type="dxa"/>
            <w:vAlign w:val="bottom"/>
            <w:gridSpan w:val="7"/>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six months ended June 30,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Earnings</w:t>
              </w:r>
            </w:hyperlink>
          </w:p>
        </w:tc>
        <w:tc>
          <w:tcPr>
            <w:tcW w:w="1780" w:type="dxa"/>
            <w:vAlign w:val="bottom"/>
            <w:gridSpan w:val="3"/>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Three and six months ended June 30,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Shareholders’ Equity</w:t>
              </w:r>
            </w:hyperlink>
          </w:p>
        </w:tc>
        <w:tc>
          <w:tcPr>
            <w:tcW w:w="12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auto"/>
              </w:rPr>
              <w:t>Six months ended June 30, 2015 and 2014</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38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9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Six months ended June 30, 2015 and 2014</w:t>
            </w:r>
          </w:p>
        </w:tc>
        <w:tc>
          <w:tcPr>
            <w:tcW w:w="2760" w:type="dxa"/>
            <w:vAlign w:val="bottom"/>
            <w:gridSpan w:val="6"/>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38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86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160" w:type="dxa"/>
            <w:vAlign w:val="bottom"/>
            <w:gridSpan w:val="5"/>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480"/>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rPr>
              <w:t>PART II. OTHER INFORMATION</w:t>
            </w: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54"/>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386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5140" w:type="dxa"/>
            <w:vAlign w:val="bottom"/>
            <w:gridSpan w:val="11"/>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08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2120" w:type="dxa"/>
            <w:vAlign w:val="bottom"/>
            <w:gridSpan w:val="4"/>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723"/>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80" w:type="dxa"/>
            <w:vAlign w:val="bottom"/>
            <w:gridSpan w:val="10"/>
          </w:tcPr>
          <w:p>
            <w:pPr>
              <w:jc w:val="center"/>
              <w:ind w:left="389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34"/>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2"/>
              </w:rPr>
              <w:t>Accounts receivable, net of allowance for doubtful accounts of $234.4 and $211.6 at June 30, 2015 and</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2014, respectively</w:t>
            </w:r>
          </w:p>
        </w:tc>
        <w:tc>
          <w:tcPr>
            <w:tcW w:w="3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815.7</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139.5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786.5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1,475.8</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341.4</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976.3</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2"/>
        </w:trPr>
        <w:tc>
          <w:tcPr>
            <w:tcW w:w="7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6,113.2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2,682.7</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w:t>
            </w: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9,679.0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4,463.6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Common stock, 100.8 and 84.6 shares outstanding at June 30, 2015 and December 31, 2014,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Less common stock held in treasury</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(965.5)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8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4,769.7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2,820.5</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7,301.8</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8500" w:type="dxa"/>
            <w:vAlign w:val="bottom"/>
            <w:gridSpan w:val="8"/>
          </w:tcPr>
          <w:p>
            <w:pPr>
              <w:jc w:val="center"/>
              <w:ind w:left="17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240" w:type="dxa"/>
            <w:vAlign w:val="bottom"/>
            <w:gridSpan w:val="7"/>
          </w:tcPr>
          <w:p>
            <w:pPr>
              <w:jc w:val="center"/>
              <w:ind w:left="19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880" w:type="dxa"/>
            <w:vAlign w:val="bottom"/>
            <w:gridSpan w:val="4"/>
          </w:tcPr>
          <w:p>
            <w:pPr>
              <w:jc w:val="center"/>
              <w:ind w:left="3330"/>
              <w:spacing w:after="0"/>
              <w:rPr>
                <w:sz w:val="20"/>
                <w:szCs w:val="20"/>
                <w:color w:val="auto"/>
              </w:rPr>
            </w:pPr>
            <w:r>
              <w:rPr>
                <w:rFonts w:ascii="Arial" w:cs="Arial" w:eastAsia="Arial" w:hAnsi="Arial"/>
                <w:sz w:val="18"/>
                <w:szCs w:val="18"/>
                <w:b w:val="1"/>
                <w:bCs w:val="1"/>
                <w:color w:val="auto"/>
                <w:w w:val="89"/>
              </w:rPr>
              <w:t>(in millions, except per share data)</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5640" w:type="dxa"/>
            <w:vAlign w:val="bottom"/>
            <w:gridSpan w:val="2"/>
          </w:tcPr>
          <w:p>
            <w:pPr>
              <w:jc w:val="center"/>
              <w:ind w:left="4570"/>
              <w:spacing w:after="0"/>
              <w:rPr>
                <w:sz w:val="20"/>
                <w:szCs w:val="20"/>
                <w:color w:val="auto"/>
              </w:rPr>
            </w:pPr>
            <w:r>
              <w:rPr>
                <w:rFonts w:ascii="Arial" w:cs="Arial" w:eastAsia="Arial" w:hAnsi="Arial"/>
                <w:sz w:val="18"/>
                <w:szCs w:val="18"/>
                <w:b w:val="1"/>
                <w:bCs w:val="1"/>
                <w:color w:val="auto"/>
                <w:w w:val="91"/>
              </w:rPr>
              <w:t>(unaudited)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94"/>
        </w:trPr>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4"/>
                <w:szCs w:val="24"/>
                <w:color w:val="auto"/>
              </w:rPr>
            </w:pPr>
          </w:p>
        </w:tc>
        <w:tc>
          <w:tcPr>
            <w:tcW w:w="23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34"/>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34"/>
        </w:trPr>
        <w:tc>
          <w:tcPr>
            <w:tcW w:w="5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2,947.1</w:t>
            </w:r>
          </w:p>
        </w:tc>
      </w:tr>
      <w:tr>
        <w:trPr>
          <w:trHeight w:val="284"/>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1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6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2,947.1</w:t>
            </w:r>
          </w:p>
        </w:tc>
      </w:tr>
      <w:tr>
        <w:trPr>
          <w:trHeight w:val="324"/>
        </w:trPr>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1,861.7</w:t>
            </w:r>
          </w:p>
        </w:tc>
      </w:tr>
      <w:tr>
        <w:trPr>
          <w:trHeight w:val="284"/>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947.8</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1,861.7</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1,085.4</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582.8</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method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420.2</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304"/>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254.4</w:t>
            </w:r>
          </w:p>
        </w:tc>
      </w:tr>
      <w:tr>
        <w:trPr>
          <w:trHeight w:val="311"/>
        </w:trPr>
        <w:tc>
          <w:tcPr>
            <w:tcW w:w="560" w:type="dxa"/>
            <w:vAlign w:val="bottom"/>
            <w:shd w:val="clear" w:color="auto" w:fill="CCEEFF"/>
          </w:tcPr>
          <w:p>
            <w:pPr>
              <w:spacing w:after="0"/>
              <w:rPr>
                <w:sz w:val="24"/>
                <w:szCs w:val="24"/>
                <w:color w:val="auto"/>
              </w:rPr>
            </w:pPr>
          </w:p>
        </w:tc>
        <w:tc>
          <w:tcPr>
            <w:tcW w:w="5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7"/>
        </w:trPr>
        <w:tc>
          <w:tcPr>
            <w:tcW w:w="56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4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94"/>
        </w:trPr>
        <w:tc>
          <w:tcPr>
            <w:tcW w:w="560" w:type="dxa"/>
            <w:vAlign w:val="bottom"/>
            <w:tcBorders>
              <w:top w:val="single" w:sz="8" w:color="0000EE"/>
            </w:tcBorders>
          </w:tcPr>
          <w:p>
            <w:pPr>
              <w:spacing w:after="0"/>
              <w:rPr>
                <w:sz w:val="24"/>
                <w:szCs w:val="24"/>
                <w:color w:val="auto"/>
              </w:rPr>
            </w:pPr>
          </w:p>
        </w:tc>
        <w:tc>
          <w:tcPr>
            <w:tcW w:w="866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66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CONDENSED CONSOLIDATED STATEMENTS OF COMPREHENSIVE EARNINGS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7140" w:type="dxa"/>
            <w:vAlign w:val="bottom"/>
            <w:gridSpan w:val="4"/>
          </w:tcPr>
          <w:p>
            <w:pPr>
              <w:jc w:val="center"/>
              <w:ind w:left="3070"/>
              <w:spacing w:after="0"/>
              <w:rPr>
                <w:sz w:val="20"/>
                <w:szCs w:val="20"/>
                <w:color w:val="auto"/>
              </w:rPr>
            </w:pPr>
            <w:r>
              <w:rPr>
                <w:rFonts w:ascii="Arial" w:cs="Arial" w:eastAsia="Arial" w:hAnsi="Arial"/>
                <w:sz w:val="18"/>
                <w:szCs w:val="18"/>
                <w:b w:val="1"/>
                <w:bCs w:val="1"/>
                <w:color w:val="auto"/>
                <w:w w:val="89"/>
              </w:rPr>
              <w:t>(in millions, except per share data)</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5840" w:type="dxa"/>
            <w:vAlign w:val="bottom"/>
          </w:tcPr>
          <w:p>
            <w:pPr>
              <w:jc w:val="center"/>
              <w:ind w:left="437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5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6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June 30,</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4"/>
        </w:trPr>
        <w:tc>
          <w:tcPr>
            <w:tcW w:w="5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1"/>
                <w:szCs w:val="21"/>
                <w:color w:val="auto"/>
              </w:rPr>
            </w:pPr>
          </w:p>
        </w:tc>
      </w:tr>
      <w:tr>
        <w:trPr>
          <w:trHeight w:val="34"/>
        </w:trPr>
        <w:tc>
          <w:tcPr>
            <w:tcW w:w="5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56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Investment adjustments</w:t>
            </w:r>
          </w:p>
        </w:tc>
        <w:tc>
          <w:tcPr>
            <w:tcW w:w="2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r>
      <w:tr>
        <w:trPr>
          <w:trHeight w:val="244"/>
        </w:trPr>
        <w:tc>
          <w:tcPr>
            <w:tcW w:w="640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8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6"/>
              </w:rPr>
              <w:t>(Provision) benefit for income tax related to items of other comprehensive earnings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r>
      <w:tr>
        <w:trPr>
          <w:trHeight w:val="271"/>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Comprehensive earnings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1"/>
                <w:szCs w:val="21"/>
                <w:color w:val="auto"/>
              </w:rPr>
            </w:pPr>
          </w:p>
        </w:tc>
      </w:tr>
      <w:tr>
        <w:trPr>
          <w:trHeight w:val="27"/>
        </w:trPr>
        <w:tc>
          <w:tcPr>
            <w:tcW w:w="5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8"/>
                <w:szCs w:val="18"/>
                <w:color w:val="auto"/>
                <w:w w:val="94"/>
              </w:rPr>
              <w:t>Comprehensive earnings attributable to Laboratory Corporation of America Holdings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2"/>
                <w:szCs w:val="22"/>
                <w:color w:val="auto"/>
              </w:rPr>
            </w:pPr>
          </w:p>
        </w:tc>
      </w:tr>
      <w:tr>
        <w:trPr>
          <w:trHeight w:val="20"/>
        </w:trPr>
        <w:tc>
          <w:tcPr>
            <w:tcW w:w="5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Accumulated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Additional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Common</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Paid-in</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Treasury</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Comprehensive</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color w:val="auto"/>
                <w:w w:val="91"/>
              </w:rPr>
              <w:t>Shareholders’</w:t>
            </w:r>
          </w:p>
        </w:tc>
      </w:tr>
      <w:tr>
        <w:trPr>
          <w:trHeight w:val="206"/>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Stock</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Capital</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Stock</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Income</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98"/>
              </w:rPr>
              <w:t>Equity</w:t>
            </w:r>
          </w:p>
        </w:tc>
      </w:tr>
      <w:tr>
        <w:trPr>
          <w:trHeight w:val="40"/>
        </w:trPr>
        <w:tc>
          <w:tcPr>
            <w:tcW w:w="35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2,491.3</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Corporation of America Holdings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254.4</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Issuance of common stock under employee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stock plans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Surrender of restricted stock and performance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awards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9"/>
              </w:rPr>
              <w:t>Conversion of zero-coupon convertible debt</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1"/>
              </w:rPr>
              <w:t>Income tax benefit from stock options exercised</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r>
      <w:tr>
        <w:trPr>
          <w:trHeight w:val="284"/>
        </w:trPr>
        <w:tc>
          <w:tcPr>
            <w:tcW w:w="354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3,553.0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(965.5)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2,656.4</w:t>
            </w:r>
          </w:p>
        </w:tc>
      </w:tr>
      <w:tr>
        <w:trPr>
          <w:trHeight w:val="284"/>
        </w:trPr>
        <w:tc>
          <w:tcPr>
            <w:tcW w:w="35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3,786.1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2,820.5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Corporation of America Holdings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for acquisition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1,762.5</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Issuance of common stock under employee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stock plans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Surrender of restricted stock and performance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awards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54.0</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Income tax benefit from stock options exercised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4,769.7</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7"/>
        </w:trPr>
        <w:tc>
          <w:tcPr>
            <w:tcW w:w="560" w:type="dxa"/>
            <w:vAlign w:val="bottom"/>
            <w:tcBorders>
              <w:top w:val="single" w:sz="8" w:color="0000EE"/>
            </w:tcBorders>
          </w:tcPr>
          <w:p>
            <w:pPr>
              <w:spacing w:after="0"/>
              <w:rPr>
                <w:sz w:val="24"/>
                <w:szCs w:val="24"/>
                <w:color w:val="auto"/>
              </w:rPr>
            </w:pPr>
          </w:p>
        </w:tc>
        <w:tc>
          <w:tcPr>
            <w:tcW w:w="950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802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8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34"/>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34"/>
        </w:trPr>
        <w:tc>
          <w:tcPr>
            <w:tcW w:w="5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Gain on sale of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Earnings in excess of distributions from equity method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Increase in accounts receivable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unbilled services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inventories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 prepaid expenses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Decrease in accounts payable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unearned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85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(Decrease) increase in accrued expenses and other</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 offerings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bridge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bridge loan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 distributions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payments on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long-term lease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58.9</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84"/>
        </w:trPr>
        <w:tc>
          <w:tcPr>
            <w:tcW w:w="8580" w:type="dxa"/>
            <w:vAlign w:val="bottom"/>
            <w:tcBorders>
              <w:top w:val="single" w:sz="8" w:color="CCEEFF"/>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3,510.9</w:t>
            </w:r>
          </w:p>
        </w:tc>
        <w:tc>
          <w:tcPr>
            <w:tcW w:w="120" w:type="dxa"/>
            <w:vAlign w:val="bottom"/>
            <w:tcBorders>
              <w:top w:val="single" w:sz="8" w:color="CCEEFF"/>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r>
      <w:tr>
        <w:trPr>
          <w:trHeight w:val="27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75.5</w:t>
            </w:r>
          </w:p>
        </w:tc>
      </w:tr>
      <w:tr>
        <w:trPr>
          <w:trHeight w:val="27"/>
        </w:trPr>
        <w:tc>
          <w:tcPr>
            <w:tcW w:w="5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479.5</w:t>
            </w:r>
          </w:p>
        </w:tc>
      </w:tr>
      <w:tr>
        <w:trPr>
          <w:trHeight w:val="20"/>
        </w:trPr>
        <w:tc>
          <w:tcPr>
            <w:tcW w:w="5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08"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FINANCIAL STATEMENT PRESENTATION</w:t>
      </w:r>
    </w:p>
    <w:p>
      <w:pPr>
        <w:spacing w:after="0" w:line="229"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condensed consolidated financial statements include the accounts of Laboratory Corporation of America Holdings (the “Company”) and its majority-owned subsidiaries over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condensed consolidated financial statements.</w:t>
      </w:r>
    </w:p>
    <w:p>
      <w:pPr>
        <w:spacing w:after="0" w:line="8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60"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Effective as of the first quarter of 2015, the Company changed its operating segments due to a change in its underlying organizational model designed to support the business following the acquisition (“the Acquisition”) of Covance Inc. (“Covance”) (see Note 14 - Business Segment Information). The LabCorp Diagnostics (“LCD”) segment includes operations that offer a broad range of clinical laboratory tests and procedures. The Covance Drug Development (“CDD”) segment includes early drug development, central laboratory and clinical trial services. Through CDD, the Company offers its biopharmaceutical clients a full range of drug development services, including the ability to conduct a broad range of preclinical and clinical safety and efficacy studies, and the associated laboratory testing, required by regulatory bodies as part of the development and approval of new medicines.</w:t>
      </w:r>
    </w:p>
    <w:p>
      <w:pPr>
        <w:spacing w:after="0" w:line="7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condensed consolidated financial statements and notes are presented in accordance with the rules and regulations of the Securities and Exchange Commission and do not contain certain information included in the Company’s 2014 Annual Report on Form 10-K. Therefore, the interim statements should be read in conjunction with the consolidated financial statements and notes thereto contained in the Company’s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information summarizes the significant accounting policies of the Company's CDD segment. The significant accounting policies of the LCD segment, which are largely comprised of the historic operations of the Company prior to the Acquisition, have not changed since 2014 and are described in the Company's 2014 Annual Report on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CDD recognizes revenue either as services are performed or products are delivered, depending on the nature of the work contracted. Historically, a majority of CDD’s net revenues have been earned under contracts that range in duration from a few months to two years, but can extend in duration up to five years or longer. CDD also has committed minimum volume arrangements with certain clients with initial terms that generally range in duration from three to ten years. Underlying these arrangements are individual project contracts for the specific services to be provided. These arrangements enable CDD's clients to secure its services in exchange for which they commit to purchase an annual minimum dollar value of services. Under these types of arrangements, if the annual minimum dollar value of service commitment is not reached, the client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client.</w:t>
      </w:r>
    </w:p>
    <w:p>
      <w:pPr>
        <w:spacing w:after="0" w:line="84"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 Examples of output measures in early development services include among others the number of slides read, or specimens prepared for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preclinical laboratory services, or number of dosings or number of volunteers enrolled for clinical pharmacology. Examples of output measures in the clinical trials services include among others, number of investigators enrolled, number of sites initiated, number of patients enrolled and number of monitoring visits completed.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client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7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Billing schedules and payment terms are generally negotiated on a contract-by-contract basis. In some cases, CDD bills the client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client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7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7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client is invoiced. In these cases, revenue recognized will exceed amounts billed, and the difference, representing an unbilled receivable, is recorded for the amount that is currently unbillable to the customer pursuant to contractual terms. Once the client is invoiced, the unbilled services are reduced for the amount billed, and a corresponding account receivable is recorded. All unbilled services are billable to customers within one year from the respective balance sheet date.</w:t>
      </w:r>
    </w:p>
    <w:p>
      <w:pPr>
        <w:spacing w:after="0" w:line="7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Most contracts are terminable with or without cause by the client,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volunteers and certain out-of-pocket costs, for which it is reimbursed at cost, without mark-up or profit. Investigator fees are not reflected in net revenues or expenses where CDD acts in the capacity of an agent on behalf of the pharmaceutical company sponsor, passing through these costs without risk or reward to CDD. All other out-of-pocket costs are included in total revenues and 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Currencies</w:t>
      </w:r>
    </w:p>
    <w:p>
      <w:pPr>
        <w:spacing w:after="0" w:line="11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subsidiaries outside of the United States that operate in a local currency environment, income and expense items are translated to United States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management of multi-site clinical trials, CDD pays on behalf of its customers certain out-of-pocket costs, for which the Company is reimbursed at cost, without mark-up or profit. Amounts receivable from customers in connection with such out-of-pocket pass-through costs are included in prepaid expenses and other in the accompanying consolidated balance sheets and totaled $87.3 at June 30,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Reimbursable Out-of-Pocket Expenses</w:t>
      </w:r>
    </w:p>
    <w:p>
      <w:pPr>
        <w:spacing w:after="0" w:line="11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pharmaceutical company sponsors with regard to investigator payments.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2014, the FASB issued a new accounting standard on discontinued operations that significantly changes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and will apply it prospectively to all new disposals of components and new classifications as held for sale. The adoption of this standard did not have a material impact on the consolidated financial statements.</w:t>
      </w:r>
    </w:p>
    <w:p>
      <w:pPr>
        <w:spacing w:after="0" w:line="8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carrying amount of the associated debt liability, consistent with debt discounts. This standard is effective for the Company beginning January 1, 2016, with early adoption permitted. The new guidance will be applied on a retrospective basis. The adoption of this standard is not expected to have a material impact on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May 2015, the FASB issued a new accounting standard allowing entities to exclude investments measured at new asset value per share under the existing practical expedient from the fair value hierarchy. In addition, when the net asset value practical expedient is not applied to eligible investments, certain other disclosures are no longer required. The standard will be effective for the Company beginning January 1, 2016, with early adoption permitted. The adoption of this standard is not expected to have a material impact on the consolidated financial statements.</w:t>
      </w:r>
    </w:p>
    <w:p>
      <w:pPr>
        <w:spacing w:after="0" w:line="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1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February 19, 2015 (the “Acquisition Date”), the Company completed the Acquisition for $6,150.7. The Company issued debt and common stock to fund the Acquisition. Covance stockholders received $75.76 in cash and 0.2686 shares of the Company's common stock for each share of Covance common stock they owned. The Company financed the Acquisition with $3,900.0 of debt, 15.3 shares of its common stock and $488.2 of available cash, $400.0 of which was derived from a bridge term loan credit facility. 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The Company also entered into a $1,000.0 term loan facility which was advanced in full on February 19, 2015. The term loan credit facility will mature five years after the closing date of the Acquisition and may be prepaid without penalty.</w:t>
      </w:r>
    </w:p>
    <w:p>
      <w:pPr>
        <w:spacing w:after="0" w:line="8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During the second quarter of 2015, the Company continued to finalize its purchase price allocation during the measurement period and obtained new fair value information related to the assets acquired and liabilities assumed of Covance, including the related lives of acquired assets. The facts and circumstances existed at the date of acquisition and, if known, would have affected the measurement of the amounts recognized at that date.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measurement period adjustments are not included in current earnings, but recognized as of the date of the acquisition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adjustment to goodwill resulting from the change in preliminary amounts. As a result, the Company adjusted the preliminary allocation of the purchase price initially recorded at the Acquisition Date to reflect these measurement period adjustments. While significant progress was made during the second quarter, this allocation is still preliminary and subject to change. The areas of the purchase price that are not yet finalized are primarily related to certain income tax items, intangible assets and residual goodwill. Accordingly, adjustments may be made to the values of the assets acquired and liabilities assumed as additional information is obtained about the facts and circumstances that existed at the valuation date. The final valuation associated with the Acquisition is expected to be completed later in 2015.</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370205</wp:posOffset>
            </wp:positionV>
            <wp:extent cx="629475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4755" cy="17145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4,388.2</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consideration</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1,762.5</w:t>
            </w:r>
          </w:p>
        </w:tc>
      </w:tr>
      <w:tr>
        <w:trPr>
          <w:trHeight w:val="237"/>
        </w:trPr>
        <w:tc>
          <w:tcPr>
            <w:tcW w:w="3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67"/>
        </w:trPr>
        <w:tc>
          <w:tcPr>
            <w:tcW w:w="3160" w:type="dxa"/>
            <w:vAlign w:val="bottom"/>
            <w:tcBorders>
              <w:bottom w:val="single" w:sz="8" w:color="CCEEFF"/>
            </w:tcBorders>
          </w:tcPr>
          <w:p>
            <w:pPr>
              <w:spacing w:after="0"/>
              <w:rPr>
                <w:sz w:val="5"/>
                <w:szCs w:val="5"/>
                <w:color w:val="auto"/>
              </w:rPr>
            </w:pPr>
          </w:p>
        </w:tc>
        <w:tc>
          <w:tcPr>
            <w:tcW w:w="2160" w:type="dxa"/>
            <w:vAlign w:val="bottom"/>
            <w:tcBorders>
              <w:bottom w:val="single" w:sz="8" w:color="CCEEFF"/>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24"/>
        </w:trPr>
        <w:tc>
          <w:tcPr>
            <w:tcW w:w="3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5"/>
        </w:trPr>
        <w:tc>
          <w:tcPr>
            <w:tcW w:w="3160" w:type="dxa"/>
            <w:vAlign w:val="bottom"/>
          </w:tcPr>
          <w:p>
            <w:pPr>
              <w:spacing w:after="0"/>
              <w:rPr>
                <w:sz w:val="19"/>
                <w:szCs w:val="19"/>
                <w:color w:val="auto"/>
              </w:rPr>
            </w:pP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rPr>
              <w:t>Preliminary February 19,</w:t>
            </w:r>
          </w:p>
        </w:tc>
        <w:tc>
          <w:tcPr>
            <w:tcW w:w="220" w:type="dxa"/>
            <w:vAlign w:val="bottom"/>
          </w:tcPr>
          <w:p>
            <w:pPr>
              <w:spacing w:after="0"/>
              <w:rPr>
                <w:sz w:val="19"/>
                <w:szCs w:val="19"/>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Measurement Period</w:t>
            </w: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Adjusted February 19,</w:t>
            </w:r>
          </w:p>
        </w:tc>
      </w:tr>
      <w:tr>
        <w:trPr>
          <w:trHeight w:val="234"/>
        </w:trPr>
        <w:tc>
          <w:tcPr>
            <w:tcW w:w="3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9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r>
      <w:tr>
        <w:trPr>
          <w:trHeight w:val="27"/>
        </w:trPr>
        <w:tc>
          <w:tcPr>
            <w:tcW w:w="3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780.8</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306.9</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1,063.9</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2,975.7</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1,917.2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1,912.2</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Land use right</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Favorable leases</w:t>
            </w:r>
          </w:p>
        </w:tc>
        <w:tc>
          <w:tcPr>
            <w:tcW w:w="50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7,849.0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7,975.9</w:t>
            </w:r>
          </w:p>
        </w:tc>
      </w:tr>
      <w:tr>
        <w:trPr>
          <w:trHeight w:val="27"/>
        </w:trPr>
        <w:tc>
          <w:tcPr>
            <w:tcW w:w="3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280.8</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835.7</w:t>
            </w: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
        </w:trPr>
        <w:tc>
          <w:tcPr>
            <w:tcW w:w="3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5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1,825.2</w:t>
            </w:r>
          </w:p>
        </w:tc>
      </w:tr>
      <w:tr>
        <w:trPr>
          <w:trHeight w:val="257"/>
        </w:trPr>
        <w:tc>
          <w:tcPr>
            <w:tcW w:w="31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6,150.7</w:t>
            </w:r>
          </w:p>
        </w:tc>
      </w:tr>
      <w:tr>
        <w:trPr>
          <w:trHeight w:val="20"/>
        </w:trPr>
        <w:tc>
          <w:tcPr>
            <w:tcW w:w="3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noted above, the valuation of acquired intangible assets is preliminary as of June 30, 2015. Similarly, the amortization periods are preliminary until the valuation is finalized. The preliminary amortization periods for intangible assets acquired are 28 years for customer relationships, 15 years for trade names and trademarks, and 8 years for favorable leases. As a result of these measurement period adjustments, depreciation expense for the three months ended March 31, 2015 decreased $1.9 and amortization expense for the three months ended March 31, 2015 increased $1.1.</w:t>
      </w:r>
    </w:p>
    <w:p>
      <w:pPr>
        <w:spacing w:after="0" w:line="13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Acquisition contributed $620.8 and $35.8 of revenue and net income, respectively, during the three months ended June 30, 2015 and $888.0 and $20.4 of revenue and net income, respectively, during the six months ended June 30,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Acquisition on February 19, 2015. Had the Acquisition been completed as of the beginning of 2014, the Company's pro forma results for 2015 and 2014 would have been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vMerge w:val="restart"/>
          </w:tcPr>
          <w:p>
            <w:pPr>
              <w:spacing w:after="0"/>
              <w:rPr>
                <w:sz w:val="20"/>
                <w:szCs w:val="20"/>
                <w:color w:val="auto"/>
              </w:rPr>
            </w:pPr>
            <w:r>
              <w:rPr>
                <w:rFonts w:ascii="Arial" w:cs="Arial" w:eastAsia="Arial" w:hAnsi="Arial"/>
                <w:sz w:val="18"/>
                <w:szCs w:val="18"/>
                <w:color w:val="auto"/>
                <w:w w:val="99"/>
              </w:rPr>
              <w:t>Three Months Ended June</w:t>
            </w:r>
          </w:p>
        </w:tc>
        <w:tc>
          <w:tcPr>
            <w:tcW w:w="380" w:type="dxa"/>
            <w:vAlign w:val="bottom"/>
          </w:tcPr>
          <w:p>
            <w:pPr>
              <w:spacing w:after="0"/>
              <w:rPr>
                <w:sz w:val="20"/>
                <w:szCs w:val="20"/>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34"/>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30, 2014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Laboratory Corporation of America Holdings</w:t>
            </w: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unaudited pro forma results reflect certain adjustments related to past operating performance, acquisition costs and acquisition accounting adjustments, such as increased amortization expense and decreased depreciation expense based on the estimated fair value of assets acquired, the impact of the Company’s new financing arrangements, and the related tax effects. The pro forma</w:t>
      </w:r>
    </w:p>
    <w:p>
      <w:pPr>
        <w:sectPr>
          <w:pgSz w:w="11900" w:h="16838" w:orient="portrait"/>
          <w:cols w:equalWidth="0" w:num="1">
            <w:col w:w="11420"/>
          </w:cols>
          <w:pgMar w:left="240" w:top="125" w:right="239" w:bottom="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results include costs directly attributable to the Acquisition which are not expected to have a continuing impact on the combined company, such as transactions costs of $207.6; comprised of change in control, retention and severance arrangements of $26.8; acceleration of stock based compensation of $43.2 and related employer taxes of $9.4; legal, advisor and success fees of $75.6; write-off of bridge and other deferred financing fees of $15.2; and make-whole payments of $37.4 made in connection with the prepayment of Covance's existing private placement debt, all of which are included in the pro forma results of operations for the three and six months ended June 30, 2014. The pro forma results do not include any anticipated synergies which may be achievable subsequent to the Acquisition. To produce the unaudited pro forma financial information, the Company adjusted Covance’s assets and liabilities to their estimated fair value based on a preliminary valuation as of the Acquisition Date. As noted previously, the Company is finalizing elements of the purchase price allocation during the measurement period, including certain elements of the valuation work necessary to arrive at the final estimates of the fair value of the Covance assets acquired and the liabilities assumed. These pro forma results of operations have been prepared for comparative purposes only, and they do not purport to be indicative of the results of operations that actually would have resulted had the Acquisition occurred on the date indicated or that may result in the future.</w:t>
      </w:r>
    </w:p>
    <w:p>
      <w:pPr>
        <w:spacing w:after="0" w:line="8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During the six months ended June 30, 2015, the Company also acquired various laboratories and related assets for approximately $77.0 in cash (net of cash acquired). The majority of these were acquired in the second quarter of 2015. The purchase consideration for these acquisitions has been allocated to the estimated fair market value of the net assets acquired, including approximately $18.5 in identifiable intangible assets (primarily customer relationships and non-compete agreements) and a residual amount of goodwill of approximately $56.7. These acquisitions were made primarily to extend the Company's geographic reach in important market areas and/or enhance the Company's scientific differentiation and esoteric testing capabilities. The Company's results would not have been materially different from its pro forma results had the Company's other 2015 acquisitions occurred at the beginning of 2014.</w:t>
      </w:r>
    </w:p>
    <w:p>
      <w:pPr>
        <w:spacing w:after="0" w:line="16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performance share awards, and shares issuable upon conversion of zero-coupon subordinated notes.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color w:val="auto"/>
                <w:w w:val="94"/>
              </w:rPr>
              <w:t>Three Months Ended June 30,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color w:val="auto"/>
                <w:w w:val="95"/>
              </w:rPr>
              <w:t>Six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1"/>
              </w:rPr>
              <w:t>Per</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w w:val="82"/>
              </w:rPr>
              <w:t>Per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1"/>
              </w:rPr>
              <w:t>Per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ind w:right="68"/>
              <w:spacing w:after="0" w:line="157" w:lineRule="exact"/>
              <w:rPr>
                <w:sz w:val="20"/>
                <w:szCs w:val="20"/>
                <w:color w:val="auto"/>
              </w:rPr>
            </w:pPr>
            <w:r>
              <w:rPr>
                <w:rFonts w:ascii="Arial" w:cs="Arial" w:eastAsia="Arial" w:hAnsi="Arial"/>
                <w:sz w:val="14"/>
                <w:szCs w:val="14"/>
                <w:color w:val="auto"/>
                <w:w w:val="82"/>
              </w:rPr>
              <w:t>Per</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Share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Share</w:t>
            </w:r>
          </w:p>
        </w:tc>
        <w:tc>
          <w:tcPr>
            <w:tcW w:w="0" w:type="dxa"/>
            <w:vAlign w:val="bottom"/>
          </w:tcPr>
          <w:p>
            <w:pPr>
              <w:spacing w:after="0"/>
              <w:rPr>
                <w:sz w:val="1"/>
                <w:szCs w:val="1"/>
                <w:color w:val="auto"/>
              </w:rPr>
            </w:pPr>
          </w:p>
        </w:tc>
      </w:tr>
      <w:tr>
        <w:trPr>
          <w:trHeight w:val="201"/>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Earnings</w:t>
            </w: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5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4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100.7</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141.3</w:t>
            </w: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169.7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96.3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254.4</w:t>
            </w:r>
          </w:p>
        </w:tc>
        <w:tc>
          <w:tcPr>
            <w:tcW w:w="1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3"/>
        </w:trPr>
        <w:tc>
          <w:tcPr>
            <w:tcW w:w="1840" w:type="dxa"/>
            <w:vAlign w:val="bottom"/>
            <w:tcBorders>
              <w:top w:val="single" w:sz="8" w:color="CCEEFF"/>
            </w:tcBorders>
            <w:shd w:val="clear" w:color="auto" w:fill="CCEEFF"/>
          </w:tcPr>
          <w:p>
            <w:pPr>
              <w:ind w:left="180"/>
              <w:spacing w:after="0" w:line="143" w:lineRule="exact"/>
              <w:rPr>
                <w:sz w:val="20"/>
                <w:szCs w:val="20"/>
                <w:color w:val="auto"/>
              </w:rPr>
            </w:pPr>
            <w:r>
              <w:rPr>
                <w:rFonts w:ascii="Arial" w:cs="Arial" w:eastAsia="Arial" w:hAnsi="Arial"/>
                <w:sz w:val="14"/>
                <w:szCs w:val="14"/>
                <w:color w:val="auto"/>
              </w:rPr>
              <w:t>Dilutive effect of</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employee stock options and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tcPr>
          <w:p>
            <w:pPr>
              <w:ind w:left="180"/>
              <w:spacing w:after="0"/>
              <w:rPr>
                <w:sz w:val="20"/>
                <w:szCs w:val="20"/>
                <w:color w:val="auto"/>
              </w:rPr>
            </w:pPr>
            <w:r>
              <w:rPr>
                <w:rFonts w:ascii="Arial" w:cs="Arial" w:eastAsia="Arial" w:hAnsi="Arial"/>
                <w:sz w:val="14"/>
                <w:szCs w:val="14"/>
                <w:color w:val="auto"/>
              </w:rPr>
              <w:t>Effect of convertible debt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Net earnings including</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impact of dilutive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102.5</w:t>
            </w: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141.3</w:t>
            </w:r>
          </w:p>
        </w:tc>
        <w:tc>
          <w:tcPr>
            <w:tcW w:w="120" w:type="dxa"/>
            <w:vAlign w:val="bottom"/>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169.7</w:t>
            </w:r>
          </w:p>
        </w:tc>
        <w:tc>
          <w:tcPr>
            <w:tcW w:w="1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98.1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254.4</w:t>
            </w:r>
          </w:p>
        </w:tc>
        <w:tc>
          <w:tcPr>
            <w:tcW w:w="12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1"/>
        </w:trPr>
        <w:tc>
          <w:tcPr>
            <w:tcW w:w="184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20" w:type="dxa"/>
            <w:vAlign w:val="bottom"/>
            <w:gridSpan w:val="4"/>
          </w:tcPr>
          <w:p>
            <w:pPr>
              <w:ind w:left="100"/>
              <w:spacing w:after="0"/>
              <w:rPr>
                <w:sz w:val="20"/>
                <w:szCs w:val="20"/>
                <w:color w:val="auto"/>
              </w:rPr>
            </w:pPr>
            <w:r>
              <w:rPr>
                <w:rFonts w:ascii="Arial" w:cs="Arial" w:eastAsia="Arial" w:hAnsi="Arial"/>
                <w:sz w:val="18"/>
                <w:szCs w:val="18"/>
                <w:color w:val="auto"/>
                <w:w w:val="94"/>
              </w:rPr>
              <w:t>Three Months Ended June 30,</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w w:val="93"/>
              </w:rPr>
              <w:t>Six Months Ended June 30,</w:t>
            </w:r>
          </w:p>
        </w:tc>
      </w:tr>
      <w:tr>
        <w:trPr>
          <w:trHeight w:val="34"/>
        </w:trPr>
        <w:tc>
          <w:tcPr>
            <w:tcW w:w="3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320" w:type="dxa"/>
            <w:vAlign w:val="bottom"/>
          </w:tcPr>
          <w:p>
            <w:pPr>
              <w:spacing w:after="0"/>
              <w:rPr>
                <w:sz w:val="21"/>
                <w:szCs w:val="21"/>
                <w:color w:val="auto"/>
              </w:rPr>
            </w:pPr>
          </w:p>
        </w:tc>
        <w:tc>
          <w:tcPr>
            <w:tcW w:w="4580" w:type="dxa"/>
            <w:vAlign w:val="bottom"/>
            <w:gridSpan w:val="2"/>
          </w:tcPr>
          <w:p>
            <w:pPr>
              <w:jc w:val="right"/>
              <w:ind w:right="25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2014</w:t>
            </w:r>
          </w:p>
        </w:tc>
      </w:tr>
      <w:tr>
        <w:trPr>
          <w:trHeight w:val="34"/>
        </w:trPr>
        <w:tc>
          <w:tcPr>
            <w:tcW w:w="33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675"/>
        </w:trPr>
        <w:tc>
          <w:tcPr>
            <w:tcW w:w="3320" w:type="dxa"/>
            <w:vAlign w:val="bottom"/>
          </w:tcPr>
          <w:p>
            <w:pPr>
              <w:spacing w:after="0"/>
              <w:rPr>
                <w:sz w:val="24"/>
                <w:szCs w:val="24"/>
                <w:color w:val="auto"/>
              </w:rPr>
            </w:pPr>
          </w:p>
        </w:tc>
        <w:tc>
          <w:tcPr>
            <w:tcW w:w="3540" w:type="dxa"/>
            <w:vAlign w:val="bottom"/>
          </w:tcPr>
          <w:p>
            <w:pPr>
              <w:jc w:val="right"/>
              <w:ind w:right="970"/>
              <w:spacing w:after="0"/>
              <w:rPr>
                <w:sz w:val="20"/>
                <w:szCs w:val="20"/>
                <w:color w:val="auto"/>
              </w:rPr>
            </w:pPr>
            <w:r>
              <w:rPr>
                <w:rFonts w:ascii="Arial" w:cs="Arial" w:eastAsia="Arial" w:hAnsi="Arial"/>
                <w:sz w:val="18"/>
                <w:szCs w:val="18"/>
                <w:color w:val="auto"/>
              </w:rPr>
              <w:t>12</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SPECIAL CHARGES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six months of 2015, the Company recorded net restructuring and other special charges of $33.6. The charges were comprised of $9.5 related to severance and other personnel costs along with $24.7 in costs associated with facility closures and impairment of certain information technology assets. These charges were offset by the reversal of previously established reserves of $0.6 in unused facility-related costs.</w:t>
      </w:r>
    </w:p>
    <w:p>
      <w:pPr>
        <w:spacing w:after="0" w:line="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during the first six months of 2015, the Company recorded $11.9 in consulting expenses (recorded in selling, general and administrative expenses) relating to fees incurred as part of Project LaunchPad as well as Covance integration costs. The Company also recorded $166.0 of deal costs related to the Acquisition, of which $80.6 is included in selling, general and administrative expenses, $32.8 is included in cost of revenue, and $52.6 is included in interest expense.</w:t>
      </w:r>
    </w:p>
    <w:p>
      <w:pPr>
        <w:spacing w:after="0" w:line="9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six months of 2014, the Company recorded net restructuring and other special charges of $9.6. The charges were comprised of $5.2 related to severance and other personnel costs along with $5.1 in costs associated with facility closures and general integration initiatives. These charges were offset by the reversal of previously established reserves of $0.2 in unused severance and $0.5 in unused facility-related costs.</w:t>
      </w:r>
    </w:p>
    <w:p>
      <w:pPr>
        <w:spacing w:after="0" w:line="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during the second quarter of 2014, the Company recorded $4.7 in consulting expenses (recorded in selling, general and administrative expenses) relating to fees incurred as part of Project LaunchPad, as well as one-time CFO transition costs.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Company’s restructuring reserve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Severance and Other</w:t>
            </w: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Lease and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Employee Costs</w:t>
            </w: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Facility Costs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34"/>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of June 30, 2015, the Company has recorded goodwill of $6,136.6, which includes a preliminary goodwill balance of $2,975.7 related to the Acquisition. Effective in the first quarter of 2015, the Company changed its operating segments due to a change in its underlying organizational model designed to support the business following the Acquisition (see Note 14 - Business Segment Information). The Company did not operate under the realigned operating segment structure prior to the first quarter of 2015. This change in segments resulted in a reassignment of goodwill of approximately $110.5 among the Company’s reportable segments (and reporting units) based on relative fair value. Prior period information has been retrospectively adjusted to reflect this reassignment.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is a summary of the Company’s goodwill by reportable segment, reflecting the retrospective reassignment as of December 31, 2014: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LCD</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2,988.9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CDD</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110.5</w:t>
            </w:r>
          </w:p>
        </w:tc>
      </w:tr>
      <w:tr>
        <w:trPr>
          <w:trHeight w:val="27"/>
        </w:trPr>
        <w:tc>
          <w:tcPr>
            <w:tcW w:w="9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changes in the carrying amount of goodwill for the three month period ended June 30, 2015 and for the year ended December 31, 2014 are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LCD</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40" w:type="dxa"/>
            <w:vAlign w:val="bottom"/>
            <w:gridSpan w:val="5"/>
          </w:tcPr>
          <w:p>
            <w:pPr>
              <w:jc w:val="center"/>
              <w:ind w:right="1140"/>
              <w:spacing w:after="0"/>
              <w:rPr>
                <w:sz w:val="20"/>
                <w:szCs w:val="20"/>
                <w:color w:val="auto"/>
              </w:rPr>
            </w:pPr>
            <w:r>
              <w:rPr>
                <w:rFonts w:ascii="Arial" w:cs="Arial" w:eastAsia="Arial" w:hAnsi="Arial"/>
                <w:sz w:val="18"/>
                <w:szCs w:val="18"/>
                <w:color w:val="auto"/>
                <w:w w:val="97"/>
              </w:rPr>
              <w:t>CDD</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gridSpan w:val="3"/>
          </w:tcPr>
          <w:p>
            <w:pPr>
              <w:jc w:val="right"/>
              <w:ind w:right="97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8"/>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w w:val="95"/>
              </w:rPr>
              <w:t>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89"/>
              </w:rPr>
              <w:t>June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4"/>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2,988.9</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2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3,041.3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impact   and   other</w:t>
            </w:r>
          </w:p>
        </w:tc>
        <w:tc>
          <w:tcPr>
            <w:tcW w:w="22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3,050.3</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2,988.9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3,086.3</w:t>
            </w:r>
          </w:p>
        </w:tc>
        <w:tc>
          <w:tcPr>
            <w:tcW w:w="32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6,136.6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2015</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w:t>
            </w: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Amortization of intangible assets for the three-month and six-month periods ended June 30, 2015 was $46.6 and $79.0, respectively; and $22.0 and $43.0 for the three-month and six-month periods ended June 30, 2014, respectively. Amortization expense for the net carrying amount of intangible assets is estimated to be $95.0 for the remainder of fiscal 2015, $183.0 in fiscal 2016, $175.9 in fiscal 2017, $165.2 in fiscal 2018, $158.4 in fiscal 2019 and $2,257.7 thereafter.</w:t>
      </w:r>
    </w:p>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the current portion of long-term debt at June 30, 2015 and December 31, 2014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June 30,</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1"/>
              </w:rPr>
              <w:t>December 31, 2014</w:t>
            </w:r>
          </w:p>
        </w:tc>
        <w:tc>
          <w:tcPr>
            <w:tcW w:w="0" w:type="dxa"/>
            <w:vAlign w:val="bottom"/>
          </w:tcPr>
          <w:p>
            <w:pPr>
              <w:spacing w:after="0"/>
              <w:rPr>
                <w:sz w:val="1"/>
                <w:szCs w:val="1"/>
                <w:color w:val="auto"/>
              </w:rPr>
            </w:pPr>
          </w:p>
        </w:tc>
      </w:tr>
      <w:tr>
        <w:trPr>
          <w:trHeight w:val="34"/>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5.625% senior notes due 2015</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capital leases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80"/>
              <w:spacing w:after="0"/>
              <w:rPr>
                <w:sz w:val="20"/>
                <w:szCs w:val="20"/>
                <w:color w:val="auto"/>
              </w:rPr>
            </w:pPr>
            <w:r>
              <w:rPr>
                <w:rFonts w:ascii="Arial" w:cs="Arial" w:eastAsia="Arial" w:hAnsi="Arial"/>
                <w:sz w:val="18"/>
                <w:szCs w:val="18"/>
                <w:color w:val="auto"/>
              </w:rPr>
              <w:t>Long-term debt at June 30, 2015 and December 31, 2014 consisted of the following:</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June 30,</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1"/>
              </w:rPr>
              <w:t>December 31, 2014</w:t>
            </w:r>
          </w:p>
        </w:tc>
        <w:tc>
          <w:tcPr>
            <w:tcW w:w="0" w:type="dxa"/>
            <w:vAlign w:val="bottom"/>
          </w:tcPr>
          <w:p>
            <w:pPr>
              <w:spacing w:after="0"/>
              <w:rPr>
                <w:sz w:val="1"/>
                <w:szCs w:val="1"/>
                <w:color w:val="auto"/>
              </w:rPr>
            </w:pPr>
          </w:p>
        </w:tc>
      </w:tr>
      <w:tr>
        <w:trPr>
          <w:trHeight w:val="34"/>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3.125% senior notes due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2.20% senior notes due 2017</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senior notes due 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4.625% senior notes due 2020</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2.625% senior notes due 2020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3.75% senior notes due 2022</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senior notes due 2022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4.00% senior notes due 2023</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4.70% senior notes due 2045</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64"/>
        </w:trPr>
        <w:tc>
          <w:tcPr>
            <w:tcW w:w="83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6,113.2</w:t>
            </w:r>
          </w:p>
        </w:tc>
        <w:tc>
          <w:tcPr>
            <w:tcW w:w="100" w:type="dxa"/>
            <w:vAlign w:val="bottom"/>
          </w:tcPr>
          <w:p>
            <w:pPr>
              <w:spacing w:after="0"/>
              <w:rPr>
                <w:sz w:val="22"/>
                <w:szCs w:val="22"/>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a result of the Acquisition, the Company assumed privately placed senior notes in an aggregate principal amount of $250.0 issued pursuant to a Note Purchase Agreement dated October 2, 2013. On March 5, 2015, due to certain restrictive covenants and unfavorable interest rates, the Company caused Covance to prepay all of the outstanding Senior Notes at 100 percent of the principal amount plus accrued interest, and a total make-whole amount of $37.4 which was expensed. The Note Purchase Agreement terminated effective March 5, 2015 in connection with the prepayment of the Senior Notes.</w:t>
      </w:r>
    </w:p>
    <w:p>
      <w:pPr>
        <w:spacing w:after="0" w:line="6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These interest rate swaps are included in other long-term assets and added to the value of the senior notes, with an aggregate fair value of $19.2 at June 30, 2015.</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Subordinated Notes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March 11, 2015, the Company announced that for the period from March 12, 2015 to September 11, 2015, the zero-coupon subordinated notes will accrue contingent cash interest at a rate of no less than 0.125% of the average market price of a zero-coupon subordinated note for the five trading days ended March 6, 2015, in addition to the continued accrual of the original issue discount.</w:t>
      </w:r>
    </w:p>
    <w:p>
      <w:pPr>
        <w:spacing w:after="0" w:line="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On July 1, 2015,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July 1, 2015, through the close of business on the last business day of the calendar quarter, which is 5:00 p.m., New York City time, on Wednesday, September 30, 2015. If notices of conversion are received, the Company plans to settle the cash portion of the conversion obligation (i.e. the accreted principal amount of the securities to be converted) with cash on hand and/or borrowings under its revolving credit facility. The remaining amount, if any, will be settled with shares of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its final financing of the Acquisition, the Company entered into a $1,000.0 term loan and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The term loan credit facility will mature five years after the closing date of the Acquisition and may be prepaid without penalty. The term loan balance at June 30, 2015 was $840.0.</w:t>
      </w:r>
    </w:p>
    <w:p>
      <w:pPr>
        <w:spacing w:after="0" w:line="6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$0.0 and $0.0 outstanding on the Company's revolving credit facility at June 30, 2015 and December 31, 2014, respectively.</w:t>
      </w:r>
    </w:p>
    <w:p>
      <w:pPr>
        <w:spacing w:after="0" w:line="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entered into on the terms set forth in the bridge facility commitment letter for the $400.0 60-day cash bridge tranche. The 60-day cash bridge term loan credit facility was advanced in full on February 19, 2015, the date of the Company’s completion of the Acquisition. On March 16, 2015, the Company elected to prepay the bridge facility without penalty.</w:t>
      </w:r>
    </w:p>
    <w:p>
      <w:pPr>
        <w:spacing w:after="0" w:line="9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Under the term loan facility and the revolving credit facility, the Company is subject to negative covenants limiting subsidiary indebtedness and certain other covenants typical for investment grade-rated borrowers, and the Company is required to maintain a leverage ratio that declines over time. Prior to the Acquisition closing date, the leverage ratio was required to have been no greater than 3.75 to 1.0 calculated by excluding the $2,900.0 in Acquisition Notes. From and after the Acquisition closing date,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leverage ratio must be no greater than 4.75 to 1.0 with respect to the last day of each of the first four fiscal quarters ending on or after the closing date, 4.25 to 1.0 with respect to the last day of each of the fifth through eighth fiscal quarters ending after the closing date, and 3.75 to 1.0 with respect to the last day of each fiscal quarter ending thereafter. The Company was in compliance with all covenants in the term loan facility and the new revolving credit facility at June 30, 2015. As of June 30, 2015, the ratio of total debt to consolidated last twelve months EBITDA was 4.0 to 1.0.</w:t>
      </w:r>
    </w:p>
    <w:p>
      <w:pPr>
        <w:spacing w:after="0" w:line="77"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2015, the effective interest rate on the revolving credit facility was 1.29% and the effective interest rate on the term loan was 1.44%.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 AND COMMON 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The Company is authorized to issue up to 30.0 shares of preferred stock, par value $0.10 per share. There were no preferred shares outstanding as of June 30, 2015.</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changes in common shares issued and held in treasury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Held in</w:t>
            </w:r>
          </w:p>
        </w:tc>
        <w:tc>
          <w:tcPr>
            <w:tcW w:w="1340" w:type="dxa"/>
            <w:vAlign w:val="bottom"/>
          </w:tcPr>
          <w:p>
            <w:pPr>
              <w:spacing w:after="0"/>
              <w:rPr>
                <w:sz w:val="18"/>
                <w:szCs w:val="18"/>
                <w:color w:val="auto"/>
              </w:rPr>
            </w:pPr>
          </w:p>
        </w:tc>
      </w:tr>
      <w:tr>
        <w:trPr>
          <w:trHeight w:val="230"/>
        </w:trPr>
        <w:tc>
          <w:tcPr>
            <w:tcW w:w="7020" w:type="dxa"/>
            <w:vAlign w:val="bottom"/>
          </w:tcPr>
          <w:p>
            <w:pPr>
              <w:spacing w:after="0"/>
              <w:rPr>
                <w:sz w:val="20"/>
                <w:szCs w:val="20"/>
                <w:color w:val="auto"/>
              </w:rPr>
            </w:pP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Issued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Outstanding</w:t>
            </w:r>
          </w:p>
        </w:tc>
      </w:tr>
      <w:tr>
        <w:trPr>
          <w:trHeight w:val="34"/>
        </w:trPr>
        <w:tc>
          <w:tcPr>
            <w:tcW w:w="70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at December 31, 2014</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Common stock issued in conjunction with the Acquisition</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7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64"/>
        </w:trPr>
        <w:tc>
          <w:tcPr>
            <w:tcW w:w="70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Common shares at June 30, 2015</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123.3</w:t>
            </w:r>
          </w:p>
        </w:tc>
        <w:tc>
          <w:tcPr>
            <w:tcW w:w="120" w:type="dxa"/>
            <w:vAlign w:val="bottom"/>
            <w:tcBorders>
              <w:top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100.8</w:t>
            </w:r>
          </w:p>
        </w:tc>
      </w:tr>
      <w:tr>
        <w:trPr>
          <w:trHeight w:val="20"/>
        </w:trPr>
        <w:tc>
          <w:tcPr>
            <w:tcW w:w="7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As of June 30, 2015 and December 31, 2014, the Company had outstanding authorization from the Board of Directors to purchase up to $789.5 of Company common stock based on settled trades as of these respective dates. The repurchase authorization has no expiration date. Following the announcement of the Acquisition, the Company suspended its share repurchases. The Company does not anticipate resuming its share repurchase activity until it approaches its targeted ratio of total debt to consolidated EBITDA of 2.5 to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Earnings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earnings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Currency</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Benefit</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Unrealized Gains and</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8"/>
              </w:rPr>
              <w:t>Other</w:t>
            </w: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Losses on Available</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8"/>
              </w:rPr>
              <w:t>Comprehensive</w:t>
            </w:r>
          </w:p>
        </w:tc>
      </w:tr>
      <w:tr>
        <w:trPr>
          <w:trHeight w:val="230"/>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Adjustments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for Sale Securities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Earnings</w:t>
            </w:r>
          </w:p>
        </w:tc>
      </w:tr>
      <w:tr>
        <w:trPr>
          <w:trHeight w:val="34"/>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380" w:type="dxa"/>
            <w:vAlign w:val="bottom"/>
          </w:tcPr>
          <w:p>
            <w:pPr>
              <w:ind w:left="320"/>
              <w:spacing w:after="0"/>
              <w:rPr>
                <w:sz w:val="20"/>
                <w:szCs w:val="20"/>
                <w:color w:val="auto"/>
              </w:rPr>
            </w:pPr>
            <w:r>
              <w:rPr>
                <w:rFonts w:ascii="Arial" w:cs="Arial" w:eastAsia="Arial" w:hAnsi="Arial"/>
                <w:sz w:val="18"/>
                <w:szCs w:val="18"/>
                <w:color w:val="auto"/>
              </w:rPr>
              <w:t>Other comprehensive earnings before reclassifications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(128.5)</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Amounts reclassified from accumulated other comprehensive earnings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to the Condensed Consolidated Statement of Operations </w:t>
            </w:r>
            <w:r>
              <w:rPr>
                <w:rFonts w:ascii="Arial" w:cs="Arial" w:eastAsia="Arial" w:hAnsi="Arial"/>
                <w:sz w:val="18"/>
                <w:szCs w:val="18"/>
                <w:i w:val="1"/>
                <w:iCs w:val="1"/>
                <w:color w:val="auto"/>
              </w:rPr>
              <w:t>(</w:t>
            </w:r>
            <w:r>
              <w:rPr>
                <w:rFonts w:ascii="Arial" w:cs="Arial" w:eastAsia="Arial" w:hAnsi="Arial"/>
                <w:sz w:val="16"/>
                <w:szCs w:val="16"/>
                <w:i w:val="1"/>
                <w:iCs w:val="1"/>
                <w:color w:val="auto"/>
              </w:rPr>
              <w:t>a)</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84"/>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Tax effect of adjustments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460" w:firstLine="251"/>
        <w:spacing w:after="0" w:line="293" w:lineRule="auto"/>
        <w:tabs>
          <w:tab w:leader="none" w:pos="447" w:val="left"/>
        </w:tabs>
        <w:numPr>
          <w:ilvl w:val="0"/>
          <w:numId w:val="9"/>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See Note 10 (Pension and Post-retirement Plans) below for additional information regarding the Company's net periodic benefit cost.</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w:t>
      </w:r>
    </w:p>
    <w:p>
      <w:pPr>
        <w:spacing w:after="0" w:line="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gross unrecognized income tax benefits were $28.3 and $16.7 at June 30, 2015 and December 31, 2014, respectively. Substantially all of the increase relates to matters associated with the Acquisition. It is anticipated that the amount of the unrecognized income tax benefits will change within the next twelve months; however, these changes are not expected to have a significant impact on the results of operations, cash flows or the financial position of the Company.</w:t>
      </w:r>
    </w:p>
    <w:p>
      <w:pPr>
        <w:spacing w:after="0" w:line="18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June 30, 2015 and December 31, 2014, $28.3 and $16.7, respectively, are the approximate amounts of gross unrecognized income tax benefits that, if recognized, would favorably affect the effective income tax rate in future periods. Substantially all of the increase relates to matters associated with the Acquisition.</w:t>
      </w:r>
    </w:p>
    <w:p>
      <w:pPr>
        <w:spacing w:after="0" w:line="8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$9.4 and $8.2 as of June 30, 2015 and December 31, 2014, respectively. The transfer of Covance's beginning balances accounted for substantially all of the increase.</w:t>
      </w:r>
    </w:p>
    <w:p>
      <w:pPr>
        <w:spacing w:after="0" w:line="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valuation allowance provided as a reserve against certain deferred tax assets is $16.5 and $17.1 as of June 30, 2015 and December 31, 2014, respectively.</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2011. Substantially all material state and local, and foreign income tax matters have been concluded through 2007 and 2003, respectively.</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various state and international income tax examinations ongoing throughout the year. Management believes adequate provisions have been recorded related to all open tax years.</w:t>
      </w:r>
    </w:p>
    <w:p>
      <w:pPr>
        <w:spacing w:after="0" w:line="16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professional liability, employee-related matters, and inquiries, including subpoenas and other civil investigative demands, from governmental agencies and Medicare or Medicaid payers and managed care payers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 care providers. The Company works cooperatively to respond to appropriate requests for information.</w:t>
      </w:r>
    </w:p>
    <w:p>
      <w:pPr>
        <w:spacing w:after="0" w:line="83"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 xml:space="preserve">The Company is also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federal or state health 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 care field today.</w:t>
      </w:r>
    </w:p>
    <w:p>
      <w:pPr>
        <w:spacing w:after="0" w:line="7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clinical laboratory operations and drug development support services. The health 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pacing w:after="0" w:line="9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actuarial calculations based on historical loss rates and assessment of trends experienced in settlements and defense costs. In accordance with FASB Accounting Standards Codification Topic 450, “Contingencies”, the Company establishes reserves for judicial,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8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9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 xml:space="preserve">As reported, the Company reached a settlement in the previously disclosed lawsuit, </w:t>
      </w:r>
      <w:r>
        <w:rPr>
          <w:rFonts w:ascii="Arial" w:cs="Arial" w:eastAsia="Arial" w:hAnsi="Arial"/>
          <w:sz w:val="16"/>
          <w:szCs w:val="16"/>
          <w:i w:val="1"/>
          <w:iCs w:val="1"/>
          <w:color w:val="auto"/>
        </w:rPr>
        <w:t>California ex rel. Hunter Laboratories, LLC et al. v. Quest Diagnostics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Incorporated, et al. </w:t>
      </w:r>
      <w:r>
        <w:rPr>
          <w:rFonts w:ascii="Arial" w:cs="Arial" w:eastAsia="Arial" w:hAnsi="Arial"/>
          <w:sz w:val="16"/>
          <w:szCs w:val="16"/>
          <w:color w:val="auto"/>
        </w:rPr>
        <w:t>(“Hunter Labs Settlement Agreement”), to avoid the uncertainty and costs associated with prolonged litigation. Pursuant to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June of 2012, the California legislature enacted Assembly Bill No. 1494, Section 9 of which directs the Department of Health Care Services ("DHCS") to establish new reimbursement rates for Medi-Cal clinical laboratory services that will be based on payments made to California clinical laboratories for similar services by other third-party payers. With stakeholder input, DHCS established data elements and a format for laboratories to report payment data from comparable third-party payers. Laboratories reported payment data to DHCS in the summer of 2013. On March 28, 2014, Assembly Bill No. 1124 extended the implementation deadline of new regulations until June 30, 2016. Assembly Bill No. 1494 provides that until the new rates are set through this process, Medi-Cal payments for clinical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federal Medicare program. In April 2015, the Centers for Medicare and Medicaid Services (CMS) approved a 10% payment reduction under Assembly Bill No. 1494. This cut, which is expected to be retroactive to July 1, 2012 and will continue until CMS approves the new rate methodology, is being implemented beginning in July 2015; the retroactive recoupment process is expected to take approximately six months for implementation. Under the terms of the Hunter Labs Settlement Agreement, the enactment of this California legislation terminates the Company's reporting obligations (or obligation to provide a discount in lieu of reporting) under that agreement. In December 2014, DHCS announced at a stakeholder meeting the results of its analysis of payment data reported by laboratories in 2013 and its proposed rate methodology, on which it solicited stakeholder comments. The Company objected to the proposal by DHCS to exclude from the new rate calculations data on payments from comparable third-party payers exceeding 80.0% of Medicare reimbursement amounts and its proposal to impose the 10.0% payment reduction enacted in Assembly Bill No. 97 after calculation of the new rates. In January of 2015, after receiving stakeholder comments, DHCS instructed laboratories to submit 2014 payment data by March 27, 2015, which DHCS is using (except for data on payment amounts exceeding 80.0% of Medicare reimbursement) to establish new rates. DHCS had intended to make the new rate methodology effective July 1, 2015, but was unable to obtain CMS approval by that date. DHCS is continuing to work with CMS to respond to its inquiries and is awaiting CMS approval of the new rate methodology. Upon approval by CMS, the new rate methodology will be posted on the DHCS website. DHCS intends to apply the 10.0% payment reduction referenced in Assembly Bill No. 97 to the new rates. While the Company continues to dispute this methodology and is seeking a legislative amendment to prevent its implementation, taken together, these changes are not expected to have a material impact on the Company's consolidated revenues or results of operations.</w:t>
      </w:r>
    </w:p>
    <w:p>
      <w:pPr>
        <w:spacing w:after="0" w:line="294"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As previously reported, the Company responded to an October 2007 subpoena from the United States Department of Health &amp; Human Services Office of Inspector General's regional office in New York. On August 17, 2011, the Southern District of New York unsealed a False Claims Act lawsuit, </w:t>
      </w:r>
      <w:r>
        <w:rPr>
          <w:rFonts w:ascii="Arial" w:cs="Arial" w:eastAsia="Arial" w:hAnsi="Arial"/>
          <w:sz w:val="16"/>
          <w:szCs w:val="16"/>
          <w:i w:val="1"/>
          <w:iCs w:val="1"/>
          <w:color w:val="auto"/>
        </w:rPr>
        <w:t>United States</w:t>
      </w:r>
      <w:r>
        <w:rPr>
          <w:rFonts w:ascii="Arial" w:cs="Arial" w:eastAsia="Arial" w:hAnsi="Arial"/>
          <w:sz w:val="16"/>
          <w:szCs w:val="16"/>
          <w:color w:val="auto"/>
        </w:rPr>
        <w:t xml:space="preserve"> </w:t>
      </w:r>
      <w:r>
        <w:rPr>
          <w:rFonts w:ascii="Arial" w:cs="Arial" w:eastAsia="Arial" w:hAnsi="Arial"/>
          <w:sz w:val="16"/>
          <w:szCs w:val="16"/>
          <w:i w:val="1"/>
          <w:iCs w:val="1"/>
          <w:color w:val="auto"/>
        </w:rPr>
        <w:t>of America ex rel. NPT Associates v. Laboratory Corporation of America Holdings</w:t>
      </w:r>
      <w:r>
        <w:rPr>
          <w:rFonts w:ascii="Arial" w:cs="Arial" w:eastAsia="Arial" w:hAnsi="Arial"/>
          <w:sz w:val="16"/>
          <w:szCs w:val="16"/>
          <w:color w:val="auto"/>
        </w:rPr>
        <w:t>, which alleges that the Company offered UnitedHealthcare kickbacks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 of discounts in return for Medicare business. The Plaintiff's third amended complaint further alleges that the Company's billing practices violated the false claims acts of fourteen states and the District of Columbia. The lawsuit seeks actual and treble damages and civil penalties for each alleged false claim, as well as recovery of costs, attorney's fees, and legal expenses. Neither the United States government nor any state government has intervened in the lawsuit. The Company's Motion to Dismiss was granted in October 2014. The Company intends to vigorously defend the lawsuit should it proceed further.</w:t>
      </w:r>
    </w:p>
    <w:p>
      <w:pPr>
        <w:spacing w:after="0" w:line="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7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November 4, 2013, the State of Florida through the Office of the Attorney General filed an Intervention Complaint in a False Claims Act lawsuit, </w:t>
      </w:r>
      <w:r>
        <w:rPr>
          <w:rFonts w:ascii="Arial" w:cs="Arial" w:eastAsia="Arial" w:hAnsi="Arial"/>
          <w:sz w:val="17"/>
          <w:szCs w:val="17"/>
          <w:i w:val="1"/>
          <w:iCs w:val="1"/>
          <w:color w:val="auto"/>
        </w:rPr>
        <w:t>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Florida ex rel. Hunter Laboratories, LLC and Chris Riedel v. Quest Diagnostics Incorporated, et al. </w:t>
      </w:r>
      <w:r>
        <w:rPr>
          <w:rFonts w:ascii="Arial" w:cs="Arial" w:eastAsia="Arial" w:hAnsi="Arial"/>
          <w:sz w:val="17"/>
          <w:szCs w:val="17"/>
          <w:color w:val="auto"/>
        </w:rPr>
        <w:t>in the Circuit Court for the Second Judicial Circuit for</w:t>
      </w:r>
      <w:r>
        <w:rPr>
          <w:rFonts w:ascii="Arial" w:cs="Arial" w:eastAsia="Arial" w:hAnsi="Arial"/>
          <w:sz w:val="17"/>
          <w:szCs w:val="17"/>
          <w:i w:val="1"/>
          <w:iCs w:val="1"/>
          <w:color w:val="auto"/>
        </w:rPr>
        <w:t xml:space="preserve"> </w:t>
      </w:r>
      <w:r>
        <w:rPr>
          <w:rFonts w:ascii="Arial" w:cs="Arial" w:eastAsia="Arial" w:hAnsi="Arial"/>
          <w:sz w:val="17"/>
          <w:szCs w:val="17"/>
          <w:color w:val="auto"/>
        </w:rPr>
        <w:t>Leon County. The complaint,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The Company will vigorously defend the lawsuit.</w:t>
      </w:r>
    </w:p>
    <w:p>
      <w:pPr>
        <w:spacing w:after="0" w:line="7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On May 2, 2013, the Company was served with a False Claims Act lawsuit, </w:t>
      </w:r>
      <w:r>
        <w:rPr>
          <w:rFonts w:ascii="Arial" w:cs="Arial" w:eastAsia="Arial" w:hAnsi="Arial"/>
          <w:sz w:val="18"/>
          <w:szCs w:val="18"/>
          <w:i w:val="1"/>
          <w:iCs w:val="1"/>
          <w:color w:val="auto"/>
        </w:rPr>
        <w:t>State of Georgia ex rel. Hunter Laboratories, LLC</w:t>
      </w:r>
      <w:r>
        <w:rPr>
          <w:rFonts w:ascii="Arial" w:cs="Arial" w:eastAsia="Arial" w:hAnsi="Arial"/>
          <w:sz w:val="18"/>
          <w:szCs w:val="18"/>
          <w:color w:val="auto"/>
        </w:rPr>
        <w:t xml:space="preserve"> and </w:t>
      </w:r>
      <w:r>
        <w:rPr>
          <w:rFonts w:ascii="Arial" w:cs="Arial" w:eastAsia="Arial" w:hAnsi="Arial"/>
          <w:sz w:val="18"/>
          <w:szCs w:val="18"/>
          <w:i w:val="1"/>
          <w:iCs w:val="1"/>
          <w:color w:val="auto"/>
        </w:rPr>
        <w:t>Chris Riedel v. Quest</w:t>
      </w:r>
      <w:r>
        <w:rPr>
          <w:rFonts w:ascii="Arial" w:cs="Arial" w:eastAsia="Arial" w:hAnsi="Arial"/>
          <w:sz w:val="18"/>
          <w:szCs w:val="18"/>
          <w:color w:val="auto"/>
        </w:rPr>
        <w:t xml:space="preserve"> </w:t>
      </w:r>
      <w:r>
        <w:rPr>
          <w:rFonts w:ascii="Arial" w:cs="Arial" w:eastAsia="Arial" w:hAnsi="Arial"/>
          <w:sz w:val="18"/>
          <w:szCs w:val="18"/>
          <w:i w:val="1"/>
          <w:iCs w:val="1"/>
          <w:color w:val="auto"/>
        </w:rPr>
        <w:t>Diagnostics Incorporated, et al.</w:t>
      </w:r>
      <w:r>
        <w:rPr>
          <w:rFonts w:ascii="Arial" w:cs="Arial" w:eastAsia="Arial" w:hAnsi="Arial"/>
          <w:sz w:val="18"/>
          <w:szCs w:val="18"/>
          <w:color w:val="auto"/>
        </w:rPr>
        <w:t>, filed in the State Court of Fulton County, Georgia. The lawsuit, filed by a competitor laboratory, alleges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overcharged Georgia's Medicaid program. The case was removed to the United States District Court for the Northern District of Georgia. The lawsuit seeks actual and treble damages and civil penalties for each alleged false claim, as well as recovery of costs, attorney's fees, and legal expenses. The government filed a notice declining to intervene in the case. On March 14, 2014, the Company's Motion to Dismiss was granted. The Plaintiffs replead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Company will vigorously defend the lawsuit.</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2011, a putative stockholder of the Company made a letter demand through his counsel for inspection of documents related to policies and procedures concerning the Company's Board of Directors' oversight and monitoring of the Company's billing and claim submission process. The letter sought documents prepared for or by the Board regarding allegations from the </w:t>
      </w:r>
      <w:r>
        <w:rPr>
          <w:rFonts w:ascii="Arial" w:cs="Arial" w:eastAsia="Arial" w:hAnsi="Arial"/>
          <w:sz w:val="18"/>
          <w:szCs w:val="18"/>
          <w:i w:val="1"/>
          <w:iCs w:val="1"/>
          <w:color w:val="auto"/>
        </w:rPr>
        <w:t>California ex rel. Hunter Laboratories, LLC et al. v. Quest Diagnostics Incorporated,</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lawsuit and documents reviewed and relied upon by the Board in connection with the settlement of that lawsuit. The Company responded to the request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Delaware law.</w:t>
      </w:r>
    </w:p>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November 18, 2011, the Company received a letter from United States Senators Baucus and Grassley requesting information regarding the Company's relationships with its largest managed care customers. The letter requested information about the Company's contracts and financial data regarding its managed care customers. Company representatives met with Senate Finance Committee staff after receiving the request and subsequently produced documents in response. The Company continues to cooperate with the request for information.</w:t>
      </w:r>
    </w:p>
    <w:p>
      <w:pPr>
        <w:spacing w:after="0" w:line="9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On February 27, 2012, the Company was served with a False Claims Act lawsuit, </w:t>
      </w:r>
      <w:r>
        <w:rPr>
          <w:rFonts w:ascii="Arial" w:cs="Arial" w:eastAsia="Arial" w:hAnsi="Arial"/>
          <w:sz w:val="18"/>
          <w:szCs w:val="18"/>
          <w:i w:val="1"/>
          <w:iCs w:val="1"/>
          <w:color w:val="auto"/>
        </w:rPr>
        <w:t>United States ex rel. Margaret Brown v. Laboratory Corporation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America Holdings and Tri-State Clinical Laboratory Services, LLC</w:t>
      </w:r>
      <w:r>
        <w:rPr>
          <w:rFonts w:ascii="Arial" w:cs="Arial" w:eastAsia="Arial" w:hAnsi="Arial"/>
          <w:sz w:val="18"/>
          <w:szCs w:val="18"/>
          <w:color w:val="auto"/>
        </w:rPr>
        <w:t>, filed in the United States District Court for the Southern District of Ohio,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The Company owned 50% of Tri-State Clinical Laboratory Services, LLC, which was dissolved in June of 2011 pursuant to a voluntary petition under Chapter 7 of Title 11 of the United States Code. The lawsuit alleges that the defendants submitted false claims for payment for laboratory testing services performed as a result of financial relationships that violated the federal Stark and Anti-Kickback laws. The lawsuit seeks actual and treble damages and civil penalties for each alleged false claim, as well as recovery of costs, attorney's fees, and legal expenses. The United States government has not intervened in the lawsuit. The parties have reached a settlement in principle, but the Company will vigorously defend the lawsuit if the settlement is not finalized.</w:t>
      </w:r>
    </w:p>
    <w:p>
      <w:pPr>
        <w:spacing w:after="0" w:line="9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On June 7, 2012, the Company was served with a putative class action lawsuit, </w:t>
      </w:r>
      <w:r>
        <w:rPr>
          <w:rFonts w:ascii="Arial" w:cs="Arial" w:eastAsia="Arial" w:hAnsi="Arial"/>
          <w:sz w:val="16"/>
          <w:szCs w:val="16"/>
          <w:i w:val="1"/>
          <w:iCs w:val="1"/>
          <w:color w:val="auto"/>
        </w:rPr>
        <w:t>Yvonne Jansky v. Laboratory Corporation of America, et al.</w:t>
      </w:r>
      <w:r>
        <w:rPr>
          <w:rFonts w:ascii="Arial" w:cs="Arial" w:eastAsia="Arial" w:hAnsi="Arial"/>
          <w:sz w:val="16"/>
          <w:szCs w:val="16"/>
          <w:color w:val="auto"/>
        </w:rPr>
        <w:t>, filed in the Superior Court of the State of California, County of San Francisco. The complaint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Company will vigorously defend the remaining claims in the lawsuit.</w:t>
      </w:r>
    </w:p>
    <w:p>
      <w:pPr>
        <w:spacing w:after="0" w:line="6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On August 24, 2012, the Company was served with a putative class action lawsuit, </w:t>
      </w:r>
      <w:r>
        <w:rPr>
          <w:rFonts w:ascii="Arial" w:cs="Arial" w:eastAsia="Arial" w:hAnsi="Arial"/>
          <w:sz w:val="16"/>
          <w:szCs w:val="16"/>
          <w:i w:val="1"/>
          <w:iCs w:val="1"/>
          <w:color w:val="auto"/>
        </w:rPr>
        <w:t>Sandusky Wellness Center, LLC, et al. v. MEDTOX Scientific,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filed in the United States District Court for the District of Minnesota. The lawsuit alleges that on or about February 21, 2012, the defendants violated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Telephone Consumer Protection Act ("TCPA") by sending unsolicited facsimiles to Plaintiff and more than 39 other recipients without the recipients' prior express permission or invitation. The lawsuit seeks the greater of actual damages or the sum of $0.0005 for each violation, subject to trebling under the TCPA, and injunctive relief. In September 2014, Plaintiff's Motion for class certification was denied. In January of 2015, the Company’s Motion for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Summary Judgment on the remaining individual claim was granted. Plaintiff has filed a notice of appeal. The Company will vigorously defend the lawsuit.</w:t>
      </w:r>
    </w:p>
    <w:p>
      <w:pPr>
        <w:spacing w:after="0" w:line="15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The Company was a defendant in two separate putative class action lawsuits, </w:t>
      </w:r>
      <w:r>
        <w:rPr>
          <w:rFonts w:ascii="Arial" w:cs="Arial" w:eastAsia="Arial" w:hAnsi="Arial"/>
          <w:sz w:val="18"/>
          <w:szCs w:val="18"/>
          <w:i w:val="1"/>
          <w:iCs w:val="1"/>
          <w:color w:val="auto"/>
        </w:rPr>
        <w:t>Christine Bohlander v. Laboratory Corporation of America,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Jemuel Andres, et al. v. Laboratory Corporation of America Holdings, et al., </w:t>
      </w:r>
      <w:r>
        <w:rPr>
          <w:rFonts w:ascii="Arial" w:cs="Arial" w:eastAsia="Arial" w:hAnsi="Arial"/>
          <w:sz w:val="18"/>
          <w:szCs w:val="18"/>
          <w:color w:val="auto"/>
        </w:rPr>
        <w:t>related to overtime pay. After the filing of the two lawsuits on July 8,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Bohlander lawsuit was consolidated into the Andres lawsuit and removed to the United States District Court for the Central District of California. In the consolidated lawsuit, the Plaintiffs allege on behalf of similarly situated phlebotomists and couriers that the Company failed to pay overtime, failed to provide meal and rest breaks, and committed other violations of the California Labor Code. On May 28, 2015, the District Court issued a preliminary approval of the class action settlement and notice of the settlement has been sent to putative class members. The Court will schedule a final settlement hearing following closure of the settlement notice period.</w:t>
      </w:r>
    </w:p>
    <w:p>
      <w:pPr>
        <w:spacing w:after="0" w:line="9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The Company was also a defendant in two additional putative class action lawsuits alleging similar claims to the </w:t>
      </w:r>
      <w:r>
        <w:rPr>
          <w:rFonts w:ascii="Arial" w:cs="Arial" w:eastAsia="Arial" w:hAnsi="Arial"/>
          <w:sz w:val="18"/>
          <w:szCs w:val="18"/>
          <w:i w:val="1"/>
          <w:iCs w:val="1"/>
          <w:color w:val="auto"/>
        </w:rPr>
        <w:t>Bohlander/Andres</w:t>
      </w:r>
      <w:r>
        <w:rPr>
          <w:rFonts w:ascii="Arial" w:cs="Arial" w:eastAsia="Arial" w:hAnsi="Arial"/>
          <w:sz w:val="18"/>
          <w:szCs w:val="18"/>
          <w:color w:val="auto"/>
        </w:rPr>
        <w:t xml:space="preserve"> consolidated lawsuit. The lawsuit of </w:t>
      </w:r>
      <w:r>
        <w:rPr>
          <w:rFonts w:ascii="Arial" w:cs="Arial" w:eastAsia="Arial" w:hAnsi="Arial"/>
          <w:sz w:val="18"/>
          <w:szCs w:val="18"/>
          <w:i w:val="1"/>
          <w:iCs w:val="1"/>
          <w:color w:val="auto"/>
        </w:rPr>
        <w:t>Rachel Rabanes v. California Laboratory Sciences, LLC, et al.,</w:t>
      </w:r>
      <w:r>
        <w:rPr>
          <w:rFonts w:ascii="Arial" w:cs="Arial" w:eastAsia="Arial" w:hAnsi="Arial"/>
          <w:sz w:val="18"/>
          <w:szCs w:val="18"/>
          <w:color w:val="auto"/>
        </w:rPr>
        <w:t xml:space="preserve"> was filed in April 2014 in the Superior Court of California for the County of Los Angeles, and the lawsuit </w:t>
      </w:r>
      <w:r>
        <w:rPr>
          <w:rFonts w:ascii="Arial" w:cs="Arial" w:eastAsia="Arial" w:hAnsi="Arial"/>
          <w:sz w:val="18"/>
          <w:szCs w:val="18"/>
          <w:i w:val="1"/>
          <w:iCs w:val="1"/>
          <w:color w:val="auto"/>
        </w:rPr>
        <w:t>Rita Varsam v. Laboratory Corporation of America DBA LabCorp</w:t>
      </w:r>
      <w:r>
        <w:rPr>
          <w:rFonts w:ascii="Arial" w:cs="Arial" w:eastAsia="Arial" w:hAnsi="Arial"/>
          <w:sz w:val="18"/>
          <w:szCs w:val="18"/>
          <w:color w:val="auto"/>
        </w:rPr>
        <w:t xml:space="preserve">, was filed in June 2014 in the Superior Court of California for the County of San Diego. As a result of the </w:t>
      </w:r>
      <w:r>
        <w:rPr>
          <w:rFonts w:ascii="Arial" w:cs="Arial" w:eastAsia="Arial" w:hAnsi="Arial"/>
          <w:sz w:val="18"/>
          <w:szCs w:val="18"/>
          <w:i w:val="1"/>
          <w:iCs w:val="1"/>
          <w:color w:val="auto"/>
        </w:rPr>
        <w:t>Andres</w:t>
      </w:r>
      <w:r>
        <w:rPr>
          <w:rFonts w:ascii="Arial" w:cs="Arial" w:eastAsia="Arial" w:hAnsi="Arial"/>
          <w:sz w:val="18"/>
          <w:szCs w:val="18"/>
          <w:color w:val="auto"/>
        </w:rPr>
        <w:t xml:space="preserve"> settlement, the Plaintiff in the </w:t>
      </w:r>
      <w:r>
        <w:rPr>
          <w:rFonts w:ascii="Arial" w:cs="Arial" w:eastAsia="Arial" w:hAnsi="Arial"/>
          <w:sz w:val="18"/>
          <w:szCs w:val="18"/>
          <w:i w:val="1"/>
          <w:iCs w:val="1"/>
          <w:color w:val="auto"/>
        </w:rPr>
        <w:t>Rabanes</w:t>
      </w:r>
      <w:r>
        <w:rPr>
          <w:rFonts w:ascii="Arial" w:cs="Arial" w:eastAsia="Arial" w:hAnsi="Arial"/>
          <w:sz w:val="18"/>
          <w:szCs w:val="18"/>
          <w:color w:val="auto"/>
        </w:rPr>
        <w:t xml:space="preserve"> case dismissed her case. The Plaintiff in the Varsam case alleges on behalf of similarly situated employees that the Company failed to pay overtime, failed to provide meal and rest breaks, and committed other violations of the California Labor Code. The complaint seeks monetary damages, civil penalties, costs, injunctive relief, and attorney's fees. The Company will vigorously defend this lawsuit.</w:t>
      </w:r>
    </w:p>
    <w:p>
      <w:pPr>
        <w:spacing w:after="0" w:line="9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December 17, 2010, the Company was served with a lawsuit, </w:t>
      </w:r>
      <w:r>
        <w:rPr>
          <w:rFonts w:ascii="Arial" w:cs="Arial" w:eastAsia="Arial" w:hAnsi="Arial"/>
          <w:sz w:val="17"/>
          <w:szCs w:val="17"/>
          <w:i w:val="1"/>
          <w:iCs w:val="1"/>
          <w:color w:val="auto"/>
        </w:rPr>
        <w:t>Oliver Wuth, et al. v. Laboratory Corporation of America, et al.</w:t>
      </w:r>
      <w:r>
        <w:rPr>
          <w:rFonts w:ascii="Arial" w:cs="Arial" w:eastAsia="Arial" w:hAnsi="Arial"/>
          <w:sz w:val="17"/>
          <w:szCs w:val="17"/>
          <w:color w:val="auto"/>
        </w:rPr>
        <w:t>, filed in the State Superior Court of King County, Washington. The lawsuit alleges that the Company was negligent in the handling of a prenatal genetic test order that allegedly resulted in the parents being given incorrect information. The matter was tried to a jury beginning on October 21, 2013. On December 10, 2013, the jury returned a verdict in in Plaintiffs’ favor in the amount of $50.0, with 50.0% of liability apportioned to the Company and 50.0% of liability apportioned to co-Defendant Valley Medical Center. The Company filed post-judgment motions for a new trial, which were denied, and is vigorously pursuing an appeal of the judgment on multiple grounds. Oral argument was held before the Court of Appeals of the State of Washington in June 2015. The Company carries self-insurance reserves and excess liability insurance sufficient to cover the potential liability in this case.</w:t>
      </w:r>
    </w:p>
    <w:p>
      <w:pPr>
        <w:spacing w:after="0" w:line="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July 3, 2012, the Company was served with a lawsuit, </w:t>
      </w:r>
      <w:r>
        <w:rPr>
          <w:rFonts w:ascii="Arial" w:cs="Arial" w:eastAsia="Arial" w:hAnsi="Arial"/>
          <w:sz w:val="17"/>
          <w:szCs w:val="17"/>
          <w:i w:val="1"/>
          <w:iCs w:val="1"/>
          <w:color w:val="auto"/>
        </w:rPr>
        <w:t>John Wisekal, as Personal Representative of the Estate of Darien Wisekal</w:t>
      </w:r>
      <w:r>
        <w:rPr>
          <w:rFonts w:ascii="Arial" w:cs="Arial" w:eastAsia="Arial" w:hAnsi="Arial"/>
          <w:sz w:val="17"/>
          <w:szCs w:val="17"/>
          <w:color w:val="auto"/>
        </w:rPr>
        <w:t xml:space="preserve"> v. </w:t>
      </w:r>
      <w:r>
        <w:rPr>
          <w:rFonts w:ascii="Arial" w:cs="Arial" w:eastAsia="Arial" w:hAnsi="Arial"/>
          <w:sz w:val="17"/>
          <w:szCs w:val="17"/>
          <w:i w:val="1"/>
          <w:iCs w:val="1"/>
          <w:color w:val="auto"/>
        </w:rPr>
        <w:t>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and Glenda C. Mixon</w:t>
      </w:r>
      <w:r>
        <w:rPr>
          <w:rFonts w:ascii="Arial" w:cs="Arial" w:eastAsia="Arial" w:hAnsi="Arial"/>
          <w:sz w:val="17"/>
          <w:szCs w:val="17"/>
          <w:color w:val="auto"/>
        </w:rPr>
        <w:t>, filed in the Circuit Court of the Fifteenth Judicial Circuit in and for Palm Beach County,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lawsuit alleges that the Company misread a Pap test. The case was removed to the United States District Court for the Southern District of Florida. The matter was tried to a jury beginning on April 1, 2014. On April 17, 2014, the jury returned a verdict in Plaintiff’s favor in the amount of $20.8, with non-economic damages reduced by 25% to account for the Plaintiff's negligence, for a final verdict of $15.8. The Company filed post-trial motions. On July 28, 2014, the Court granted the Company’s motion for remittitur and reduced the jury’s non-economic damages award to $5.0, reduced by 25.0% for the Plaintiff’s negligence. Accordingly, the total judgment is $4.4. In December 2014, the Court granted Plaintiff's Motion to Certify the remittitur order for interlocutory appeal. On June 3, 2015, the U.S. Court of Appeals for the Eleventh Circuit denied Petitioner Wisekal's petition for permission to appeal the remittitur order. On June 8, 2015, the District Court ordered the trial reset for the January 2016 calendar.</w:t>
      </w:r>
    </w:p>
    <w:p>
      <w:pPr>
        <w:spacing w:after="0" w:line="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July 9, 2014, the Company was served with a putative class action lawsuit, </w:t>
      </w:r>
      <w:r>
        <w:rPr>
          <w:rFonts w:ascii="Arial" w:cs="Arial" w:eastAsia="Arial" w:hAnsi="Arial"/>
          <w:sz w:val="18"/>
          <w:szCs w:val="18"/>
          <w:i w:val="1"/>
          <w:iCs w:val="1"/>
          <w:color w:val="auto"/>
        </w:rPr>
        <w:t>Christopher W. Legg, et al. v. Laboratory Corporation of America</w:t>
      </w:r>
      <w:r>
        <w:rPr>
          <w:rFonts w:ascii="Arial" w:cs="Arial" w:eastAsia="Arial" w:hAnsi="Arial"/>
          <w:sz w:val="18"/>
          <w:szCs w:val="18"/>
          <w:color w:val="auto"/>
        </w:rPr>
        <w:t>, filed in the United States District Court for the Southern District of Florida. The complaint alleges that the Company willfully violated the Fair and Accurate Credit Transactions Act by allegedly providing credit card expiration date information on an electronically printed credit card receipt. The lawsuit seeks damages of not less than $0.0001 but not more than $0.01 per violation, and punitive damages, injunctive relief, and attorney’s fees. The Company will vigorously defend the lawsuit.</w:t>
      </w:r>
    </w:p>
    <w:p>
      <w:pPr>
        <w:spacing w:after="0" w:line="9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 xml:space="preserve">Prior to the consummation of the Company’s acquisition of LipoScience, Inc., purported stockholders of LipoScience filed four putative class action lawsuits against LipoScience, members of the LipoScience board of directors, the Company and Bear Acquisition Corp., a wholly owned subsidiary of the Company, in the Delaware Court of Chancery and, with respect to one of the lawsuits, in the Superior Court of Wake County, North Carolina. The lawsuits alleged breach of fiduciary duty and/or other violations of state law arising out of the proposed acquisition. Each suit sought, among other things, injunctive relief enjoining the merger. On October 23, 2014, the case in North Carolina was voluntarily dismissed without prejudice by the Plaintiff. On October 29, 2014, the Delaware Court of Chancery consolidated the four actions under the caption </w:t>
      </w:r>
      <w:r>
        <w:rPr>
          <w:rFonts w:ascii="Arial" w:cs="Arial" w:eastAsia="Arial" w:hAnsi="Arial"/>
          <w:sz w:val="18"/>
          <w:szCs w:val="18"/>
          <w:i w:val="1"/>
          <w:iCs w:val="1"/>
          <w:color w:val="auto"/>
        </w:rPr>
        <w:t>In re LipoScience, Inc. Stockholder Litigation, Consolidated C.A. No.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10252-VCP </w:t>
      </w:r>
      <w:r>
        <w:rPr>
          <w:rFonts w:ascii="Arial" w:cs="Arial" w:eastAsia="Arial" w:hAnsi="Arial"/>
          <w:sz w:val="18"/>
          <w:szCs w:val="18"/>
          <w:color w:val="auto"/>
        </w:rPr>
        <w:t>(the “Consolidated Action”). On November 7, 2014, the Consolidated Action plaintiffs entered into a memorandum of understanding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regarding a settlement of the Consolidated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Action. In connection with the settlement, the parties agreed that LipoScience would make certain additional disclosures to its stockholders. Subject to the completion of certain confirmatory discovery by counsel, entry by the parties into a stipulation of settlement and customary conditions, including court approval, the settlement will resolve all of the claims that were or could have been brought, including all claims relating to the merger.</w:t>
      </w:r>
    </w:p>
    <w:p>
      <w:pPr>
        <w:spacing w:after="0" w:line="71"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 xml:space="preserve">On November 19, 2014, the Company entered into a definitive merger agreement to acquire Covance for $6,150.7 in cash and Company common stock. The transaction closed on February 19, 2015. Prior to the closing of the transaction, purported stockholders of Covance filed two putative class action lawsuits. One of the lawsuits, captioned </w:t>
      </w:r>
      <w:r>
        <w:rPr>
          <w:rFonts w:ascii="Arial" w:cs="Arial" w:eastAsia="Arial" w:hAnsi="Arial"/>
          <w:sz w:val="17"/>
          <w:szCs w:val="17"/>
          <w:i w:val="1"/>
          <w:iCs w:val="1"/>
          <w:color w:val="auto"/>
        </w:rPr>
        <w:t>Berk v. Covance Inc., et al., C.A. No. 10440-VCL</w:t>
      </w:r>
      <w:r>
        <w:rPr>
          <w:rFonts w:ascii="Arial" w:cs="Arial" w:eastAsia="Arial" w:hAnsi="Arial"/>
          <w:sz w:val="17"/>
          <w:szCs w:val="17"/>
          <w:color w:val="auto"/>
        </w:rPr>
        <w:t xml:space="preserve">, was filed in the Delaware Court of Chancery on December 9, 2014. The other lawsuit, captioned </w:t>
      </w:r>
      <w:r>
        <w:rPr>
          <w:rFonts w:ascii="Arial" w:cs="Arial" w:eastAsia="Arial" w:hAnsi="Arial"/>
          <w:sz w:val="17"/>
          <w:szCs w:val="17"/>
          <w:i w:val="1"/>
          <w:iCs w:val="1"/>
          <w:color w:val="auto"/>
        </w:rPr>
        <w:t>Ojeda v. Herring et al., No. MER-C-92-14</w:t>
      </w:r>
      <w:r>
        <w:rPr>
          <w:rFonts w:ascii="Arial" w:cs="Arial" w:eastAsia="Arial" w:hAnsi="Arial"/>
          <w:sz w:val="17"/>
          <w:szCs w:val="17"/>
          <w:color w:val="auto"/>
        </w:rPr>
        <w:t>, was filed in the Superior Court of New Jersey, Chancery Division, Mercer County, New Jersey, on November 12, 2014. Both suits named as defendants Covance, members of the Covance board of directors, the Company and Neon Merger Sub, Inc., a wholly owned subsidiary of the Company that was merged out of existence in connection with the Acquisition. The lawsuits alleged breach of fiduciary duty and/or other violations of state law arising out of the proposed acquisition. Each suit sought, among other things, injunctive relief enjoining the merger. On January 21, 2015, the case in New Jersey was voluntarily dismissed without prejudice by the Plaintiff. On February 9, 2015, the Plaintiffs in the Delaware case entered into a memorandum of understanding with the Defendants regarding a settlement. In connection with the settlement, the parties agreed that Covance would make additional disclosures to its stockholders. Subject to the entry by the parties into a stipulation of settlement and customary conditions, including court approval, the settlement will resolve all the claims that were or could have been brought, including all claims relating to the merger.</w:t>
      </w:r>
    </w:p>
    <w:p>
      <w:pPr>
        <w:spacing w:after="0" w:line="85"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federal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5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March 2015, the Company received a subpoena from the Attorney General of the State of New York, which requests information regarding the Company’s relationship with Direct Laboratories LLC. The Company is cooperating with the request.</w:t>
      </w:r>
    </w:p>
    <w:p>
      <w:pPr>
        <w:spacing w:after="0" w:line="7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The Company holds an investment in a joint venture partnership located in Alberta, Canada. The Canadian partnership has a license to conduct diagnostic testing services in the province of Alberta. Substantially all of its revenue is received as reimbursement from the Alberta government's health care programs. In December 2013, Alberta Health Services (“AHS”), the Alberta government's health care program, issued a request for proposals for laboratory services that includes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February 23-25, 2015. The decision remains pending before the Vendor Bid Appeal Panel. AHS has stated that the decision will not be released until August 2015. If the appeal is unsuccessful, the Canadian partnership could then pursue a lawsuit to have the case heard in court. The Company believes that the Canadian partnership has a strong fact pattern and legal grounds to be ultimately successful in its challenge to the AHS decision, and it is the Company’s belief and best estimate, based on the facts and legal grounds presented to date, that the Canadian partnership should be successful in its challenge to the validity of the RFP process. The Canadian partnership’s existing contract with AHS remains in place through March 2016. If the AHS contract award remains with the preferred proponent, then the Canadian partnership's revenues would decrease substantially and the carrying value of the Company's investment could potentially be impaired.</w:t>
      </w:r>
    </w:p>
    <w:p>
      <w:pPr>
        <w:spacing w:after="0" w:line="8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Beginning in April 2015, the United Food Workers Union (“UFCW”) filed a series of seven petitions with the National Labor Relations Board ("NLRB") in Southern California for certification as the collective bargaining representative for phlebotomy employees located at discrete sites identified in each petition. To date, three elections have been held. The UFWC was successful in two petitions and won recognition for an employee population of 72 phlebotomy employees. The election result of a third petition is subject to challenge by the UFCW and pending the NLRB’s resolution of that challenge. The fourth petition was withdrawn by the UFCW and the final three petitions are scheduled for elections in July and August 2015.</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As of June 30, 2015, the Company had provided letters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aggregating approximately $45.4, primarily in connection with certain insurance programs. The Company's availability under its Revolving Credit Facility is reduced by the amount of these letters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PLANS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Company’s defined contribution retirement plan (the “401K Plan”) covers substantially all pre-Acquisition employees. All employees eligible for the 401K Plan receive a minimum 3% non-elective contribution concurrent with each payroll period. The 401K Plan also permits discretionary contributions by the Company of up to 1% and up to 3% of pay for eligible employees based on years of service with the Company. The cost of this plan was $13.3 and $12.8 for the three months ended June 30, 2015 and 2014, respectively, and $26.2 and $26.2 for the six months ended June 30, 2015 and 2014. As a result of the Acquisition, the Company also incurred expense of $11.1 and $15.8 for the Covance 401K Plan during the three and six months ended June 30, 2015, respectively.</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also maintains a frozen defined benefit retirement plan (the “Company Plan”), that as of December 31, 2009, covered substantially all employees. The benefits to be paid under the Company Plan are based on years of credited service through December 31, 2009 and ongoing interest credits. Effective January 1, 2010, the Company Plan was closed to new participants. The Company’s policy is to fund the Company Plan with at least the minimum amount required by applicable regulations.</w:t>
      </w:r>
    </w:p>
    <w:p>
      <w:pPr>
        <w:spacing w:after="0" w:line="9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maintains a second unfunded, non-contributory, non-qualified defined benefit retirement plan (the “PEP”), that as of December 31, 2009, covered substantially all of its senior management group. The PEP supplements the Company Plan and was closed to new participants effective January 1, 2010.</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effect on operations for the Company Plan and the PEP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960" w:type="dxa"/>
            <w:vAlign w:val="bottom"/>
            <w:gridSpan w:val="6"/>
          </w:tcPr>
          <w:p>
            <w:pPr>
              <w:ind w:left="36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540" w:type="dxa"/>
            <w:vAlign w:val="bottom"/>
            <w:gridSpan w:val="4"/>
          </w:tcPr>
          <w:p>
            <w:pPr>
              <w:jc w:val="right"/>
              <w:ind w:right="290"/>
              <w:spacing w:after="0"/>
              <w:rPr>
                <w:sz w:val="20"/>
                <w:szCs w:val="20"/>
                <w:color w:val="auto"/>
              </w:rPr>
            </w:pPr>
            <w:r>
              <w:rPr>
                <w:rFonts w:ascii="Arial" w:cs="Arial" w:eastAsia="Arial" w:hAnsi="Arial"/>
                <w:sz w:val="18"/>
                <w:szCs w:val="18"/>
                <w:color w:val="auto"/>
                <w:w w:val="97"/>
              </w:rPr>
              <w:t>Six Months Ended June 30,</w:t>
            </w:r>
          </w:p>
        </w:tc>
      </w:tr>
      <w:tr>
        <w:trPr>
          <w:trHeight w:val="34"/>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the six months ended June 30, 2015, the Company contributed $4.5 to the Company Plan.</w:t>
      </w:r>
    </w:p>
    <w:p>
      <w:pPr>
        <w:spacing w:after="0" w:line="117"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The Company has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960" w:type="dxa"/>
            <w:vAlign w:val="bottom"/>
            <w:gridSpan w:val="6"/>
          </w:tcPr>
          <w:p>
            <w:pPr>
              <w:ind w:left="36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540" w:type="dxa"/>
            <w:vAlign w:val="bottom"/>
            <w:gridSpan w:val="4"/>
          </w:tcPr>
          <w:p>
            <w:pPr>
              <w:jc w:val="right"/>
              <w:ind w:right="290"/>
              <w:spacing w:after="0"/>
              <w:rPr>
                <w:sz w:val="20"/>
                <w:szCs w:val="20"/>
                <w:color w:val="auto"/>
              </w:rPr>
            </w:pPr>
            <w:r>
              <w:rPr>
                <w:rFonts w:ascii="Arial" w:cs="Arial" w:eastAsia="Arial" w:hAnsi="Arial"/>
                <w:sz w:val="18"/>
                <w:szCs w:val="18"/>
                <w:color w:val="auto"/>
                <w:w w:val="97"/>
              </w:rPr>
              <w:t>Six Months Ended June 30,</w:t>
            </w:r>
          </w:p>
        </w:tc>
      </w:tr>
      <w:tr>
        <w:trPr>
          <w:trHeight w:val="34"/>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9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Post-retirement medical plan benefits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PEP, the as a result of the Acquisition, the Company also has a frozen non-qualified Supplemental Executive Retirement Plan (“SERP”). The SERP, which is not funded, is intended to provide retirement benefits for certain executive officers of Covance. Benefit amounts are based upon years of service and compensation of the participating employees. The pension benefit obligation as of the Acquisition date was $32.8. The components of the net periodic pension cost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160" w:type="dxa"/>
            <w:vAlign w:val="bottom"/>
            <w:gridSpan w:val="3"/>
          </w:tcPr>
          <w:p>
            <w:pPr>
              <w:ind w:left="80"/>
              <w:spacing w:after="0"/>
              <w:rPr>
                <w:sz w:val="20"/>
                <w:szCs w:val="20"/>
                <w:color w:val="auto"/>
              </w:rPr>
            </w:pPr>
            <w:r>
              <w:rPr>
                <w:rFonts w:ascii="Arial" w:cs="Arial" w:eastAsia="Arial" w:hAnsi="Arial"/>
                <w:sz w:val="18"/>
                <w:szCs w:val="18"/>
                <w:color w:val="auto"/>
                <w:w w:val="97"/>
              </w:rPr>
              <w:t>Three Months Ended June</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w w:val="90"/>
              </w:rPr>
              <w:t>Six Months Ended June 30,</w:t>
            </w:r>
          </w:p>
        </w:tc>
      </w:tr>
      <w:tr>
        <w:trPr>
          <w:trHeight w:val="230"/>
        </w:trPr>
        <w:tc>
          <w:tcPr>
            <w:tcW w:w="7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color w:val="auto"/>
              </w:rPr>
              <w:t>30, 2015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color w:val="auto"/>
              </w:rPr>
              <w:t>2015</w:t>
            </w:r>
          </w:p>
        </w:tc>
      </w:tr>
      <w:tr>
        <w:trPr>
          <w:trHeight w:val="34"/>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4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2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periodic pension cost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Also as a result of the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 is shared with the retirees. The net periodic post-retirement benefit</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cost for the three and six months ended June 30, 2015 was $0.1 and $0.1, respectively, and the pension benefit obligation as of the Acquisition date was $6.3.</w:t>
      </w:r>
    </w:p>
    <w:p>
      <w:pPr>
        <w:spacing w:after="0" w:line="14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result of the Acquisition, the Company sponsors two defined benefit pension plans for the benefit of its employees at two United Kingdom subsidiaries and one defined benefit pension plan for the benefit of its employees at a German subsidiary, all of which are legacy plans of previously acquired companies. Benefit amounts for all three plans are based upon years of service and compensation. The German plan is unfunded while the United Kingdom pension plans are funded. The Company’s funding policy has been to contribute annually a fixed percentage of the eligible employee’s salary at least equal to the local statutory funding requirements.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620"/>
              <w:spacing w:after="0"/>
              <w:rPr>
                <w:sz w:val="20"/>
                <w:szCs w:val="20"/>
                <w:color w:val="auto"/>
              </w:rPr>
            </w:pPr>
            <w:r>
              <w:rPr>
                <w:rFonts w:ascii="Arial" w:cs="Arial" w:eastAsia="Arial" w:hAnsi="Arial"/>
                <w:sz w:val="18"/>
                <w:szCs w:val="18"/>
                <w:color w:val="auto"/>
              </w:rPr>
              <w:t>United Kingdom Plans</w:t>
            </w:r>
          </w:p>
        </w:tc>
        <w:tc>
          <w:tcPr>
            <w:tcW w:w="160" w:type="dxa"/>
            <w:vAlign w:val="bottom"/>
          </w:tcPr>
          <w:p>
            <w:pPr>
              <w:spacing w:after="0"/>
              <w:rPr>
                <w:sz w:val="20"/>
                <w:szCs w:val="20"/>
                <w:color w:val="auto"/>
              </w:rPr>
            </w:pPr>
          </w:p>
        </w:tc>
        <w:tc>
          <w:tcPr>
            <w:tcW w:w="3020" w:type="dxa"/>
            <w:vAlign w:val="bottom"/>
            <w:gridSpan w:val="4"/>
          </w:tcPr>
          <w:p>
            <w:pPr>
              <w:jc w:val="right"/>
              <w:ind w:right="1010"/>
              <w:spacing w:after="0"/>
              <w:rPr>
                <w:sz w:val="20"/>
                <w:szCs w:val="20"/>
                <w:color w:val="auto"/>
              </w:rPr>
            </w:pPr>
            <w:r>
              <w:rPr>
                <w:rFonts w:ascii="Arial" w:cs="Arial" w:eastAsia="Arial" w:hAnsi="Arial"/>
                <w:sz w:val="18"/>
                <w:szCs w:val="18"/>
                <w:color w:val="auto"/>
              </w:rPr>
              <w:t>German Plan</w:t>
            </w:r>
          </w:p>
        </w:tc>
      </w:tr>
      <w:tr>
        <w:trPr>
          <w:trHeight w:val="34"/>
        </w:trPr>
        <w:tc>
          <w:tcPr>
            <w:tcW w:w="4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9"/>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Ended June 30,</w:t>
            </w: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Six Months Ended</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Ended June 30,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Six Months Ended</w:t>
            </w:r>
          </w:p>
        </w:tc>
      </w:tr>
      <w:tr>
        <w:trPr>
          <w:trHeight w:val="230"/>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2015</w:t>
            </w: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2"/>
              </w:rPr>
              <w:t>June 30, 2015</w:t>
            </w:r>
          </w:p>
        </w:tc>
      </w:tr>
      <w:tr>
        <w:trPr>
          <w:trHeight w:val="34"/>
        </w:trPr>
        <w:tc>
          <w:tcPr>
            <w:tcW w:w="4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84"/>
        </w:trPr>
        <w:tc>
          <w:tcPr>
            <w:tcW w:w="4960" w:type="dxa"/>
            <w:vAlign w:val="bottom"/>
          </w:tcPr>
          <w:p>
            <w:pPr>
              <w:ind w:left="40"/>
              <w:spacing w:after="0"/>
              <w:rPr>
                <w:sz w:val="20"/>
                <w:szCs w:val="20"/>
                <w:color w:val="auto"/>
              </w:rPr>
            </w:pPr>
            <w:r>
              <w:rPr>
                <w:rFonts w:ascii="Arial" w:cs="Arial" w:eastAsia="Arial" w:hAnsi="Arial"/>
                <w:sz w:val="18"/>
                <w:szCs w:val="18"/>
                <w:color w:val="auto"/>
              </w:rPr>
              <w:t>Net amortization and deferral</w:t>
            </w:r>
          </w:p>
        </w:tc>
        <w:tc>
          <w:tcPr>
            <w:tcW w:w="16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 costs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7"/>
        </w:trPr>
        <w:tc>
          <w:tcPr>
            <w:tcW w:w="4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defined benefit plan cost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Salary increases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population of financial assets and liabilities subject to fair value measurements as of June 30, 2015 and December 31, 2014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June 30,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2015</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Fair Value</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2014</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6"/>
            <w:vMerge w:val="restart"/>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as of</w:t>
            </w: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2014</w:t>
            </w:r>
          </w:p>
        </w:tc>
        <w:tc>
          <w:tcPr>
            <w:tcW w:w="300" w:type="dxa"/>
            <w:vAlign w:val="bottom"/>
          </w:tcPr>
          <w:p>
            <w:pPr>
              <w:spacing w:after="0"/>
              <w:rPr>
                <w:sz w:val="23"/>
                <w:szCs w:val="23"/>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3"/>
                <w:szCs w:val="23"/>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CCEEFF"/>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Company has a noncontrolling interest put related to its Ontario subsidiary that has been classified as mezzanine equity in the Company’s condensed consolidated balance sheet. The noncontrolling interest put is valued at its contractually determined value, which approximates fair value.</w:t>
      </w:r>
    </w:p>
    <w:p>
      <w:pPr>
        <w:spacing w:after="0" w:line="52"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The Company offers certain employees the opportunity to participate in a deferred compensation plan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these policies are based upon earnings and changes in the value of the underlying investments, which are typically invested in a manner similar to the participants' allocations. Changes in the fair value of the DCP obligation are derived using quoted prices in active markets based on the market price per unit multiplied by the number of units. The cash surrender value and the DCP obligations are classified</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within Level 2 because their inputs are derived principally from observable market data by correlation to the hypothetical investments.</w:t>
      </w:r>
    </w:p>
    <w:p>
      <w:pPr>
        <w:spacing w:after="0" w:line="131"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$170.2 and $155.6 as of June 30, 2015 and December 31, 2014, respectively. The fair market value of all of the senior notes, based on market pricing, was approximately $6,356.7 and $2,949.8 as of June 30, 2015 and December 31, 2014, respectively. The Company's note and debt instruments are classified as Level 2 instruments, as the fair market values of these instruments are determined using other observable inputs.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22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through a controlled program of risk management that includes, from time to time, the use of derivative financial instruments such as foreign currency contracts and interest rate swap agreements (see Interest Rate Swap section below). Although the Company’s zero-coupon subordinated notes contain features that are considered to be embedded derivative instruments (see Embedded Derivatives Related to the Zero-Coupon Subordinated Notes section below), the Company does not hold or issue derivative financial instruments for trading purposes. The Company does not believe that its exposure to market risk is material to the Company’s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These interest rate swaps are included in other long term assets and added to the value of the senior notes, with an aggregate fair value of $19.2 and $18.5 at June 30, 2015 and December 31, 2014, respectively.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Derivatives Related to the Zero-Coupon Subordinated Notes</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76" w:lineRule="exact"/>
        <w:rPr>
          <w:sz w:val="20"/>
          <w:szCs w:val="20"/>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76"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Company believes these embedded derivatives had no fair value at June 30, 2015 and December 31, 2014. These embedded derivatives also had no impact on the condensed consolidated statements of operations for the six months ended June 30, 2015 and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Instruments</w:t>
      </w:r>
    </w:p>
    <w:p>
      <w:pPr>
        <w:spacing w:after="0" w:line="225"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Arial" w:cs="Arial" w:eastAsia="Arial" w:hAnsi="Arial"/>
                <w:sz w:val="18"/>
                <w:szCs w:val="18"/>
                <w:b w:val="1"/>
                <w:bCs w:val="1"/>
                <w:color w:val="auto"/>
              </w:rPr>
              <w:t>13. SUPPLEMENTAL CASH FLOW INFORMATION</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r>
      <w:tr>
        <w:trPr>
          <w:trHeight w:val="34"/>
        </w:trPr>
        <w:tc>
          <w:tcPr>
            <w:tcW w:w="8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2014</w:t>
            </w:r>
          </w:p>
        </w:tc>
      </w:tr>
      <w:tr>
        <w:trPr>
          <w:trHeight w:val="34"/>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r>
      <w:tr>
        <w:trPr>
          <w:trHeight w:val="243"/>
        </w:trPr>
        <w:tc>
          <w:tcPr>
            <w:tcW w:w="808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111.1</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awards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stock consideration for the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acquired under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Increase (decrease) accrued property, plant and equipment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 INFORMATION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following table is a summary of segment information for the three and six months ended June 30, 2015 and 2014.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4"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Prior to the first quarter of 2015, the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these financial statements has been conformed to present segments on this revised basis for all prior periods. Under the new organizational structure, the CODM manages the Company under two segments: LCD and CDD. LCD includes the Company's legacy LabCorp business, and the Company's nutritional chemistry and food safety business, which were previously part of Covance, but excludes LabCorp’s legacy clinical trials testing business, which is now part of CDD. CDD includes Covance's legacy business, and LabCorp’s legacy clinical trials testing business, but excludes Covance's nutritional chemistry and food safety business, which are now part of LCD.</w:t>
      </w:r>
    </w:p>
    <w:p>
      <w:pPr>
        <w:spacing w:after="0" w:line="9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 The accounting policies of the segments are the same as those as set forth in Note 1 to the Consolidated Financial Statements contained in the Company's Annual Report on Form 10-K for the year ended December 31, 2014 and Note 1 (Basis of Financial Statement Presentation) above to the interim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information about the Company’s reporting segments for the three months ended June 30, 2015 and 2014:</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ind w:left="400" w:right="204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ind w:left="3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480" w:type="dxa"/>
            <w:vAlign w:val="bottom"/>
            <w:gridSpan w:val="4"/>
          </w:tcPr>
          <w:p>
            <w:pPr>
              <w:jc w:val="right"/>
              <w:ind w:right="670"/>
              <w:spacing w:after="0"/>
              <w:rPr>
                <w:sz w:val="20"/>
                <w:szCs w:val="20"/>
                <w:color w:val="auto"/>
              </w:rPr>
            </w:pPr>
            <w:r>
              <w:rPr>
                <w:rFonts w:ascii="Arial" w:cs="Arial" w:eastAsia="Arial" w:hAnsi="Arial"/>
                <w:sz w:val="18"/>
                <w:szCs w:val="18"/>
                <w:color w:val="auto"/>
              </w:rPr>
              <w:t>Six Month Ended</w:t>
            </w:r>
          </w:p>
        </w:tc>
      </w:tr>
      <w:tr>
        <w:trPr>
          <w:trHeight w:val="270"/>
        </w:trPr>
        <w:tc>
          <w:tcPr>
            <w:tcW w:w="5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23"/>
                <w:szCs w:val="23"/>
                <w:color w:val="auto"/>
              </w:rPr>
            </w:pPr>
          </w:p>
        </w:tc>
      </w:tr>
      <w:tr>
        <w:trPr>
          <w:trHeight w:val="34"/>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LCD - net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1,575.0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1,473.7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2,866.6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 -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CDD - reimbursable out-of-pocket expenses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2,947.1</w:t>
            </w:r>
          </w:p>
        </w:tc>
      </w:tr>
      <w:tr>
        <w:trPr>
          <w:trHeight w:val="237"/>
        </w:trPr>
        <w:tc>
          <w:tcPr>
            <w:tcW w:w="54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LCD</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509.3</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420.2</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165.0</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255.2</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Less income attributable to noncontrolling interests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Laboratory Corporation of America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254.4</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25" w:right="39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240" w:top="125" w:right="399" w:bottom="96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INDEX</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including statements regarding government regulations and investigations, litigation, reimbursement, the competitive environment, and relationships with payers, customers and suppliers.</w:t>
      </w:r>
    </w:p>
    <w:p>
      <w:pPr>
        <w:spacing w:after="0" w:line="1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and in the Company’s other public filings, press releases and discussions with Company management, including:</w:t>
      </w:r>
    </w:p>
    <w:p>
      <w:pPr>
        <w:spacing w:after="0" w:line="301" w:lineRule="exact"/>
        <w:rPr>
          <w:sz w:val="20"/>
          <w:szCs w:val="20"/>
          <w:color w:val="auto"/>
        </w:rPr>
      </w:pPr>
    </w:p>
    <w:p>
      <w:pPr>
        <w:jc w:val="both"/>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state, local and third party payer regulations or policies or other future reforms in the health care system (or in the interpretation of current regulations), new insurance or payment systems, including state, regional or private insurance cooperatives (Health Insurance Exchanges), new public insurance programs or a single-payer system, affecting governmental and third-party coverage or reimbursement for clinical laboratory testing;</w:t>
      </w:r>
    </w:p>
    <w:p>
      <w:pPr>
        <w:spacing w:after="0" w:line="78"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monetary damages, fines, penalties, assessments, refunds, repayments, and/or exclusion from the Medicare and Medicaid programs, among other adverse consequences, resulting from interpretations of, or future changes in, laws and regulations, including laws and regulations of Medicare, Medicaid, the False Claims Act, interpretations of such laws and regulations by federal or state government agencies or investigations, audits, regulatory examinations, information requests and other inquiries by state or federal government agencies;</w:t>
      </w:r>
    </w:p>
    <w:p>
      <w:pPr>
        <w:spacing w:after="0" w:line="6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fines, penalties, costs and/or damage to the Company’s reputation arising from the failure to comply with U.S. and international privacy and security laws and regulations, including HIPAA, HITECH, state laws and regulations, and laws and regulations of the European Union and other countries;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the law or regulations of the Clinical Laboratory Improvement Act of 1967, and the Clinical Laboratory Improvement Amendments of 1988;</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the Federal Occupational Safety and Health Administration requirements and the Needlestick Safety and Prevention Act, or similar laws and regulations of federal, state or local agencies;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policies, including regulations and policies of the Food and Drug Administration, affecting the approval, availability of, and the selling and marketing of diagnostic tests or drug development trials;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pertaining to the pharmaceutical and biotechnology industries, changes in reimbursement of pharmaceutical products or reduced spending on research and development by pharmaceutical and biotechnology customers;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that result from the inability to comply with corporate governance requirements;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competitive bidding and/or changes or reductions to fee schedules and competition from companies that do not comply with existing laws or regulations or otherwise disregard compliance standards in the industry;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payer mix, including an increase in capitated reimbursement mechanisms or the impact of a shift to consumer-driven health plans and adverse changes in payer reimbursement or payer coverage policies related to specific testing procedures or categories of testing;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retain or attract managed care business as a result of changes in business models, including new risk based or network approaches, or other changes in strategy or business models by managed care companies;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obtain and retain new customers or a reduction in tests ordered, specimens submitted or services requested by existing customers;</w:t>
      </w:r>
    </w:p>
    <w:p>
      <w:pPr>
        <w:spacing w:after="0" w:line="128"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Covance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consolidation of managed care companies, pharmaceutical companies, health systems, physicians and other customers affecting pricing and sales;</w:t>
      </w:r>
    </w:p>
    <w:p>
      <w:pPr>
        <w:spacing w:after="0" w:line="140"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effectively develop and deploy system modifications or enhancements required in response to evolving market and business needs;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newly acquired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the Company to meet expectations regarding accounting and tax treatments related to the Acquisition;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delay, reduction in scope or increased costs of customer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CDD's contract research services;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harm from acts of animal rights extremists or potential liability arising from CDD's animal research products;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and mobile health technologies, or potential use of new technologies by customers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(including hurricanes), fires and/or other natural disasters,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 of business or increased costs due to damage to the Company's reputation and significant litigation exposure arising from failure in the Company's information technology systems, including a negative effect on the performance of services or billing processes, failure to maintain the security of business information or systems or to protect against cyber security attacks, inability to meet required financial reporting deadlines, or the failure to meet future regulatory or customer information technology, data security and connectivity requirements;</w:t>
      </w:r>
    </w:p>
    <w:p>
      <w:pPr>
        <w:spacing w:after="0" w:line="63"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or general labor unrest;</w:t>
      </w:r>
    </w:p>
    <w:p>
      <w:pPr>
        <w:spacing w:after="0" w:line="6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negative impact on the Company's reimbursement, cash collections and profitability arising from the failure of the Company, third party payers or physicians to comply with the ICD-10-CM Code Set by the compliance date of October 1, 2015, or arising from unfavorable changes in third party payer policies in connection with the implementation of the ICD-10-CM Code Set;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impact on the Company's revenue,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 and</w:t>
      </w:r>
    </w:p>
    <w:p>
      <w:pPr>
        <w:spacing w:after="0" w:line="11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Foreign Corrupt Practices Act, the U.K. Bribery Act, as well as laws and regulations that differ from those of the U.S., and economic, political, legal and other operational risks associated with foreign markets.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(dollars in millions, except per share data)</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revenues for the three months ended June 30, 2015 increased 46.3% as compared to the prior year. The Company's acquisition (the "Acquisition") of Covance Inc. ("Covance") accounted for 40.9% of the year-over-year net revenue growth. The remainder of the increase was due to strong organic volume growth and tuck-in acquisitions, partially offset by price, mix and currency.</w:t>
      </w:r>
    </w:p>
    <w:p>
      <w:pPr>
        <w:spacing w:after="0" w:line="8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Prior to the first quarter of 2015, the chief operating decision maker ("CODM") managed the operating results of the Company as two segments: clinical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these financial statements has been conformed to present segments on this revised basis for all prior periods. Under the new organizational structure, the CODM manages the Company under two reportable segments: LabCorp Diagnostics ("LCD") and Covance Drug Development ("CDD"). LCD includes the Company's legacy LabCorp business, and the Company's nutritional chemistry and food safety business, which were previously part of Covance, but excludes LabCorp’s legacy clinical trials testing business, which is now part of CDD. CDD includes the Covance legacy business, and LabCorp’s legacy clinical trials testing business, but excludes Covance's nutritional chemistry and food safety business, which are now part of LCD.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(amounts in millions)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with three months ended June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4"/>
        </w:trPr>
        <w:tc>
          <w:tcPr>
            <w:tcW w:w="6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6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1,575.0</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1,473.7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1,407.5%</w:t>
            </w:r>
          </w:p>
        </w:tc>
      </w:tr>
      <w:tr>
        <w:trPr>
          <w:trHeight w:val="257"/>
        </w:trPr>
        <w:tc>
          <w:tcPr>
            <w:tcW w:w="62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2,218.7</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1,516.4</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0"/>
        </w:trPr>
        <w:tc>
          <w:tcPr>
            <w:tcW w:w="6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revenues for the three months ended June 30, 2015 as compared with the corresponding period in 2014 was due to the Acquisition along with strong organic volume growth in LCD and tuck-in acquisitions, partially offset by currency.</w:t>
      </w:r>
    </w:p>
    <w:p>
      <w:pPr>
        <w:spacing w:after="0" w:line="7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net revenues for the second quarter were $1,575.0, an increase of 6.9% over net revenues of $1,473.7 in the second quarter of 2014. The increase in net revenues was driven by growth in volume, measured by requisitions, of 5.4%, of which Beacon LBS, the Company's technology-enabled solution providing point-of-care decision support, contributed 1.1%. The increase in net revenues also benefited from acquisitions of 2.2% while being unfavorably impacted by currency of (0.7%).</w:t>
      </w:r>
    </w:p>
    <w:p>
      <w:pPr>
        <w:spacing w:after="0" w:line="92"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CDD net revenues for the second quarter were $643.7, an increase of 1,407.5% over net revenues of $42.7 in the second quarter of 2014. The increase in net revenues is due to the inclusion of Covance revenue. CDD net revenues were also impacted by volume growth, partially offset by mix and currency.</w:t>
      </w:r>
    </w:p>
    <w:p>
      <w:pPr>
        <w:spacing w:after="0" w:line="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pharmaceutical company sponsors with regard to investigator payments.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1,444.1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947.8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Cost of revenues as a % of net revenues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Net cost of revenues (primarily laboratory and distribution costs) increased 52.4% during the three months ended June 30, 2015 as compared with the corresponding period in 2014 period primarily due to the Acquisition. Excluding acquisitions, net costs of revenues increased approximately 5.0% due to increased volume, measured by requisitions, and test mix changes.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871"/>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98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392.4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61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 as a % of net revenue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Selling, general and administrative expenses as a percentage of net revenues decreased to 17.7% during the three months ended June 30, 2015 as compared to 19.6% during the corresponding period in 2014. The decrease in selling, general and administrative expenses as a percentage of net revenues is primarily due to the Acquisition. In addition, bad debt expense as a percentage of net revenues for LCD decreased to 4.3% of net revenues for that segment during the three months ended June 30, 2015 compared to 4.7% during the corresponding period in 2014. This improvement in LCD's bad debt experience is a result of the segment's focus on improved cash collections and revenue retention initiatives relating to Project LauchPad.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96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84"/>
        </w:trPr>
        <w:tc>
          <w:tcPr>
            <w:tcW w:w="350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tcPr>
          <w:p>
            <w:pPr>
              <w:spacing w:after="0"/>
              <w:rPr>
                <w:sz w:val="24"/>
                <w:szCs w:val="24"/>
                <w:color w:val="auto"/>
              </w:rPr>
            </w:pPr>
          </w:p>
        </w:tc>
        <w:tc>
          <w:tcPr>
            <w:tcW w:w="1720" w:type="dxa"/>
            <w:vAlign w:val="bottom"/>
            <w:tcBorders>
              <w:bottom w:val="single" w:sz="8" w:color="CCEEFF"/>
            </w:tcBorders>
          </w:tcPr>
          <w:p>
            <w:pPr>
              <w:jc w:val="right"/>
              <w:ind w:right="430"/>
              <w:spacing w:after="0"/>
              <w:rPr>
                <w:sz w:val="20"/>
                <w:szCs w:val="20"/>
                <w:color w:val="auto"/>
              </w:rPr>
            </w:pPr>
            <w:r>
              <w:rPr>
                <w:rFonts w:ascii="Arial" w:cs="Arial" w:eastAsia="Arial" w:hAnsi="Arial"/>
                <w:sz w:val="18"/>
                <w:szCs w:val="18"/>
                <w:color w:val="auto"/>
              </w:rPr>
              <w:t>Change</w:t>
            </w:r>
          </w:p>
        </w:tc>
      </w:tr>
      <w:tr>
        <w:trPr>
          <w:trHeight w:val="244"/>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720" w:type="dxa"/>
            <w:vAlign w:val="bottom"/>
          </w:tcPr>
          <w:p>
            <w:pPr>
              <w:jc w:val="right"/>
              <w:spacing w:after="0"/>
              <w:rPr>
                <w:sz w:val="20"/>
                <w:szCs w:val="20"/>
                <w:color w:val="auto"/>
              </w:rPr>
            </w:pPr>
            <w:r>
              <w:rPr>
                <w:rFonts w:ascii="Arial" w:cs="Arial" w:eastAsia="Arial" w:hAnsi="Arial"/>
                <w:sz w:val="18"/>
                <w:szCs w:val="18"/>
                <w:color w:val="auto"/>
              </w:rPr>
              <w:t>3,287.5 %</w:t>
            </w:r>
          </w:p>
        </w:tc>
      </w:tr>
      <w:tr>
        <w:trPr>
          <w:trHeight w:val="27"/>
        </w:trPr>
        <w:tc>
          <w:tcPr>
            <w:tcW w:w="3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7"/>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111.8 %</w:t>
            </w:r>
          </w:p>
        </w:tc>
      </w:tr>
      <w:tr>
        <w:trPr>
          <w:trHeight w:val="20"/>
        </w:trPr>
        <w:tc>
          <w:tcPr>
            <w:tcW w:w="3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increase in amortization of intangibles and other assets primarily reflects the impact of the Acquisition. In addition, amortization expense increased $2.6 in the quarter as a result of the measurement period adjustments for identifiable intangible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5"/>
          </w:tcPr>
          <w:p>
            <w:pPr>
              <w:ind w:left="300"/>
              <w:spacing w:after="0"/>
              <w:rPr>
                <w:sz w:val="20"/>
                <w:szCs w:val="20"/>
                <w:color w:val="auto"/>
              </w:rPr>
            </w:pPr>
            <w:r>
              <w:rPr>
                <w:rFonts w:ascii="Arial" w:cs="Arial" w:eastAsia="Arial" w:hAnsi="Arial"/>
                <w:sz w:val="18"/>
                <w:szCs w:val="18"/>
                <w:color w:val="auto"/>
              </w:rPr>
              <w:t>Three Months Ended June 30,</w:t>
            </w:r>
          </w:p>
        </w:tc>
        <w:tc>
          <w:tcPr>
            <w:tcW w:w="156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r>
      <w:tr>
        <w:trPr>
          <w:trHeight w:val="27"/>
        </w:trPr>
        <w:tc>
          <w:tcPr>
            <w:tcW w:w="32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second quarter of 2015, the Company recorded net restructuring and other special charges of $14.3, $9.3 within LCD and $5.0 within CDD. The charges were comprised of $6.3 related to severance and other personnel costs along with $8.6 in costs associated with facility closures and general integration initiatives. These charges were offset by the reversal of previously established reserves of $0.6 in unused facility-related costs.</w:t>
      </w:r>
    </w:p>
    <w:p>
      <w:pPr>
        <w:spacing w:after="0" w:line="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during the second quarter of 2015, the Company recorded $5.9 in consulting expenses (recorded in selling, general and administrative expenses) relating to fees incurred as part of Project LaunchPad and Covance integration costs.</w:t>
      </w:r>
    </w:p>
    <w:p>
      <w:pPr>
        <w:spacing w:after="0" w:line="76"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During the second quarter of 2014, the Company recorded net restructuring and other special charges of $2.0, all within LCD. The charges were comprised of $2.5 related to severance and other personnel costs along with $.1 in costs associated with facility closures and general integration initiatives. These charges were offset by the reversal of previously established reserves of $0.1 in unused severance and $0.5 in unused facility-related costs.</w:t>
      </w:r>
    </w:p>
    <w:p>
      <w:pPr>
        <w:spacing w:after="0" w:line="5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during the second quarter of 2014, the Company recorded $4.7 in consulting expenses (recorded in selling, general and administrative expenses) relating to fees incurred as part of Project LaunchPad and one-time CFO transition costs.</w:t>
      </w:r>
    </w:p>
    <w:p>
      <w:pPr>
        <w:spacing w:after="0" w:line="76"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believes that any restructuring costs that may be incurred in future periods will be more than offset by subsequent savings realized from these potential actions and that any related restructuring charges will not have a material impact on the Company's operations or liquidity.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4"/>
          </w:tcPr>
          <w:p>
            <w:pPr>
              <w:ind w:left="300"/>
              <w:spacing w:after="0"/>
              <w:rPr>
                <w:sz w:val="20"/>
                <w:szCs w:val="20"/>
                <w:color w:val="auto"/>
              </w:rPr>
            </w:pPr>
            <w:r>
              <w:rPr>
                <w:rFonts w:ascii="Arial" w:cs="Arial" w:eastAsia="Arial" w:hAnsi="Arial"/>
                <w:sz w:val="18"/>
                <w:szCs w:val="18"/>
                <w:color w:val="auto"/>
              </w:rPr>
              <w:t>Three Months Ended June 30,</w:t>
            </w:r>
          </w:p>
        </w:tc>
        <w:tc>
          <w:tcPr>
            <w:tcW w:w="15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567"/>
        </w:trPr>
        <w:tc>
          <w:tcPr>
            <w:tcW w:w="1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8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increase in interest expense for the three months ended June 30, 2015 as compared with corresponding period in 2014 was primarily due to the issuance, in the first quarter of 2015, of $3,900.0 in debt and other financing costs in connection with the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212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300"/>
              <w:spacing w:after="0"/>
              <w:rPr>
                <w:sz w:val="20"/>
                <w:szCs w:val="20"/>
                <w:color w:val="auto"/>
              </w:rPr>
            </w:pPr>
            <w:r>
              <w:rPr>
                <w:rFonts w:ascii="Arial" w:cs="Arial" w:eastAsia="Arial" w:hAnsi="Arial"/>
                <w:sz w:val="18"/>
                <w:szCs w:val="18"/>
                <w:color w:val="auto"/>
              </w:rPr>
              <w:t>Three Months Ended June 30,</w:t>
            </w:r>
          </w:p>
        </w:tc>
        <w:tc>
          <w:tcPr>
            <w:tcW w:w="160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2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for the three months ended June 30, 2015 was due to the liquidation of one of the joint venture partnerships on June 30,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jc w:val="center"/>
              <w:ind w:right="5420"/>
              <w:spacing w:after="0"/>
              <w:rPr>
                <w:sz w:val="20"/>
                <w:szCs w:val="20"/>
                <w:color w:val="auto"/>
              </w:rPr>
            </w:pPr>
            <w:r>
              <w:rPr>
                <w:rFonts w:ascii="Arial" w:cs="Arial" w:eastAsia="Arial" w:hAnsi="Arial"/>
                <w:sz w:val="18"/>
                <w:szCs w:val="18"/>
                <w:b w:val="1"/>
                <w:bCs w:val="1"/>
                <w:color w:val="auto"/>
                <w:w w:val="91"/>
              </w:rPr>
              <w:t>Other, net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160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jc w:val="center"/>
              <w:ind w:right="5420"/>
              <w:spacing w:after="0"/>
              <w:rPr>
                <w:sz w:val="20"/>
                <w:szCs w:val="20"/>
                <w:color w:val="auto"/>
              </w:rPr>
            </w:pPr>
            <w:r>
              <w:rPr>
                <w:rFonts w:ascii="Arial" w:cs="Arial" w:eastAsia="Arial" w:hAnsi="Arial"/>
                <w:sz w:val="18"/>
                <w:szCs w:val="18"/>
                <w:color w:val="auto"/>
                <w:w w:val="87"/>
              </w:rPr>
              <w:t>Other,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7"/>
        </w:trPr>
        <w:tc>
          <w:tcPr>
            <w:tcW w:w="7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decrease in other, net for the three months ended June 30, 2015, is due to a gain on the sale of the remaining investment of an equity investment in the second quarter of 2014, along with approximately $1.0 of foreign currency transaction losses recorded in the second quarter of 2015.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02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tax</w:t>
            </w:r>
          </w:p>
        </w:tc>
        <w:tc>
          <w:tcPr>
            <w:tcW w:w="1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36.2%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7"/>
              </w:rPr>
              <w:t>39.1%</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rate was favorably impacted by foreign earnings taxed at lower rates than the U.S. statutory tax rate. The Company considers substantially all of the ongoing foreign earnings to be permanently reinvested overseas.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Six months ended June 30, 2015 compared with six months ended June 30, 2014</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92"/>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
        </w:trPr>
        <w:tc>
          <w:tcPr>
            <w:tcW w:w="10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106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0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LCD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3,047.0</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2,866.6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10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CDD</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1,072.7%</w:t>
            </w:r>
          </w:p>
        </w:tc>
      </w:tr>
      <w:tr>
        <w:trPr>
          <w:trHeight w:val="25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3,991.0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2,947.1</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10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net revenues for the six months ended June 30, 2015 as compared with the corresponding period in 2014 was due to the Acquisition along with strong organic volume growth in LCD and tuck-in acquisitions, partially offset by price, mix and currency.</w:t>
      </w:r>
    </w:p>
    <w:p>
      <w:pPr>
        <w:spacing w:after="0" w:line="7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LCD net revenues for the six months ended June 30, 2015 were $3,047.0, an increase of 6.3% over net revenues of $2,866.6 in the corresponding period in 2014. The increase in net revenues was driven by growth in volume, measured by requisitions, of 5.1%, of which Beacon LBS, the Company's technology-enabled solution providing point-of-care decision support, contributed 0.6%. The increase in net revenues was unfavorably impacted by (0.7%) of currency and (0.2%) on revenue per requisition. In addition, acquisitions added 2.1% to net revenues.</w:t>
      </w:r>
    </w:p>
    <w:p>
      <w:pPr>
        <w:spacing w:after="0" w:line="7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CDD net revenues for the six months ended June 30, 2015 were $944.0, an increase of 1,072.7% over net revenues of $80.5 in the corresponding period in 2014. The increase in net revenues was due to the Acquisition.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871"/>
        </w:trPr>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Net Cost of Revenues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5"/>
          </w:tcPr>
          <w:p>
            <w:pPr>
              <w:ind w:left="460"/>
              <w:spacing w:after="0"/>
              <w:rPr>
                <w:sz w:val="20"/>
                <w:szCs w:val="20"/>
                <w:color w:val="auto"/>
              </w:rPr>
            </w:pPr>
            <w:r>
              <w:rPr>
                <w:rFonts w:ascii="Arial" w:cs="Arial" w:eastAsia="Arial" w:hAnsi="Arial"/>
                <w:sz w:val="18"/>
                <w:szCs w:val="18"/>
                <w:color w:val="auto"/>
              </w:rPr>
              <w:t>Six Months Ended June 30,</w:t>
            </w:r>
          </w:p>
        </w:tc>
        <w:tc>
          <w:tcPr>
            <w:tcW w:w="1540" w:type="dxa"/>
            <w:vAlign w:val="bottom"/>
          </w:tcPr>
          <w:p>
            <w:pPr>
              <w:spacing w:after="0"/>
              <w:rPr>
                <w:sz w:val="24"/>
                <w:szCs w:val="24"/>
                <w:color w:val="auto"/>
              </w:rPr>
            </w:pPr>
          </w:p>
        </w:tc>
      </w:tr>
      <w:tr>
        <w:trPr>
          <w:trHeight w:val="34"/>
        </w:trPr>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5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cost of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2,593.2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1,861.7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6120" w:type="dxa"/>
            <w:vAlign w:val="bottom"/>
            <w:gridSpan w:val="3"/>
          </w:tcPr>
          <w:p>
            <w:pPr>
              <w:ind w:left="40"/>
              <w:spacing w:after="0"/>
              <w:rPr>
                <w:sz w:val="20"/>
                <w:szCs w:val="20"/>
                <w:color w:val="auto"/>
              </w:rPr>
            </w:pPr>
            <w:r>
              <w:rPr>
                <w:rFonts w:ascii="Arial" w:cs="Arial" w:eastAsia="Arial" w:hAnsi="Arial"/>
                <w:sz w:val="18"/>
                <w:szCs w:val="18"/>
                <w:color w:val="auto"/>
              </w:rPr>
              <w:t>Cost of revenues as a % of net revenue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Net cost of revenues (primarily laboratory and distribution costs) increased 39.3% during the six months ended June 30, 2015 as compared with the corresponding period in 2014 period primarily due to the Acquisition. Also, during the six months ended June 30, 2015, the Company recorded $32.8 of compensation expense in cost of sales for the acceleration of Covance equity award payouts triggered by the Acquisition.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5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832.8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 as a % of net revenues</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Selling, general and administrative expenses as a percentage of total revenues increased to 20.9% during the six months ended June 30, 2015 as compared to 19.8% during the corresponding period in 2014. The increase in selling, general and administrative expenses as a percentage of net revenues was primarily due to $80.6 of transaction costs for the Acquisition as well as consulting fees and expenses of $11.9 related to Project LaunchPad and Covance integration costs offset by a reduction in bad debt expense. Bad debt expense as a percentage of net revenues for LCD decreased to 4.4% for that segment during the six months ended June 30, 2015 compared to 4.7% during the corresponding period in 2014. This improvement in LCD's bad debt experience is a result of the segment's focus on improved cash collections and revenue retention initiatives relating to Project LauchPad.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Other Assets</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99"/>
        </w:trPr>
        <w:tc>
          <w:tcPr>
            <w:tcW w:w="350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960" w:type="dxa"/>
            <w:vAlign w:val="bottom"/>
            <w:gridSpan w:val="4"/>
          </w:tcPr>
          <w:p>
            <w:pPr>
              <w:jc w:val="right"/>
              <w:ind w:right="90"/>
              <w:spacing w:after="0"/>
              <w:rPr>
                <w:sz w:val="20"/>
                <w:szCs w:val="20"/>
                <w:color w:val="auto"/>
              </w:rPr>
            </w:pPr>
            <w:r>
              <w:rPr>
                <w:rFonts w:ascii="Arial" w:cs="Arial" w:eastAsia="Arial" w:hAnsi="Arial"/>
                <w:sz w:val="18"/>
                <w:szCs w:val="18"/>
                <w:color w:val="auto"/>
              </w:rPr>
              <w:t>Six Months Ended June 30,</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
        </w:trPr>
        <w:tc>
          <w:tcPr>
            <w:tcW w:w="3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84"/>
        </w:trPr>
        <w:tc>
          <w:tcPr>
            <w:tcW w:w="350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tcPr>
          <w:p>
            <w:pPr>
              <w:spacing w:after="0"/>
              <w:rPr>
                <w:sz w:val="24"/>
                <w:szCs w:val="24"/>
                <w:color w:val="auto"/>
              </w:rPr>
            </w:pPr>
          </w:p>
        </w:tc>
        <w:tc>
          <w:tcPr>
            <w:tcW w:w="1720" w:type="dxa"/>
            <w:vAlign w:val="bottom"/>
            <w:tcBorders>
              <w:bottom w:val="single" w:sz="8" w:color="CCEEFF"/>
            </w:tcBorders>
          </w:tcPr>
          <w:p>
            <w:pPr>
              <w:jc w:val="right"/>
              <w:ind w:right="430"/>
              <w:spacing w:after="0"/>
              <w:rPr>
                <w:sz w:val="20"/>
                <w:szCs w:val="20"/>
                <w:color w:val="auto"/>
              </w:rPr>
            </w:pPr>
            <w:r>
              <w:rPr>
                <w:rFonts w:ascii="Arial" w:cs="Arial" w:eastAsia="Arial" w:hAnsi="Arial"/>
                <w:sz w:val="18"/>
                <w:szCs w:val="18"/>
                <w:color w:val="auto"/>
              </w:rPr>
              <w:t>Change</w:t>
            </w:r>
          </w:p>
        </w:tc>
      </w:tr>
      <w:tr>
        <w:trPr>
          <w:trHeight w:val="244"/>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720" w:type="dxa"/>
            <w:vAlign w:val="bottom"/>
          </w:tcPr>
          <w:p>
            <w:pPr>
              <w:jc w:val="right"/>
              <w:spacing w:after="0"/>
              <w:rPr>
                <w:sz w:val="20"/>
                <w:szCs w:val="20"/>
                <w:color w:val="auto"/>
              </w:rPr>
            </w:pPr>
            <w:r>
              <w:rPr>
                <w:rFonts w:ascii="Arial" w:cs="Arial" w:eastAsia="Arial" w:hAnsi="Arial"/>
                <w:sz w:val="18"/>
                <w:szCs w:val="18"/>
                <w:color w:val="auto"/>
              </w:rPr>
              <w:t>2,287.5 %</w:t>
            </w:r>
          </w:p>
        </w:tc>
      </w:tr>
      <w:tr>
        <w:trPr>
          <w:trHeight w:val="27"/>
        </w:trPr>
        <w:tc>
          <w:tcPr>
            <w:tcW w:w="3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7"/>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amortization of intangibles and other assets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83.7 %</w:t>
            </w:r>
          </w:p>
        </w:tc>
      </w:tr>
      <w:tr>
        <w:trPr>
          <w:trHeight w:val="20"/>
        </w:trPr>
        <w:tc>
          <w:tcPr>
            <w:tcW w:w="3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increase in amortization of intangibles and other assets primarily reflects the impact of the Acquisition.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Special Charges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9"/>
        </w:trPr>
        <w:tc>
          <w:tcPr>
            <w:tcW w:w="32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5"/>
          </w:tcPr>
          <w:p>
            <w:pPr>
              <w:ind w:left="400"/>
              <w:spacing w:after="0"/>
              <w:rPr>
                <w:sz w:val="20"/>
                <w:szCs w:val="20"/>
                <w:color w:val="auto"/>
              </w:rPr>
            </w:pPr>
            <w:r>
              <w:rPr>
                <w:rFonts w:ascii="Arial" w:cs="Arial" w:eastAsia="Arial" w:hAnsi="Arial"/>
                <w:sz w:val="18"/>
                <w:szCs w:val="18"/>
                <w:color w:val="auto"/>
              </w:rPr>
              <w:t>Six Months Ended June 30,</w:t>
            </w:r>
          </w:p>
        </w:tc>
        <w:tc>
          <w:tcPr>
            <w:tcW w:w="1560" w:type="dxa"/>
            <w:vAlign w:val="bottom"/>
          </w:tcPr>
          <w:p>
            <w:pPr>
              <w:spacing w:after="0"/>
              <w:rPr>
                <w:sz w:val="24"/>
                <w:szCs w:val="24"/>
                <w:color w:val="auto"/>
              </w:rPr>
            </w:pPr>
          </w:p>
        </w:tc>
      </w:tr>
      <w:tr>
        <w:trPr>
          <w:trHeight w:val="34"/>
        </w:trPr>
        <w:tc>
          <w:tcPr>
            <w:tcW w:w="3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32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32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six months of 2015, the Company recorded net restructuring and other special charges of $33.6. The charges were comprised of $9.5 related to severance and other personnel costs along with $24.7 in costs associated with facility closures and impairment of certain information technology assets. These charges were offset by the reversal of previously established reserves of $0.6 in unused facility-related costs.</w:t>
      </w:r>
    </w:p>
    <w:p>
      <w:pPr>
        <w:spacing w:after="0" w:line="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during the first six months of 2015, the Company recorded $11.9 in consulting expenses (recorded in selling, general and administrative expenses) relating to fees incurred as part of Project LaunchPad as well as Covance integration costs. The Company also recorded $166.0 of deal costs related to the Acquisition, of which $80.6 is included in selling, general and administrative expenses, $32.8 is included in cost of revenue, and $52.6 is included in interest expense.</w:t>
      </w:r>
    </w:p>
    <w:p>
      <w:pPr>
        <w:spacing w:after="0" w:line="9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During the first six months of 2014, the Company recorded net restructuring and other special charges of $9.6. The charges were comprised of $5.2 related to severance and other personnel costs along with $5.1 in costs associated with facility closures and general integration initiatives. These charges were offset by the reversal of previously established reserves of $0.2 in unused severance and $0.5 in unused facility-related costs.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during the second quarter of 2014, the Company recorded $4.7 in consulting expenses (recorded in selling, general and administrative expenses) relating to fees incurred as part of Project LaunchPad, as well as one-time CFO transition costs.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4"/>
          </w:tcPr>
          <w:p>
            <w:pPr>
              <w:ind w:left="400"/>
              <w:spacing w:after="0"/>
              <w:rPr>
                <w:sz w:val="20"/>
                <w:szCs w:val="20"/>
                <w:color w:val="auto"/>
              </w:rPr>
            </w:pPr>
            <w:r>
              <w:rPr>
                <w:rFonts w:ascii="Arial" w:cs="Arial" w:eastAsia="Arial" w:hAnsi="Arial"/>
                <w:sz w:val="18"/>
                <w:szCs w:val="18"/>
                <w:color w:val="auto"/>
              </w:rPr>
              <w:t>Six Months Ended June 30,</w:t>
            </w:r>
          </w:p>
        </w:tc>
        <w:tc>
          <w:tcPr>
            <w:tcW w:w="15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34"/>
        </w:trPr>
        <w:tc>
          <w:tcPr>
            <w:tcW w:w="128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7"/>
        </w:trPr>
        <w:tc>
          <w:tcPr>
            <w:tcW w:w="128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increase in interest expense for the six months ended June 30, 2015 as compared with the corresponding period in 2014 was primarily due to the issuance, in the first quarter of 2015, of $3,900.0 in debt and other financing costs in connection with the Acquisition. Another component of the increase was a $37.4 make-whole payment that was required in connection with the prepayment of the $250.0 Covance senior notes. In addition, the Company recorded $15.2 in interest expense relating to the deferred financing costs associated with the Company's previous credit agreement and the bridge financing facilities used to complete the Acquisition. The bridge facility was repaid in March 2015.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212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gridSpan w:val="5"/>
          </w:tcPr>
          <w:p>
            <w:pPr>
              <w:ind w:left="420"/>
              <w:spacing w:after="0"/>
              <w:rPr>
                <w:sz w:val="20"/>
                <w:szCs w:val="20"/>
                <w:color w:val="auto"/>
              </w:rPr>
            </w:pPr>
            <w:r>
              <w:rPr>
                <w:rFonts w:ascii="Arial" w:cs="Arial" w:eastAsia="Arial" w:hAnsi="Arial"/>
                <w:sz w:val="18"/>
                <w:szCs w:val="18"/>
                <w:color w:val="auto"/>
              </w:rPr>
              <w:t>Six Months Ended June 30,</w:t>
            </w:r>
          </w:p>
        </w:tc>
        <w:tc>
          <w:tcPr>
            <w:tcW w:w="1600" w:type="dxa"/>
            <w:vAlign w:val="bottom"/>
          </w:tcPr>
          <w:p>
            <w:pPr>
              <w:spacing w:after="0"/>
              <w:rPr>
                <w:sz w:val="24"/>
                <w:szCs w:val="24"/>
                <w:color w:val="auto"/>
              </w:rPr>
            </w:pPr>
          </w:p>
        </w:tc>
      </w:tr>
      <w:tr>
        <w:trPr>
          <w:trHeight w:val="34"/>
        </w:trPr>
        <w:tc>
          <w:tcPr>
            <w:tcW w:w="2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21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2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All of these partnerships reside within LCD. The decrease in income was due to liquidation of one of the partnerships effective June 30,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jc w:val="center"/>
              <w:ind w:right="5420"/>
              <w:spacing w:after="0"/>
              <w:rPr>
                <w:sz w:val="20"/>
                <w:szCs w:val="20"/>
                <w:color w:val="auto"/>
              </w:rPr>
            </w:pPr>
            <w:r>
              <w:rPr>
                <w:rFonts w:ascii="Arial" w:cs="Arial" w:eastAsia="Arial" w:hAnsi="Arial"/>
                <w:sz w:val="18"/>
                <w:szCs w:val="18"/>
                <w:b w:val="1"/>
                <w:bCs w:val="1"/>
                <w:color w:val="auto"/>
                <w:w w:val="91"/>
              </w:rPr>
              <w:t>Other, net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5"/>
          </w:tcPr>
          <w:p>
            <w:pPr>
              <w:ind w:left="400"/>
              <w:spacing w:after="0"/>
              <w:rPr>
                <w:sz w:val="20"/>
                <w:szCs w:val="20"/>
                <w:color w:val="auto"/>
              </w:rPr>
            </w:pPr>
            <w:r>
              <w:rPr>
                <w:rFonts w:ascii="Arial" w:cs="Arial" w:eastAsia="Arial" w:hAnsi="Arial"/>
                <w:sz w:val="18"/>
                <w:szCs w:val="18"/>
                <w:color w:val="auto"/>
              </w:rPr>
              <w:t>Six Months Ended June 30,</w:t>
            </w:r>
          </w:p>
        </w:tc>
        <w:tc>
          <w:tcPr>
            <w:tcW w:w="160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7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00" w:type="dxa"/>
            <w:vAlign w:val="bottom"/>
            <w:gridSpan w:val="2"/>
            <w:shd w:val="clear" w:color="auto" w:fill="CCEEFF"/>
          </w:tcPr>
          <w:p>
            <w:pPr>
              <w:jc w:val="center"/>
              <w:ind w:right="5420"/>
              <w:spacing w:after="0"/>
              <w:rPr>
                <w:sz w:val="20"/>
                <w:szCs w:val="20"/>
                <w:color w:val="auto"/>
              </w:rPr>
            </w:pPr>
            <w:r>
              <w:rPr>
                <w:rFonts w:ascii="Arial" w:cs="Arial" w:eastAsia="Arial" w:hAnsi="Arial"/>
                <w:sz w:val="18"/>
                <w:szCs w:val="18"/>
                <w:color w:val="auto"/>
                <w:w w:val="87"/>
              </w:rPr>
              <w:t>Other,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7"/>
        </w:trPr>
        <w:tc>
          <w:tcPr>
            <w:tcW w:w="7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decrease in other, net for the six months ended June 30, 2015, was due to a gain on the sale of investment of an equity investment in 2014, along with approximately $1.0 of foreign currency transaction losses recorded in the second quarter of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color w:val="auto"/>
              </w:rPr>
              <w:t>Six Months Ended June 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34"/>
        </w:trPr>
        <w:tc>
          <w:tcPr>
            <w:tcW w:w="160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earnings before tax</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tax rate for the six months ended June 30, 2015 was negatively impacted by first quarter non-deductible deal costs of approximately $19.6 associated with the Acquisition and one-time tax charges of $12.8 to realign the Company's legal entity structure to facilitate the Acquisition. The rate was favorably impacted by foreign earnings taxed at lower rates than the U.S. statutory tax rate. The Company considers substantially all of the ongoing foreign earnings to be permanently reinvested overseas.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(dollars and shares in millions)</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Unaudited Condensed Consolidated Financial Statements.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summary the Company's cash flows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58"/>
        </w:trPr>
        <w:tc>
          <w:tcPr>
            <w:tcW w:w="560" w:type="dxa"/>
            <w:vAlign w:val="bottom"/>
            <w:tcBorders>
              <w:top w:val="single" w:sz="8" w:color="0000EE"/>
            </w:tcBorders>
          </w:tcPr>
          <w:p>
            <w:pPr>
              <w:spacing w:after="0"/>
              <w:rPr>
                <w:sz w:val="24"/>
                <w:szCs w:val="24"/>
                <w:color w:val="auto"/>
              </w:rPr>
            </w:pPr>
          </w:p>
        </w:tc>
        <w:tc>
          <w:tcPr>
            <w:tcW w:w="7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 June 30,</w:t>
            </w:r>
          </w:p>
        </w:tc>
      </w:tr>
      <w:tr>
        <w:trPr>
          <w:trHeight w:val="34"/>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6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r>
      <w:tr>
        <w:trPr>
          <w:trHeight w:val="34"/>
        </w:trPr>
        <w:tc>
          <w:tcPr>
            <w:tcW w:w="56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7"/>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on changes in cash and cash equivalents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6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0"/>
        </w:trPr>
        <w:tc>
          <w:tcPr>
            <w:tcW w:w="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Cash and cash equivalents at June 30, 2015 and 2014 totaled $619.0 and $479.5, respectively. Cash and cash equivalents consist of highly liquid instruments, such as commercial paper, time deposits, and other money market investments, which have original maturities of three months or less.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During the six months ended June 30, 2015 and 2014, the Company's operations generated $309.8 of cash as compared to $349.7 in 2014. The $39.9 decrease in cash provided from operations in 2015 as compared with the corresponding 2014 period is primarily due to lower net earnings in conjunction with the closing of the Acquisition. The Company’s earnings were impacted by restructuring and special items of $205.6 during the first six months of 2015, $153.5 of which represents cash payments in connection with the Acquisition, compared to $9.6 during the same period in 2014. Excluding the cash payments made in connection with the Acquisition, CDD used over $25.0 in operating cash due to seasonal use of working capital.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cash used in investing activities for the six months ended June 30, 2015 was $3,783.6 as compared to $147.2 for the six months ended June 30, 2014. The $3,636.4 increase in cash used in investing activities was primarily due to cash paid for the Acquisition of $4,388.2, net of cash acquired of $780.8. Capital expenditures were $102.9 and $104.6 for the six months ended June 30, 2015 and 2014, respectively. The Company expects capital expenditures of approximately $270.0 to $295.0 in 2015. The Company intends to continue to pursue acquisitions to fund growth and make important investments in its business, including in information technology, to improve efficiency and enable the execution of the Company's strategic vision. Such expenditures are expected to be funded by cash flow from operations, as well as borrowings under the Company's Revolving Credit Facility or any successor facility, as needed.</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six months of 2014, the Company received cash proceeds of $30.3 and recorded a net gain of $20.3 on the sale of an investment. The investment was one of several strategic investments the Company has made in the area of diagnostics.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provided by financing activities for the six months ended June 30, 2015 was $3,510.9 compared to $123.4 net cash used in financing activities for the six months ended June 30, 2014. The $3,634.3 increase in the cash provided by financing activities for six months ended June 30, 2015, as compared to the prior year, was primarily a result of $4,360.0 of financing proceeds for the Acquisition offset by repayments and debt issue costs of $906.7. The remainder of the period-over-period increase is primarily due to the suspension of share repurchases following the announcement of the Acquisition in the fourth quarter of 2014, compared to $164.2 of share repurchases for the first six months of 2014.</w:t>
      </w:r>
    </w:p>
    <w:p>
      <w:pPr>
        <w:spacing w:after="0" w:line="7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its final financing of the Acquisition, the Company entered into a $1,000.0 term loan and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The term loan credit facility will mature five years after the closing date of the Acquisition and may be prepaid without penalty. The term loan balance at June 30, 2015 was $840.0.</w:t>
      </w:r>
    </w:p>
    <w:p>
      <w:pPr>
        <w:spacing w:after="0" w:line="6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new revolving credit facility also provides for a subfacility of up to $100.0 for swing line borrowings and a subfacility of up to $125.0 for issuances of letters of credit. The new revolving credit facility is permitted to be used for general corporate purposes, including working capital, capital expenditures, funding of share repurchases and certain other payments, and acquisitions and other investments. There was $0.0 and $0.0 outstanding on the Company's revolving credit facility at June 30, 2015 and December 31, 2014,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8"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entered on the terms set forth in the bridge facility commitment letter for the $400.0 60-day cash bridge tranche. The 60-day cash bridge term loan credit facility was advanced in full on February 19, 2015, the date of the Company’s completion of the Acquisition. The 60-day cash bridge term loan credit facility was repaid in March 2015.</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the term loan credit facility and the new revolving credit facility, the Company is subject to negative covenants limiting subsidiary indebtedness and certain other covenants typical for investment grade-rated borrowers and the Company is required to maintain a leverage ratio that varies. Prior to the Acquisition Date, the leverage ratio was required to have been no greater than 3.75 to 1.00, calculated by excluding the $2,900.0 Acquisition Notes. From and after the Acquisition Date, the leverage ratio must be no greater than 4.75 to 1.00 with respect to the last day of each of the first four fiscal quarters ending on or after the closing date, 4.25 to 1.00 with respect to the last day of each of the fifth through eighth fiscal quarters ending after the closing date, and 3.75 to 1.00 with respect to the last day of each fiscal quarter ending thereafter. The Company was in compliance with all covenants in the Credit Agreement at June 30, 2015. As of June 30, 2015, the ratio of total debt to consolidated EBITDA was 4.0 to 1.0.</w:t>
      </w:r>
    </w:p>
    <w:p>
      <w:pPr>
        <w:spacing w:after="0" w:line="8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new revolving credit facility will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new revolving credit facility at a per annum rate equal to the applicable margin for LIBOR loans, and the Company is required to pay a facility fee on the aggregate commitments under the new revolving credit facility, at a per annum rate ranging from 0.125% to 0.40%. The interest margin applicable to the credit facilities, and the facility fee and letter of credit fees payable under the new revolving credit facility, are based on the Company’s senior credit ratings as determined by Standard &amp; Poor’s and Moody’s, which are currently BBB and Baa2,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2015, the effective interest rate on the Revolving Credit Facility was 1.29% and the effective interest rate on the term loan was 1.44%.</w:t>
      </w:r>
    </w:p>
    <w:p>
      <w:pPr>
        <w:spacing w:after="0" w:line="237"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As of June 30, 2015, the Company provided letters of credit aggregating $45.4, primarily in connection with certain insurance programs. Letters of credit provided by the Company are issued under the Company's Revolving Credit Facility and are renewed annually, around mid-year.</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of June 30, 2015, the Company had outstanding authorization from the Board of Directors to purchase up to $789.5 of Company common stock based on settled trades as of that date. Following the announcement of the Acquisition in the fourth quarter of 2014, the Company suspended its share repurchases. The Company does not anticipate resuming its share repurchase activity until it approaches its targeted leverage ratio of total debt to consolidated EBITDA of 2.5 to 1.0.</w:t>
      </w:r>
    </w:p>
    <w:p>
      <w:pPr>
        <w:spacing w:after="0" w:line="18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had a $28.3 and $24.9 reserve for unrecognized income tax benefits, including interest and penalties as of June 30, 2015 and December 31, 2014, respectively. The Acquisition accounted for substantially all of the increase. Substantially all of these tax reserves are classified in other long-term liabilities in the Company's Condensed Consolidated Balance Sheets at June 30, 2015 and December 31, 2014.</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Zero-coupon Subordinated Notes</w:t>
      </w:r>
    </w:p>
    <w:p>
      <w:pPr>
        <w:spacing w:after="0" w:line="11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March 11, 2015, the Company announced that for the period from March 12, 2015 to September 11, 2015, the zero-coupon subordinated notes will accrue contingent cash interest at a rate of no less than 0.125% of the average market price of a zero-coupon subordinated note for the five trading days ended March 6, 2015, in addition to the continued accrual of the original issue discount.</w:t>
      </w:r>
    </w:p>
    <w:p>
      <w:pPr>
        <w:spacing w:after="0" w:line="87"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On July 1, 2015,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July 1, 2015, through the close of business on the last business day of the calendar quarter, which is 5:00 p.m., New York City time, on Wednesday, September 30, 2015. If notices of conversion are received, the Company plans to settle the cash portion of the conversion obligation (i.e., the accreted principal amount of the securities to be converted) with cash on hand and/or borrowings under the Revolving Credit Facility. The remaining amount, if any, will be settled with shares of common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ind w:right="20" w:firstLine="243"/>
        <w:spacing w:after="0" w:line="279" w:lineRule="auto"/>
        <w:rPr>
          <w:sz w:val="20"/>
          <w:szCs w:val="20"/>
          <w:color w:val="auto"/>
        </w:rPr>
      </w:pPr>
      <w:r>
        <w:rPr>
          <w:rFonts w:ascii="Arial" w:cs="Arial" w:eastAsia="Arial" w:hAnsi="Arial"/>
          <w:sz w:val="17"/>
          <w:szCs w:val="17"/>
          <w:color w:val="auto"/>
        </w:rPr>
        <w:t>As a result of the Acquisition, the Company assumed privately placed of senior notes in an aggregate principal amount of $250.0 issued pursuant to a Note Purchase Agreement dated October 2, 2013. On March 5, 2015, the Company caused Covance to prepay all of the outstanding Senior Notes at 100 percent of the principal amount plus accrued interest, and a total make-whole amount of $37.4 which is included in interest expense. The Note Purchase Agreement terminated effective March 5, 2015 in connection with the prepayment of the Senior Notes.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Credit Ratings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Standard and Poor’s contribute to its ability to access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2014, the FASB issued a new accounting standard on discontinued operations that significantly changes criteria for discontinued operations and disclosures for disposals. Under this new standard, to be a discontinued operation, a component or group of components must represent a strategic shift that has (or will have) a major effect on an entity's operations and financial results. Expanded disclosures for discontinued operations include more details about earnings and balance sheet accounts, total operating and investing cash flows, and cash flows resulting from continuing involvement. The Company has adopted the guidance of this new standard and will apply it prospectively to all new disposals of components and new classifications as held for sale. The adoption of this standard did not have a material impact on the consolidated financial statements.</w:t>
      </w:r>
    </w:p>
    <w:p>
      <w:pPr>
        <w:spacing w:after="0" w:line="8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the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Generally Accepted Accounting Principles.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 The Company is currently evaluating the expected impact of the standard.</w:t>
      </w:r>
    </w:p>
    <w:p>
      <w:pPr>
        <w:spacing w:after="0" w:line="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August 2014, the FASB issued a new accounting standard that explicitly requires management to assess an entity's ability to continue as a going concern, and to provide related financial statement footnote disclosures in certain circumstances. Under this standard, in connection with each annual and interim period, management must assess whether there is substantial doubt about an entity's ability to continue as a going concern within one year after the financial statements are issued (or available to be issued when applicable). Management shall consider relevant conditions and events that are known and reasonably knowable at such issuance date. Substantial doubt about an entity's ability to continue as a going concern exists if it is probable that the entity will be unable to meet its obligations as they become due within one year after issuance date. Disclosures will be required if conditions or events give rise to substantial doubt. This standard is effective for the Company for the annual period ending after December 15, 2016, with early adoption permitted. The adoption of this standard is not expected to have a material impact on the consolidated financial statements.</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2015, the FASB issued an update which requires debt issuance costs to be presented in the balance sheet as a direct deduction from the associated debt liability. This standard is effective for the Company beginning January 1, 2016. The new guidance will be applied on a retrospective basis. The adoption of this standard is not expected to have a material impact on the consolidated financial statements.</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May 2015, the FASB issued a new accounting standard allowing entities to exclude investments measured at new asset value per share under the existing practical expedient from the fair value hierarchy. In addition, when the net asset value practical expedient is not applied to eligible investments, certain other disclosures are no longer required. The standard will be effective for the Company beginning January 1, 2016, with early adoption permitted. The adoption of this standard is not expected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Although, as set forth below, the Company's zero-coupon subordinated notes contain features that are considered to be embedded derivative instruments, the Company does not hold or issue derivative financial instruments for trading purposes. The Company does not believe that its exposure to market risk is material to the Company's financial position or results of operations.</w:t>
      </w:r>
    </w:p>
    <w:p>
      <w:pPr>
        <w:spacing w:after="0" w:line="94"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62" w:lineRule="exact"/>
        <w:rPr>
          <w:sz w:val="20"/>
          <w:szCs w:val="20"/>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Borrowings under the Company's Revolving Credit Facility are subject to variable interest rates, unless fixed through interest rate swaps or other agreements.</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has operations throughout the United States and other countries including Belgium, Canada, China, France, Germany, Hong Kong, Japan, Singapore, Switzerland, the United Kingdom and the United Arab Emirates, and, accordingly, the earnings and cash flows generated from these operations are subject to foreign currency exchange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Quarterly Report on Form 10-Q, the Company carried out, under the supervision and with the participation of the Company’s management, including the Company’s Chief Executive Officer and Chief Financial Officer, an evaluation of the effectiveness of the design and operation of the Company’s disclosure controls and procedures (as defined in Rules13-a-15(e) and 15d-15(e) of the Securities Exchange Act of 1934). Based on the foregoing, the Company’s Chief Executive Officer and Chief Financial Officer concluded that the Company’s disclosure controls and procedures were effective as of June 30,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19, 2015, the Company completed the acquisition of Covance Inc. The Company’s management has extended its oversight and monitoring processes that support internal control over financial reporting to include Covance's operations. The Company’s management is continuing to integrate the acquired operations of Covance into the Company’s overall internal control over financial reporting process. There have been no other changes in the Company’s internal control over financial reporting (as defined in Exchange Act Rules 13a-15(f) and 15d-15(f)) during the fiscal quarter ended June 30, 2015 that have materially affected, or are reasonably likely to materially affect, the Company’s internal control over financial reporting.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See Note 9 (Commitments and Contingencies) to the Company’s unaudited condensed consolidated financial statements, above, which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risk factor set forth below revises and supplements the corresponding risk factor set forth in Part I - Item 1A of the Company’s Annual Report on Form 10-K for the year ended December 31, 2014. With the exception of the following, there have been no material changes in the risk factors that appear in Part 1 - Item 1A of the Company’s Annual Report on Form 10-K for the year ended December 31, 2014.</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federal HIPAA privacy and security regulations, including the expanded requirements under HITECH, establish comprehensive federal standards with respect to the use and disclosure of protected health information by health plans, health care providers, and health care clearinghouses, in addition to setting standards to protect the confidentiality, integrity and security of protected health information. The regulations establish a complex regulatory framework on a variety of subjects, including:</w:t>
      </w:r>
    </w:p>
    <w:p>
      <w:pPr>
        <w:spacing w:after="0" w:line="146" w:lineRule="exact"/>
        <w:rPr>
          <w:sz w:val="20"/>
          <w:szCs w:val="20"/>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circumstances under which the use and disclosure of protected health information are permitted or required without a specific authorization by the patient, including but not limited to treatment purposes, activities to obtain payments for the Company’s services, and its health care operations activities;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patient’s right to access, amend and receive an accounting of certain disclosures of protected health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content of notices of privacy practices for protected health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protected health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protection of computing systems maintaining PHI.</w:t>
      </w:r>
    </w:p>
    <w:p>
      <w:pPr>
        <w:spacing w:after="0" w:line="21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Company has implemented policies and procedures related to compliance with the HIPAA privacy and security regulations as required by law. The privacy and security regulations establish a “floor” and do not supersede state laws that are more stringent. Therefore, the Company is required to comply with both federal privacy and security regulations and varying state privacy and security laws and regulations. The federal privacy regulations restrict the Company’s ability to use or disclose patient identifiable laboratory data, without patient authorization, for purposes other than payment, treatment or health care operations (as defined by HIPAA), except for disclosures for various public policy purposes and other permitted purposes outlined in the privacy regulations. HIPAA, as amended by HITECH, provides for significant fines and other penalties for wrongful use or disclosure of protected health information in violation of privacy and security regulations, including potential civil and criminal fines and penalties. In addition, other federal and state laws that protect the privacy and security of patient information may be subject to enforcement and interpretations by various governmental authorities and courts resulting in complex compliance issues. For instance, the Company could incur damages under state laws pursuant to an action brought by a private party for the wrongful use or disclosure or confidential health information or other private personal information.</w:t>
      </w:r>
    </w:p>
    <w:p>
      <w:pPr>
        <w:spacing w:after="0" w:line="7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laws and regulations of the European Union, as well as other countries, protect the use and disclosure of personal information. Compliance with these laws and regulations may result in increased costs and failure to comply may result in significant fines, penalties and damage to the Company’s reputation with customers.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Continued and increased consolidation of managed care companies, pharmaceutical companies, health systems, physicians and other customers could adversely affect the Company's business.</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Many healthcare companies and providers, including managed care companies, pharmaceutical companies, health systems and physician practices are consolidating through mergers, acquisitions, joint ventures and other types of transactions and collaborations. As the healthcare industry consolidates, competition to provide goods and services will become more intense. This competition and increased customer bargaining power may adversely affect the price and volume of the Company’s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disruption in services or supplies provided by third parties, including transportation, could adversely affect the Company’s business.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depends on third parties to provide services critical to the Company’s business. The Company's central laboratories and certain of the Company's other businesses are heavily reliant on air travel for transport of clinical trial and diagnostic testing supplies and specimens, research products, and people, and a significant disruption to the air travel system, or the Company's access to it, could have a material adverse effect on the Company's business. The Company depends on a limited number of suppliers for certain services and for certain animal populations. Disruptions to the continued supply of these services or products may arise from export/import restrictions or embargoes, foreign political or economic instability, or otherwise. Disruption of supply could have a material adverse effect on the Company’s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preclinical and central laboratory facilities are highly specific and would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bears financial risk for contracts that are underpriced or for which there are cost overruns.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CDD contracts are often structured as fixed price for fixed contracted services or fee-for-service with a cap, the Company bears the financial risk if CDD underprices contracts or contract costs otherwise exceed CDD estimates. Such underpricing or significant cost overruns could have a material adverse effect on the Company's business, results of operations, financial condition,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17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operating results, particularly in the CDD segment, may vary significantly from quarter to quarter and are influenced by factors over which the Company has little control such as:</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groups of projects;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mix of the Company's services.</w:t>
      </w:r>
    </w:p>
    <w:p>
      <w:pPr>
        <w:spacing w:after="0" w:line="2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 care reform and related products (e.g. Health Insurance Exchanges), changes in government payment and reimbursement systems, or changes in payer mix, including an increase in capitated reimbursement mechanisms and evolving delivery models, could have a material adverse impact on the Company's net revenues, profitability and cash flow.</w:t>
      </w:r>
    </w:p>
    <w:p>
      <w:pPr>
        <w:spacing w:after="0" w:line="18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Testing services are billed to private patients, Medicare, Medicaid, commercial clients, managed care organizations ("MCOs") and other insurance companies. Tests ordered by a physician may be billed to different payers depending on the medical insurance benefits of a particular patient. Most testing services are billed to a party other than the physician or other authorized person that ordered the test. Increases in the percentage of services billed to government and managed care payers could have an adverse impact on the Company’s net revenues.</w:t>
      </w:r>
    </w:p>
    <w:p>
      <w:pPr>
        <w:spacing w:after="0" w:line="18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various MCOs have different contracting philosophies, which are influenced by the design of the products they offer to their members. Some MCOs contract with a limited number of clinical laboratories and engage in direct negotiation of the rates reimbursed to participating laboratories. Other MCOs adopt broader networks with a generally largely uniform fee structure for participating clinical laboratories. In addition, some MCOs have used capitation in an effort to fix the cost of laboratory testing services for their enrollees. Under a capitated reimbursement mechanism, the clinical laboratory and the managed care organization agree to a per member, per month payment to pay for all authorized laboratory tests ordered during the month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physician for the members, regardless of the number or cost of the tests actually performed. Capitation shifts the risk of increased test utilization (and the underlying mix of testing services) to the clinical laboratory provider. The Company makes significant efforts to ensure that its services are adequately compensated in its capitated arrangements. For the year ended December 31, 2014, such capitated contracts accounted for approximately $211.1 million, or 3.7%, of the Company's net sales.</w:t>
      </w:r>
    </w:p>
    <w:p>
      <w:pPr>
        <w:spacing w:after="0" w:line="18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Company's ability to attract and retain managed care clients is critical given the impact of health care reform, related products and expanded coverage (e.g. Health Insurance Exchanges and Medicaid Expansion) and evolving delivery models (e.g. Accountable Care Organizations).</w:t>
      </w:r>
    </w:p>
    <w:p>
      <w:pPr>
        <w:spacing w:after="0" w:line="14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portion of the managed care fee-for-service revenues are collectible from patients in the form of deductibles, copayments and coinsurance. As patient cost-sharing increases, collectibility may be impacted.</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Medicare and Medicaid and private insurers have increased their efforts to control the cost, utilization and delivery of health care services, including clinical laboratory services. Measures to regulate health care delivery in general, and clinical laboratories in particular, have resulted in reduced prices, added costs and decreased test utilization for the clinical laboratory industry by increasing complexity and adding new regulatory and administrative requirements. Pursuant to legislation passed in late 2003, the percentage of Medicare beneficiaries enrolled in Medicare managed care plans has increased. The percentage of Medicaid beneficiaries enrolled in Medicaid managed care plans has also increased, and is expected to continue to increase. Implementation of the ACA, the health care reform legislation passed in 2010, also may affect coverage, reimbursement, and utilization of laboratory services, as well as administrative requirements.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also experienced delays in the pricing and implementation of new molecular pathology CPT codes among</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various payers, including Medicaid, Medicare and commercial carriers. While some delays were expected, the lack of pricing from Medicare resulted in several noncommercial payers requiring an extended period of time to price key molecular codes and a number of those payers, mostly government entities, indicated that they would no longer pay for tests that they had previously covered. Further, payers continue to request additional information to process claims or implement prior authorization policies. Many commercial payers were delayed in becoming aware of the impact of their claim edits and policies which impeded access to services which previously have been covered and reimbursed. These delays had a negative impact on 2014 revenue, revenue per requisition, margins and cash flows and are expected to have a continuing negative impact. Similarly, CPT coding changes related to toxicology and other procedures are being implemented in 2015 and Palmetto published a revised Drugs of Abuse Local Coverage Policy which was effective for claims submitted as of April 1, 2015, which is expected to adversely impact the Company's Medicare revenue. It is not clear what policies Medicaid and Managed Care organizations may implement in response to Palmetto’s coverage policy. The Company encountered delays in the pricing and implementation of the new toxicology codes and it is unclear what impact will be experienced related to price and margins.</w:t>
      </w:r>
    </w:p>
    <w:p>
      <w:pPr>
        <w:spacing w:after="0" w:line="18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expects efforts to impose reduced reimbursement, more stringent payment policies and utilization and cost controls by government and other payers to continue. If the Company cannot offset additional reductions in the payments it receives for its services by reducing costs, increasing test volume and/or introducing new procedures, it could have a material adverse impact on the Company’s net revenues, profitability and cash flows.</w:t>
      </w:r>
    </w:p>
    <w:p>
      <w:pPr>
        <w:spacing w:after="0" w:line="1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an employer, health care reform legislation also contains numerous regulations that will require the Company to implement significant process and record keeping changes to be in compliance. These changes increase the cost of providing health care coverage to employees and their families. Given the limited release of regulations to guide compliance, the exact impact to employers including the Company is uncertain.</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implementation of health care reform legislation that contains costs could limit the profits that can be made from the development of new drugs. This could adversely affect research and development expenditures by pharmaceutical and biotechnology companies, which could in turn decrease the business opportunities available to CDD both in the United States and abroad. New laws or regulations may create a risk of liability, increase CDD costs or limit service offerings through CDD.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(Dollars in millions)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Board of Directors has authorized the repurchase of specified amounts of the Company's common stock since 2007. As of June 30, 2015, the Company had outstanding authorization from the Board of Directors to purchase up to $789.5 of Company common stock based on settled trades as of that date. The repurchase authorization has no expiration date. Following the announcement of the Acquisition in late 2014, the Company suspended its share repurchases. The Company does not anticipate resuming its share repurchase activity until it approaches its targeted ratio of total debt to consolidated EBITDA of 2.5 to 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INDEX</w:t>
              </w:r>
            </w:hyperlink>
          </w:p>
        </w:tc>
        <w:tc>
          <w:tcPr>
            <w:tcW w:w="994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912"/>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40" w:type="dxa"/>
            <w:vAlign w:val="bottom"/>
          </w:tcPr>
          <w:p>
            <w:pPr>
              <w:spacing w:after="0"/>
              <w:rPr>
                <w:sz w:val="24"/>
                <w:szCs w:val="24"/>
                <w:color w:val="auto"/>
              </w:rPr>
            </w:pPr>
          </w:p>
        </w:tc>
      </w:tr>
      <w:tr>
        <w:trPr>
          <w:trHeight w:val="594"/>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9940" w:type="dxa"/>
            <w:vAlign w:val="bottom"/>
          </w:tcPr>
          <w:p>
            <w:pPr>
              <w:ind w:left="200"/>
              <w:spacing w:after="0"/>
              <w:rPr>
                <w:sz w:val="20"/>
                <w:szCs w:val="20"/>
                <w:color w:val="auto"/>
              </w:rPr>
            </w:pPr>
            <w:r>
              <w:rPr>
                <w:rFonts w:ascii="Arial" w:cs="Arial" w:eastAsia="Arial" w:hAnsi="Arial"/>
                <w:sz w:val="18"/>
                <w:szCs w:val="18"/>
                <w:color w:val="auto"/>
              </w:rPr>
              <w:t>Exhibits</w:t>
            </w:r>
          </w:p>
        </w:tc>
      </w:tr>
      <w:tr>
        <w:trPr>
          <w:trHeight w:val="594"/>
        </w:trPr>
        <w:tc>
          <w:tcPr>
            <w:tcW w:w="560" w:type="dxa"/>
            <w:vAlign w:val="bottom"/>
          </w:tcPr>
          <w:p>
            <w:pPr>
              <w:ind w:left="40"/>
              <w:spacing w:after="0"/>
              <w:rPr>
                <w:sz w:val="20"/>
                <w:szCs w:val="20"/>
                <w:color w:val="auto"/>
              </w:rPr>
            </w:pPr>
            <w:r>
              <w:rPr>
                <w:rFonts w:ascii="Arial" w:cs="Arial" w:eastAsia="Arial" w:hAnsi="Arial"/>
                <w:sz w:val="18"/>
                <w:szCs w:val="18"/>
                <w:color w:val="auto"/>
              </w:rPr>
              <w:t>12.1*</w:t>
            </w:r>
          </w:p>
        </w:tc>
        <w:tc>
          <w:tcPr>
            <w:tcW w:w="88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Ratio of earnings to fixed charges</w:t>
            </w: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3"/>
                <w:szCs w:val="23"/>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by the Chief Executive Officer pursuant to Rule 13a-14(a) or Rule 15d-14(a)</w:t>
            </w: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3"/>
                <w:szCs w:val="23"/>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by the Chief Financial Officer pursuant to Rule 13a-14(a) or Rule 15d-14(a)</w:t>
            </w:r>
          </w:p>
        </w:tc>
      </w:tr>
      <w:tr>
        <w:trPr>
          <w:trHeight w:val="256"/>
        </w:trPr>
        <w:tc>
          <w:tcPr>
            <w:tcW w:w="560" w:type="dxa"/>
            <w:vAlign w:val="bottom"/>
          </w:tcPr>
          <w:p>
            <w:pPr>
              <w:ind w:left="40"/>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3"/>
              </w:rPr>
              <w:t>Written Statement of Chief Executive Officer and Chief Financial Officer pursuant to Section 906 of the Sarbanes-Oxley Act of 2002</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(18 U.S.C. Section 1350)</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4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4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75" w:lineRule="exact"/>
        <w:rPr>
          <w:sz w:val="20"/>
          <w:szCs w:val="20"/>
          <w:color w:val="auto"/>
        </w:rPr>
      </w:pPr>
    </w:p>
    <w:p>
      <w:pPr>
        <w:ind w:left="1180" w:hanging="1145"/>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08"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w:t>
      </w:r>
    </w:p>
    <w:p>
      <w:pPr>
        <w:spacing w:after="0" w:line="356" w:lineRule="exact"/>
        <w:rPr>
          <w:sz w:val="20"/>
          <w:szCs w:val="20"/>
          <w:color w:val="auto"/>
        </w:rPr>
      </w:pPr>
    </w:p>
    <w:tbl>
      <w:tblPr>
        <w:tblLayout w:type="fixed"/>
        <w:tblInd w:w="574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DAVID P. KING</w:t>
            </w:r>
          </w:p>
        </w:tc>
      </w:tr>
      <w:tr>
        <w:trPr>
          <w:trHeight w:val="291"/>
        </w:trPr>
        <w:tc>
          <w:tcPr>
            <w:tcW w:w="8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 King</w:t>
            </w:r>
          </w:p>
        </w:tc>
        <w:tc>
          <w:tcPr>
            <w:tcW w:w="1280" w:type="dxa"/>
            <w:vAlign w:val="bottom"/>
            <w:gridSpan w:val="2"/>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Chairman of the Board,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and Chief Executive Officer</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GLENN A. EISENBERG</w:t>
            </w:r>
          </w:p>
        </w:tc>
      </w:tr>
      <w:tr>
        <w:trPr>
          <w:trHeight w:val="291"/>
        </w:trPr>
        <w:tc>
          <w:tcPr>
            <w:tcW w:w="800" w:type="dxa"/>
            <w:vAlign w:val="bottom"/>
          </w:tcPr>
          <w:p>
            <w:pPr>
              <w:spacing w:after="0"/>
              <w:rPr>
                <w:sz w:val="24"/>
                <w:szCs w:val="24"/>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Glenn A. Eisenberg</w:t>
            </w:r>
          </w:p>
        </w:tc>
        <w:tc>
          <w:tcPr>
            <w:tcW w:w="64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70"/>
        </w:trPr>
        <w:tc>
          <w:tcPr>
            <w:tcW w:w="800" w:type="dxa"/>
            <w:vAlign w:val="bottom"/>
          </w:tcPr>
          <w:p>
            <w:pPr>
              <w:spacing w:after="0"/>
              <w:rPr>
                <w:sz w:val="23"/>
                <w:szCs w:val="23"/>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30, 2015</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125" w:right="399" w:bottom="1440" w:gutter="0" w:footer="0" w:header="0"/>
        </w:sectPr>
      </w:pPr>
    </w:p>
    <w:bookmarkStart w:id="44" w:name="page45"/>
    <w:bookmarkEnd w:id="44"/>
    <w:p>
      <w:pPr>
        <w:ind w:left="9420"/>
        <w:spacing w:after="0"/>
        <w:rPr>
          <w:sz w:val="20"/>
          <w:szCs w:val="20"/>
          <w:color w:val="auto"/>
        </w:rPr>
      </w:pPr>
      <w:r>
        <w:rPr>
          <w:rFonts w:ascii="Arial" w:cs="Arial" w:eastAsia="Arial" w:hAnsi="Arial"/>
          <w:sz w:val="16"/>
          <w:szCs w:val="16"/>
          <w:b w:val="1"/>
          <w:bCs w:val="1"/>
          <w:color w:val="auto"/>
        </w:rPr>
        <w:t>EXHIBIT 12.1</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STATEMENT OF COMPUTATION OF RATIOS OF EARNINGS TO FIXED CHARGES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(dollars in millions, except ratio information)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8"/>
          </w:tcPr>
          <w:p>
            <w:pPr>
              <w:ind w:left="280"/>
              <w:spacing w:after="0"/>
              <w:rPr>
                <w:sz w:val="20"/>
                <w:szCs w:val="20"/>
                <w:color w:val="auto"/>
              </w:rPr>
            </w:pPr>
            <w:r>
              <w:rPr>
                <w:rFonts w:ascii="Arial" w:cs="Arial" w:eastAsia="Arial" w:hAnsi="Arial"/>
                <w:sz w:val="16"/>
                <w:szCs w:val="16"/>
                <w:b w:val="1"/>
                <w:bCs w:val="1"/>
                <w:color w:val="auto"/>
              </w:rPr>
              <w:t>Fiscal Years Ended December 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Six Months Ended</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June 30, 2015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w w:val="99"/>
              </w:rPr>
              <w:t>Income from continuing operations before income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Equity in the income of investees</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Cash distributions received from equity investees</w:t>
            </w: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867.5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554"/>
        </w:trPr>
        <w:tc>
          <w:tcPr>
            <w:tcW w:w="4220" w:type="dxa"/>
            <w:vAlign w:val="bottom"/>
          </w:tcPr>
          <w:p>
            <w:pPr>
              <w:spacing w:after="0"/>
              <w:rPr>
                <w:sz w:val="20"/>
                <w:szCs w:val="20"/>
                <w:color w:val="auto"/>
              </w:rPr>
            </w:pPr>
            <w:r>
              <w:rPr>
                <w:rFonts w:ascii="Arial" w:cs="Arial" w:eastAsia="Arial" w:hAnsi="Arial"/>
                <w:sz w:val="18"/>
                <w:szCs w:val="18"/>
                <w:color w:val="auto"/>
              </w:rPr>
              <w:t>Fixed Charges: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Interest on long-term and short-term debt</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including amortization of debt expense</w:t>
            </w: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554"/>
        </w:trPr>
        <w:tc>
          <w:tcPr>
            <w:tcW w:w="4220" w:type="dxa"/>
            <w:vAlign w:val="bottom"/>
          </w:tcPr>
          <w:p>
            <w:pPr>
              <w:ind w:left="120"/>
              <w:spacing w:after="0"/>
              <w:rPr>
                <w:sz w:val="20"/>
                <w:szCs w:val="20"/>
                <w:color w:val="auto"/>
              </w:rPr>
            </w:pPr>
            <w:r>
              <w:rPr>
                <w:rFonts w:ascii="Arial" w:cs="Arial" w:eastAsia="Arial" w:hAnsi="Arial"/>
                <w:sz w:val="18"/>
                <w:szCs w:val="18"/>
                <w:color w:val="auto"/>
              </w:rPr>
              <w:t>Portion of rental expense as can be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demonstrated to be representative</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of the interest factor</w:t>
            </w: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22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20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color w:val="auto"/>
              </w:rPr>
              <w:t>Earnings before income taxes and</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fixed charges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1,059.3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1,028.4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1,086.5</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42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80" w:top="76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30, 2015</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6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80" w:hanging="10"/>
        <w:spacing w:after="0" w:line="264" w:lineRule="auto"/>
        <w:tabs>
          <w:tab w:leader="none" w:pos="38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 w:hanging="10"/>
        <w:spacing w:after="0" w:line="277" w:lineRule="auto"/>
        <w:tabs>
          <w:tab w:leader="none" w:pos="3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80" w:hanging="10"/>
        <w:spacing w:after="0" w:line="264" w:lineRule="auto"/>
        <w:tabs>
          <w:tab w:leader="none" w:pos="3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80" w:hanging="10"/>
        <w:spacing w:after="0" w:line="277" w:lineRule="auto"/>
        <w:tabs>
          <w:tab w:leader="none" w:pos="3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80" w:hanging="10"/>
        <w:spacing w:after="0" w:line="277" w:lineRule="auto"/>
        <w:tabs>
          <w:tab w:leader="none" w:pos="3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30, 2015</w:t>
      </w:r>
    </w:p>
    <w:p>
      <w:pPr>
        <w:spacing w:after="0" w:line="63"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70" w:lineRule="exact"/>
        <w:rPr>
          <w:sz w:val="20"/>
          <w:szCs w:val="20"/>
          <w:color w:val="auto"/>
        </w:rPr>
      </w:pPr>
    </w:p>
    <w:p>
      <w:pPr>
        <w:ind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of the Company for the Period Ended June 30, 2015 filed on the date hereof with the Securities and Exchange Commission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641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July 30,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641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July 30,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37"/>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2019-12-29T17:08:18Z</dcterms:created>
  <dcterms:modified xsi:type="dcterms:W3CDTF">2019-12-29T17:08:18Z</dcterms:modified>
</cp:coreProperties>
</file>