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50" w:lineRule="exact"/>
        <w:rPr>
          <w:sz w:val="24"/>
          <w:szCs w:val="24"/>
          <w:color w:val="auto"/>
        </w:rPr>
      </w:pPr>
    </w:p>
    <w:p>
      <w:pPr>
        <w:ind w:left="4080" w:right="2440" w:hanging="1633"/>
        <w:spacing w:after="0" w:line="375" w:lineRule="auto"/>
        <w:tabs>
          <w:tab w:leader="none" w:pos="27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u w:val="single" w:color="auto"/>
          <w:color w:val="auto"/>
        </w:rPr>
        <w:t>December 31, 2016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jc w:val="center"/>
        <w:ind w:left="3940" w:right="2400" w:hanging="1539"/>
        <w:spacing w:after="0" w:line="375" w:lineRule="auto"/>
        <w:tabs>
          <w:tab w:leader="none" w:pos="25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 to ______</w:t>
      </w:r>
    </w:p>
    <w:p>
      <w:pPr>
        <w:spacing w:after="0" w:line="1"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file number - 1-11353</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LABORATORY CORPORATION OF AMERICA HOLDINGS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13-3757370</w:t>
            </w:r>
          </w:p>
        </w:tc>
      </w:tr>
      <w:tr>
        <w:trPr>
          <w:trHeight w:val="27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21"/>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3740" w:type="dxa"/>
            <w:vAlign w:val="bottom"/>
          </w:tcPr>
          <w:p>
            <w:pPr>
              <w:spacing w:after="0"/>
              <w:rPr>
                <w:sz w:val="24"/>
                <w:szCs w:val="24"/>
                <w:color w:val="auto"/>
              </w:rPr>
            </w:pPr>
          </w:p>
        </w:tc>
      </w:tr>
      <w:tr>
        <w:trPr>
          <w:trHeight w:val="27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Burlington, North Carolina</w:t>
            </w:r>
          </w:p>
        </w:tc>
        <w:tc>
          <w:tcPr>
            <w:tcW w:w="37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27215</w:t>
            </w:r>
          </w:p>
        </w:tc>
      </w:tr>
      <w:tr>
        <w:trPr>
          <w:trHeight w:val="27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336-229-1127</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460" w:type="dxa"/>
            <w:vAlign w:val="bottom"/>
          </w:tcPr>
          <w:p>
            <w:pPr>
              <w:spacing w:after="0"/>
              <w:rPr>
                <w:sz w:val="20"/>
                <w:szCs w:val="20"/>
                <w:color w:val="auto"/>
              </w:rPr>
            </w:pPr>
          </w:p>
        </w:tc>
      </w:tr>
      <w:tr>
        <w:trPr>
          <w:trHeight w:val="378"/>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43"/>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5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5460" w:type="dxa"/>
            <w:vAlign w:val="bottom"/>
          </w:tcPr>
          <w:p>
            <w:pPr>
              <w:spacing w:after="0"/>
              <w:rPr>
                <w:sz w:val="24"/>
                <w:szCs w:val="24"/>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well-known seasoned issuer, as defined in Rule 405 of the Securities Act. Yes [X] No [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232.405) is not contained herein, and will not be contained, to the best of registrant's knowledge, in definitive proxy or information statements incorporated by reference in Part III of this Form 10-K or any amendment to this Form 10-K. [ ].</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 reporting company” in Rule 12b-2 of the Exchange Act.</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63"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 [ ]</w:t>
      </w:r>
    </w:p>
    <w:p>
      <w:pPr>
        <w:spacing w:after="0" w:line="200" w:lineRule="exact"/>
        <w:rPr>
          <w:sz w:val="20"/>
          <w:szCs w:val="20"/>
          <w:color w:val="auto"/>
        </w:rPr>
      </w:pPr>
    </w:p>
    <w:p>
      <w:pPr>
        <w:sectPr>
          <w:pgSz w:w="11900" w:h="16838" w:orient="portrait"/>
          <w:cols w:equalWidth="0" w:num="2">
            <w:col w:w="5200" w:space="540"/>
            <w:col w:w="5680"/>
          </w:cols>
          <w:pgMar w:left="240" w:top="121"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 ] No [X].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2016, the aggregate market value of the common stock held by non-affiliates of the registrant was approximately $12.7 billion, based on the closing price on such date of the registrant’s common stock on the New York Stock Exchange.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 102.3 million shares as of February 22, 2017.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hereunder the following documents if incorporated by reference and the Part of the Form 10-K into which the document is incorporated:</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Registrant’s Notice of Annual Meeting and Proxy Statement to be filed no later than 120 days following December 31, 2016, are incorporated by reference into Part III.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Index</w:t>
              </w:r>
            </w:hyperlink>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4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680" w:type="dxa"/>
            <w:vAlign w:val="bottom"/>
            <w:gridSpan w:val="13"/>
            <w:vMerge w:val="restart"/>
          </w:tcPr>
          <w:p>
            <w:pPr>
              <w:jc w:val="center"/>
              <w:ind w:right="4220"/>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13"/>
            <w:vMerge w:val="continue"/>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3540" w:type="dxa"/>
            <w:vAlign w:val="bottom"/>
            <w:gridSpan w:val="27"/>
          </w:tcPr>
          <w:p>
            <w:pPr>
              <w:spacing w:after="0"/>
              <w:rPr>
                <w:sz w:val="22"/>
                <w:szCs w:val="22"/>
                <w:color w:val="auto"/>
              </w:rPr>
            </w:pPr>
          </w:p>
        </w:tc>
        <w:tc>
          <w:tcPr>
            <w:tcW w:w="460" w:type="dxa"/>
            <w:vAlign w:val="bottom"/>
            <w:tcBorders>
              <w:top w:val="single" w:sz="8" w:color="0000EE"/>
            </w:tcBorders>
            <w:gridSpan w:val="4"/>
          </w:tcPr>
          <w:p>
            <w:pPr>
              <w:spacing w:after="0"/>
              <w:rPr>
                <w:sz w:val="22"/>
                <w:szCs w:val="22"/>
                <w:color w:val="auto"/>
              </w:rPr>
            </w:pPr>
          </w:p>
        </w:tc>
        <w:tc>
          <w:tcPr>
            <w:tcW w:w="4220" w:type="dxa"/>
            <w:vAlign w:val="bottom"/>
            <w:gridSpan w:val="9"/>
          </w:tcPr>
          <w:p>
            <w:pPr>
              <w:spacing w:after="0"/>
              <w:rPr>
                <w:sz w:val="22"/>
                <w:szCs w:val="22"/>
                <w:color w:val="auto"/>
              </w:rPr>
            </w:pPr>
          </w:p>
        </w:tc>
        <w:tc>
          <w:tcPr>
            <w:tcW w:w="520" w:type="dxa"/>
            <w:vAlign w:val="bottom"/>
            <w:gridSpan w:val="2"/>
          </w:tcPr>
          <w:p>
            <w:pPr>
              <w:spacing w:after="0"/>
              <w:rPr>
                <w:sz w:val="22"/>
                <w:szCs w:val="22"/>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 Segments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LabCorp Diagnostics Segment</w:t>
              </w:r>
            </w:hyperlink>
          </w:p>
        </w:tc>
        <w:tc>
          <w:tcPr>
            <w:tcW w:w="6180" w:type="dxa"/>
            <w:vAlign w:val="bottom"/>
            <w:gridSpan w:val="23"/>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Covance Drug Development</w:t>
              </w:r>
            </w:hyperlink>
          </w:p>
        </w:tc>
        <w:tc>
          <w:tcPr>
            <w:tcW w:w="632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12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Leveraging the Combined Strengths of LCD and CDD</w:t>
              </w:r>
            </w:hyperlink>
          </w:p>
        </w:tc>
        <w:tc>
          <w:tcPr>
            <w:tcW w:w="444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3"/>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Customers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3"/>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Capital Allocation</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Seasonality</w:t>
            </w:r>
          </w:p>
        </w:tc>
        <w:tc>
          <w:tcPr>
            <w:tcW w:w="7240" w:type="dxa"/>
            <w:vAlign w:val="bottom"/>
            <w:gridSpan w:val="3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16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3"/>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Investments in Joint Venture Partnerships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Sales, Marketing and Customer Service</w:t>
              </w:r>
            </w:hyperlink>
          </w:p>
        </w:tc>
        <w:tc>
          <w:tcPr>
            <w:tcW w:w="5640" w:type="dxa"/>
            <w:vAlign w:val="bottom"/>
            <w:gridSpan w:val="1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Information Systems</w:t>
              </w:r>
            </w:hyperlink>
          </w:p>
        </w:tc>
        <w:tc>
          <w:tcPr>
            <w:tcW w:w="5780" w:type="dxa"/>
            <w:vAlign w:val="bottom"/>
            <w:gridSpan w:val="2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Quality</w:t>
              </w:r>
            </w:hyperlink>
          </w:p>
        </w:tc>
        <w:tc>
          <w:tcPr>
            <w:tcW w:w="960" w:type="dxa"/>
            <w:vAlign w:val="bottom"/>
            <w:tcBorders>
              <w:top w:val="single" w:sz="8" w:color="0000EE"/>
            </w:tcBorders>
            <w:gridSpan w:val="7"/>
          </w:tcPr>
          <w:p>
            <w:pPr>
              <w:spacing w:after="0"/>
              <w:rPr>
                <w:sz w:val="21"/>
                <w:szCs w:val="21"/>
                <w:color w:val="auto"/>
              </w:rPr>
            </w:pPr>
          </w:p>
        </w:tc>
        <w:tc>
          <w:tcPr>
            <w:tcW w:w="7120" w:type="dxa"/>
            <w:vAlign w:val="bottom"/>
            <w:gridSpan w:val="31"/>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18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Intellectual Property Rights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Employees</w:t>
              </w:r>
            </w:hyperlink>
          </w:p>
        </w:tc>
        <w:tc>
          <w:tcPr>
            <w:tcW w:w="1160" w:type="dxa"/>
            <w:vAlign w:val="bottom"/>
            <w:tcBorders>
              <w:top w:val="single" w:sz="8" w:color="0000EE"/>
            </w:tcBorders>
            <w:gridSpan w:val="9"/>
          </w:tcPr>
          <w:p>
            <w:pPr>
              <w:spacing w:after="0"/>
              <w:rPr>
                <w:sz w:val="21"/>
                <w:szCs w:val="21"/>
                <w:color w:val="auto"/>
              </w:rPr>
            </w:pPr>
          </w:p>
        </w:tc>
        <w:tc>
          <w:tcPr>
            <w:tcW w:w="664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Regulation and Reimbursement</w:t>
              </w:r>
            </w:hyperlink>
          </w:p>
        </w:tc>
        <w:tc>
          <w:tcPr>
            <w:tcW w:w="6340" w:type="dxa"/>
            <w:vAlign w:val="bottom"/>
            <w:gridSpan w:val="2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Compliance Program</w:t>
              </w:r>
            </w:hyperlink>
          </w:p>
        </w:tc>
        <w:tc>
          <w:tcPr>
            <w:tcW w:w="7080" w:type="dxa"/>
            <w:vAlign w:val="bottom"/>
            <w:gridSpan w:val="29"/>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Risk Factors</w:t>
              </w:r>
            </w:hyperlink>
          </w:p>
        </w:tc>
        <w:tc>
          <w:tcPr>
            <w:tcW w:w="7960" w:type="dxa"/>
            <w:vAlign w:val="bottom"/>
            <w:gridSpan w:val="3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Unresolved Staff Comments</w:t>
              </w:r>
            </w:hyperlink>
          </w:p>
        </w:tc>
        <w:tc>
          <w:tcPr>
            <w:tcW w:w="682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4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Properties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40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4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Proceedings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44"/>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Mine Safety Disclosures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44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8"/>
              </w:rPr>
            </w:pPr>
            <w:hyperlink w:anchor="page44">
              <w:r>
                <w:rPr>
                  <w:rFonts w:ascii="Times New Roman" w:cs="Times New Roman" w:eastAsia="Times New Roman" w:hAnsi="Times New Roman"/>
                  <w:sz w:val="18"/>
                  <w:szCs w:val="18"/>
                  <w:b w:val="1"/>
                  <w:bCs w:val="1"/>
                  <w:color w:val="0000EE"/>
                  <w:w w:val="98"/>
                </w:rPr>
                <w:t>Part II</w:t>
              </w:r>
            </w:hyperlink>
          </w:p>
        </w:tc>
        <w:tc>
          <w:tcPr>
            <w:tcW w:w="418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43"/>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44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4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Selected Financial Data</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tcBorders>
              <w:bottom w:val="single" w:sz="8" w:color="0000EE"/>
            </w:tcBorders>
            <w:gridSpan w:val="40"/>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Quantitative and Qualitative Disclosures About Market Risk</w:t>
              </w:r>
            </w:hyperlink>
          </w:p>
        </w:tc>
        <w:tc>
          <w:tcPr>
            <w:tcW w:w="450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63</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44"/>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Financial Statements and Supplementary Data</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64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41"/>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64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44"/>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Controls and Procedures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64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7100" w:type="dxa"/>
            <w:vAlign w:val="bottom"/>
            <w:gridSpan w:val="30"/>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65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10"/>
          </w:tcPr>
          <w:p>
            <w:pPr>
              <w:jc w:val="center"/>
              <w:spacing w:after="0"/>
              <w:rPr>
                <w:rFonts w:ascii="Times New Roman" w:cs="Times New Roman" w:eastAsia="Times New Roman" w:hAnsi="Times New Roman"/>
                <w:sz w:val="18"/>
                <w:szCs w:val="18"/>
                <w:b w:val="1"/>
                <w:bCs w:val="1"/>
                <w:color w:val="0000EE"/>
              </w:rPr>
            </w:pPr>
            <w:hyperlink w:anchor="page65">
              <w:r>
                <w:rPr>
                  <w:rFonts w:ascii="Times New Roman" w:cs="Times New Roman" w:eastAsia="Times New Roman" w:hAnsi="Times New Roman"/>
                  <w:sz w:val="18"/>
                  <w:szCs w:val="18"/>
                  <w:b w:val="1"/>
                  <w:bCs w:val="1"/>
                  <w:color w:val="0000EE"/>
                </w:rPr>
                <w:t>Part III</w:t>
              </w:r>
            </w:hyperlink>
          </w:p>
        </w:tc>
        <w:tc>
          <w:tcPr>
            <w:tcW w:w="41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Directors, Executive Officers and Corporate Governance</w:t>
              </w:r>
            </w:hyperlink>
          </w:p>
        </w:tc>
        <w:tc>
          <w:tcPr>
            <w:tcW w:w="4760" w:type="dxa"/>
            <w:vAlign w:val="bottom"/>
            <w:gridSpan w:val="1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65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Executive Compensation</w:t>
              </w:r>
            </w:hyperlink>
          </w:p>
        </w:tc>
        <w:tc>
          <w:tcPr>
            <w:tcW w:w="7060" w:type="dxa"/>
            <w:vAlign w:val="bottom"/>
            <w:gridSpan w:val="28"/>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44"/>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60" w:type="dxa"/>
            <w:vAlign w:val="bottom"/>
            <w:gridSpan w:val="4"/>
          </w:tcPr>
          <w:p>
            <w:pPr>
              <w:jc w:val="center"/>
              <w:ind w:left="39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42"/>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69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39"/>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Principal Accountant Fees and Services</w:t>
              </w:r>
            </w:hyperlink>
          </w:p>
        </w:tc>
        <w:tc>
          <w:tcPr>
            <w:tcW w:w="342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69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5"/>
          </w:tcPr>
          <w:p>
            <w:pPr>
              <w:jc w:val="center"/>
              <w:ind w:right="4160"/>
              <w:spacing w:after="0"/>
              <w:rPr>
                <w:rFonts w:ascii="Times New Roman" w:cs="Times New Roman" w:eastAsia="Times New Roman" w:hAnsi="Times New Roman"/>
                <w:sz w:val="18"/>
                <w:szCs w:val="18"/>
                <w:b w:val="1"/>
                <w:bCs w:val="1"/>
                <w:color w:val="0000EE"/>
                <w:w w:val="99"/>
              </w:rPr>
            </w:pPr>
            <w:hyperlink w:anchor="page70">
              <w:r>
                <w:rPr>
                  <w:rFonts w:ascii="Times New Roman" w:cs="Times New Roman" w:eastAsia="Times New Roman" w:hAnsi="Times New Roman"/>
                  <w:sz w:val="18"/>
                  <w:szCs w:val="18"/>
                  <w:b w:val="1"/>
                  <w:bCs w:val="1"/>
                  <w:color w:val="0000EE"/>
                  <w:w w:val="99"/>
                </w:rPr>
                <w:t>Part IV</w:t>
              </w:r>
            </w:hyperlink>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Exhibits and Financial Statement Schedules</w:t>
              </w:r>
            </w:hyperlink>
          </w:p>
        </w:tc>
        <w:tc>
          <w:tcPr>
            <w:tcW w:w="960" w:type="dxa"/>
            <w:vAlign w:val="bottom"/>
            <w:gridSpan w:val="5"/>
          </w:tcPr>
          <w:p>
            <w:pPr>
              <w:spacing w:after="0"/>
              <w:rPr>
                <w:sz w:val="21"/>
                <w:szCs w:val="21"/>
                <w:color w:val="auto"/>
              </w:rPr>
            </w:pPr>
          </w:p>
        </w:tc>
        <w:tc>
          <w:tcPr>
            <w:tcW w:w="580" w:type="dxa"/>
            <w:vAlign w:val="bottom"/>
            <w:tcBorders>
              <w:top w:val="single" w:sz="8" w:color="0000EE"/>
            </w:tcBorders>
            <w:gridSpan w:val="8"/>
          </w:tcPr>
          <w:p>
            <w:pPr>
              <w:spacing w:after="0"/>
              <w:rPr>
                <w:sz w:val="21"/>
                <w:szCs w:val="21"/>
                <w:color w:val="auto"/>
              </w:rPr>
            </w:pPr>
          </w:p>
        </w:tc>
        <w:tc>
          <w:tcPr>
            <w:tcW w:w="416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70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60" w:type="dxa"/>
            <w:vAlign w:val="bottom"/>
            <w:gridSpan w:val="32"/>
          </w:tcPr>
          <w:p>
            <w:pPr>
              <w:ind w:left="42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35" w:lineRule="exact"/>
        <w:rPr>
          <w:sz w:val="20"/>
          <w:szCs w:val="20"/>
          <w:color w:val="auto"/>
        </w:rPr>
      </w:pPr>
    </w:p>
    <w:p>
      <w:pPr>
        <w:jc w:val="both"/>
        <w:ind w:firstLine="270"/>
        <w:spacing w:after="0" w:line="233" w:lineRule="auto"/>
        <w:rPr>
          <w:sz w:val="20"/>
          <w:szCs w:val="20"/>
          <w:color w:val="auto"/>
        </w:rPr>
      </w:pPr>
      <w:r>
        <w:rPr>
          <w:rFonts w:ascii="Times New Roman" w:cs="Times New Roman" w:eastAsia="Times New Roman" w:hAnsi="Times New Roman"/>
          <w:sz w:val="18"/>
          <w:szCs w:val="18"/>
          <w:color w:val="auto"/>
        </w:rPr>
        <w:t>Laboratory Corporation of America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Holdings together with its subsidiaries (LabCorp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 the Company) is a world leading life sciences company that is deeply integrated in guiding patient care, providing comprehensive clinical laboratory and end-to-end drug development services. The Company’s mission is to improve health and improve lives by delivering world-class diagnostic solutions, bringing innovative medicines to patients faster and using technology to provide better care.</w:t>
      </w:r>
    </w:p>
    <w:p>
      <w:pPr>
        <w:spacing w:after="0" w:line="104"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headquartered in Burlington, North Carolina, is a Delaware corporation and was incorporated in 1971. Through a combination of organic growth and disciplined acquisitions, LabCorp has continually expanded and diversified its business offerings, technological expertise, geographic reach, revenue base and growth opportunities.</w:t>
      </w:r>
    </w:p>
    <w:p>
      <w:pPr>
        <w:spacing w:after="0" w:line="82"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has more than 52,000 employees serving hundreds of thousands of customers in approximately 60 countries, providing diagnostic, drug development and technology-enabled solutions for more than 110 million patient encounters per year. LabCorp serves a broad range of customers, including managed care organizations (MCOs), biopharmaceutical companies, governmental agencies, physicians and other healthcare providers (e.g. physician assistants and nurse practitioners, generally referred to herein as physicians), hospitals and health systems, employers, patients and consumers, contract research organizations, food and nutritional companies and independent clinical laboratories. The Company believes that it generated more revenue from laboratory testing than any other company in the world in 2016.</w:t>
      </w:r>
    </w:p>
    <w:p>
      <w:pPr>
        <w:spacing w:after="0" w:line="9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Securities and Exchange Commission (SEC). Additionally, the SEC maintains a website at http://www.sec.gov that contains reports, proxy and information statements, and other information regarding issuers, including the Company, that file electronically with the SEC. The public may also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matters discussed in this “Business” section should be read in conjunction with the Consolidated Financial Statements found in Item 8 of Part II of this report, which include additional financial information about the Company, such as financial information about geographic areas. This report includes forward-looking statements that involve risks or uncertainties. The Company’s results could differ materially from those anticipated in these forward-looking statements as a result of certain factors, including the risk factors described in Item 1A of Part I of this report and elsewhere. For more information about forward-looking statements, see “Forward-Looking Statements” in Item 7.</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3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reports its business in two segments, LabCorp Diagnostics (LCD) and Covance Drug Development (CDD). LabCorp Diagnostics is one of the largest clinical laboratories in the world by revenue. Covance Drug Development is a provider of end-to-end drug development services from early-stage research to regulatory approval and beyond. In 2016, LCD and CDD contributed 69.9% and 30.1%, respectively, of net revenues to the Company, and in 2015 contributed 72.9% and 27.1%, respectively. Each of the segments' net revenues in 2015 includes the results of the Company's acquisition of Covance Inc. on February 19, 2015. For further financial information about these segments, including information for each of the last three fiscal years regarding revenue, operating income and other important information, see Note 20 to the Consolidated Financial Statements.</w:t>
      </w:r>
    </w:p>
    <w:p>
      <w:pPr>
        <w:spacing w:after="0" w:line="8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i w:val="1"/>
          <w:iCs w:val="1"/>
          <w:color w:val="auto"/>
        </w:rPr>
        <w:t>LabCorp Diagnostics Segment</w:t>
      </w:r>
    </w:p>
    <w:p>
      <w:pPr>
        <w:spacing w:after="0" w:line="13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LabCorp Diagnostics is an independent clinical laboratory business. It offers a comprehensive menu of frequently requested and specialty testing through an integrated network of primary and specialty laboratories across the U.S. This network is supported by a sophisticated information technology system, nimble and efficient logistics, local labs offering rapid response testing and approximately 1,750 patient service centers (PSCs) strategically located throughout the U.S. to provide convenient access to testing services. In addition to diagnostic testing, LCD also offers a range of other testing services, including forensic DNA analysis, food safety and integrity services, as well as occupational and wellness testing for employers. LabCorp Diagnostics offers an expansive test menu including more than 4,800 clinical, anatomic pathology, genetic and genomic tests.</w:t>
      </w:r>
    </w:p>
    <w:p>
      <w:pPr>
        <w:spacing w:after="0" w:line="9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With over 36,000 employees, LCD processes tests on approximately 500,000 patient specimens daily and has clinical laboratory locations throughout the U.S. and other countries, including Canada and the U.K. In 2016, LabCorp introduced more than 100 new assays and its scientists contributed to more than 450 peer-reviewed publication articles and presentations at scientific meetings.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Testing Industry</w:t>
      </w:r>
    </w:p>
    <w:p>
      <w:pPr>
        <w:spacing w:after="0" w:line="13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It is estimated that although laboratory services account for less than 3.0% of total U.S. healthcare spending (and less than 2.0% of Medicare expenditures), the results of those tests have a significant impact on physician medical decisions.</w:t>
      </w:r>
    </w:p>
    <w:p>
      <w:pPr>
        <w:spacing w:after="0" w:line="6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Laboratory tests and procedures are used generally by hospitals, physicians and commercial customers to assist in the diagnosis, monitoring and treatment of diseases and medical conditions through the examination of substances in blood, tissues and other specimens. The results of such tests can help in the evaluation of health, the detection of conditions or pathogens and the selection of appropriate therapies. Clinical laboratory testing is generally categorized as either clinical pathology testing, which is performed on body fluids including blood, or anatomical pathology testing, in which a pathologist examines histologic or cytologic samples (i.e., tissue and other samples, including human cells). Clinical and anatomical pathology procedures are frequently ordered as part of regular healthcare office visits and hospital admissions in connection with the diagnosis and treatment of illnesses. Certain of these tests and procedures are used in the diagnosis and management of a wide variety of medical conditions such as cancer, infectious disease, endocrine disorders, cardiac disorders and genetic disease.</w:t>
      </w:r>
    </w:p>
    <w:p>
      <w:pPr>
        <w:spacing w:after="0" w:line="9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color w:val="auto"/>
        </w:rPr>
        <w:t>The Company believes that in 2016, the U.S. clinical laboratory testing industry generated revenues of approximately $80.0 billion. The clinical laboratory industry consists primarily of three types of providers: hospital-based laboratories, physician-office laboratories and independent clinical and anatomical pathology laboratories, such as those operated by LCD. The clinical laboratory business is intensely competitive. The Centers for Medicare and Medicaid Services (CMS) of the Department of Health and Human Services (HHS) has estimated that in 2016 there were approximately 9,000 hospital-based laboratories, more than 122,000 physician-office laboratories and more than 6,000 independent clinical laboratories in the U.S. LCD competes with all of those laboratories.</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LCD believes that physicians selecting a laboratory often consider the following factors, among others:</w:t>
      </w:r>
    </w:p>
    <w:p>
      <w:pPr>
        <w:spacing w:after="0" w:line="1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timeliness and consistency in reporting test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of the laboratory in the medical community or field of specialty;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relationships with MCOs;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capability and convenience;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type of tests performed;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solutions offered;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the laboratory’s services.</w:t>
      </w:r>
    </w:p>
    <w:p>
      <w:pPr>
        <w:spacing w:after="0" w:line="112"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LCD believes that consolidation in the clinical laboratory testing business will continue. In addition, LCD believes that it and the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changes in payment models to performance and value-based reimbursement to deliver better outcomes at lower cost; and large, integrated service networks. In addition, legal restrictions on physician referrals and their ownership of laboratories, as well as increased regulation of laboratories, are expected to continue to contribute to the continuing consolidation of the industry.</w:t>
      </w:r>
    </w:p>
    <w:p>
      <w:pPr>
        <w:spacing w:after="0" w:line="93"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forensic investigations, environmental testing, veterinary testing, wellness testing, toxicology testing, pain management testing and nutritional analysis and food safety testing.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LCD Testing Operations and Productivity</w:t>
      </w:r>
    </w:p>
    <w:p>
      <w:pPr>
        <w:spacing w:after="0" w:line="256"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LCD has a network of PSCs, phlebotomists placed at a customer location, branches, STAT laboratories, primary testing laboratories and specialty testing laboratories. Generally, a PSC is a facility maintained by LCD to serve the patients of physicians in a medical professional building or other strategic location. The PSC staff collects specimens for testing as requested by the physician. However, most patient specimens are collected by the customer's staff at their office or facility, or in some cases, by an LCD phlebotomist who has been placed in a physician office, hospital or other healthcare facility for the specific purpose of collecting specimens to be tested by LCD. These specimens are collected from PSCs and customer locations and sent principally through LCD's in-house courier system (and to a lesser extent, through independent couriers), to a branch or directly to one of LCD's laboratories for testing. A branch is a central facility that collects specimens in a region for shipment to one of LCD’s laboratories for testing. A branch is also frequently used as a base for sales and distribution staff. STAT laboratories, which are often co-located with a branch or a PSC, perform critical testing for nearby customers, with results typically delivered within 2-3 hours of receipt of the specimen. Primary testing laboratories perform frequently requested testing on a large scale. Specialty testing laboratories perform one or more types of specialty and esoteric testing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Each specimen and related request form is checked for completeness and given a unique identification number. The unique identification number assigned to each specimen associates the results to the appropriate patient. Once the necessary testing and billing information is entered into the software system, either electronically through an interface with the ordering physician or manually by a data entry operator, the tests are performed and the results are entered through an electronic data interface or manually, depending upon the tests and the type of instrumentation involved. Most of LCD's automated testing equipment is connected to its information systems. Most specimens are picked up from the customer's location by late afternoon or early evening and delivered to the testing laboratory by late evening or overnight, and test results are in most cases electronically delivered to the physician via electronic interfaces, the LabCorp Link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(formerly LabCorp Beacon) platform, smart printers or personal computer-based products.</w:t>
      </w:r>
    </w:p>
    <w:p>
      <w:pPr>
        <w:spacing w:after="0" w:line="112"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LCD remains focused on improving quality and productivity while lowering costs throughout all phases of its operations, supported by LCD's technology, automation and facility rationalization initiatives. As part of an ongoing commitment to remain the most efficient and highest-value provider of laboratory services, LCD has undertaken a comprehensive business process improvement initiative, referred to as LaunchPad, to reengineer its systems and processes to create a sustainable and more efficient business model, and to improve the experience of all stakeholders. The Company is on track to deliver net savings of approximately $150.0 million between 2015 and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LCD Testing Services</w:t>
      </w:r>
    </w:p>
    <w:p>
      <w:pPr>
        <w:spacing w:after="0" w:line="25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LCD offers a menu of more than 4,800 tests. Several hundred of those tests are used in general patient care by physicians to establish or support a diagnosis, to monitor treatment or to search for an otherwise undiagnosed condition. The most frequently requested of these tests include blood chemistry analyses, urinalyses, blood cell counts, thyroid tests, Pap tests, Hemoglobin A1C, prostate-specific antigen (PSA), tests for sexually-transmitted diseases [e.g. Ct, Ng, Tv and human immunodeficiency virus (HIV)], hepatitis C (HCV) tests, Vitamin D, microbiology cultures and procedures, and alcohol and other substance-abuse tests. LCD performs this core group of tests in its major laboratories using sophisticated and computerized instruments, with most results reported within 24 hours or less.</w:t>
      </w:r>
    </w:p>
    <w:p>
      <w:pPr>
        <w:spacing w:after="0" w:line="21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addition, LCD provides a comprehensive range of specialty testing services in the areas of women's health, allergy, diagnostic genetics, cardiovascular disease, infectious disease, endocrinology, oncology, coagulation, pharmacogenetics, toxicology and pain management.</w:t>
      </w:r>
    </w:p>
    <w:p>
      <w:pPr>
        <w:spacing w:after="0" w:line="18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LCD also performs a range of other testing services, including DNA testing to determine parentage and to assist in forensic investigations, and occupational testing and wellness testing for employers. In addition, LCD provides testing services to the food, beverage, nutraceutical, animal feed, chemical and agrochemical industries, which include nutritional analysis and equivalency, nutritional content fact labels, microbiological and chemical contaminant safety analysis, product development expertise, sensory testing, pilot manufacturing, pesticide screening and stability testing.</w:t>
      </w:r>
    </w:p>
    <w:p>
      <w:pPr>
        <w:spacing w:after="0" w:line="207"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LCD’s Specialty Testing Group performs esoteric testing, cancer diagnostics, and other complex procedures. LCD's specialty testing businesses and their areas of expertise are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-22225</wp:posOffset>
            </wp:positionV>
            <wp:extent cx="3018790" cy="2332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Specialty Testing Group offers advanced methods and access to scientific expertise in the following disciplines:</w:t>
      </w:r>
    </w:p>
    <w:p>
      <w:pPr>
        <w:spacing w:after="0" w:line="24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Anatomic Pathology/Oncology. </w:t>
      </w:r>
      <w:r>
        <w:rPr>
          <w:rFonts w:ascii="Times New Roman" w:cs="Times New Roman" w:eastAsia="Times New Roman" w:hAnsi="Times New Roman"/>
          <w:sz w:val="18"/>
          <w:szCs w:val="18"/>
          <w:color w:val="auto"/>
        </w:rPr>
        <w:t>LCD offers advanced comprehensive tumor tissue analysis, including immunohistochemistry (IHC), cancer cytogenetics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fluorescence in situ hybridization (FISH) through its Dianon Pathology and Integrated Oncology specialty testing laboratories. Applications for molecular diagnostics continue to increase in oncology for leukemia</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analysis and solid tumor assessment. In cancers such as colon and lung cancer, assays that analyze genetic mutations can help guide appropriate therapy choices for a given patient. Through the combined expertise of LCD and CDD, the Company is a recognized leader in the development and introduction of companion and complementary diagnostics, which are becoming increasingly important in the treatment of cancer with new, targeted therapies for which only certain patients may be eligible, or which may provide greater or lesser benefits to certain patients, based on their individual genetic makeup.</w:t>
      </w:r>
    </w:p>
    <w:p>
      <w:pPr>
        <w:spacing w:after="0" w:line="203"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Cardiovascular Disease. </w:t>
      </w:r>
      <w:r>
        <w:rPr>
          <w:rFonts w:ascii="Times New Roman" w:cs="Times New Roman" w:eastAsia="Times New Roman" w:hAnsi="Times New Roman"/>
          <w:sz w:val="18"/>
          <w:szCs w:val="18"/>
          <w:color w:val="auto"/>
        </w:rPr>
        <w:t>LCD’s cardiovascular menu includes core cholesterol tests, expanded lipid profiles (e.g., NMR LDL-P), a metabolic syndrome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profile and tests for thrombosis and stroke. LCD also offers complete testing for monitoring disease progression and therapy response, including the clinical decision support (CDS) reports available through Litholink.</w:t>
      </w:r>
    </w:p>
    <w:p>
      <w:pPr>
        <w:spacing w:after="0" w:line="198"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Coagulation. </w:t>
      </w:r>
      <w:r>
        <w:rPr>
          <w:rFonts w:ascii="Times New Roman" w:cs="Times New Roman" w:eastAsia="Times New Roman" w:hAnsi="Times New Roman"/>
          <w:sz w:val="18"/>
          <w:szCs w:val="18"/>
          <w:color w:val="auto"/>
        </w:rPr>
        <w:t>LCD offers an extensive menu of tests for hemostasis and thrombosis, including bleeding profiles and screening tests, profiles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reproductive health, factor analysis, thrombin generation markers, and thrombotic risk evaluation.</w:t>
      </w:r>
    </w:p>
    <w:p>
      <w:pPr>
        <w:spacing w:after="0" w:line="18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Diagnostic Genetics. </w:t>
      </w:r>
      <w:r>
        <w:rPr>
          <w:rFonts w:ascii="Times New Roman" w:cs="Times New Roman" w:eastAsia="Times New Roman" w:hAnsi="Times New Roman"/>
          <w:sz w:val="18"/>
          <w:szCs w:val="18"/>
          <w:color w:val="auto"/>
        </w:rPr>
        <w:t>LCD offers cytogenetic, molecular cytogenetic, biochemical and molecular genetic tests. The biochemical genetics offerings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a variety of prenatal screening options, including integrated and sequential prenatal assays and non-invasive prenatal testing (NIPT) for more sensitive and earlier assessment of risk for multiple fetal chromosomal aneuploidies (e.g., Down syndrome). LCD has expanded its cytogenetics offerings through the use of whole genome single-nucleotide polymorphism (SNP) microarray technology, which provides enhanced detection of subtle chromosomal changes associated with the etiology of mental retardation, developmental delay and autism. The molecular genetics services include multiplex analyses of a variety of disorders, gene sequencing applications for both somatic and germ-line alterations and whole exome sequencing. Through Integrated Genetics, LCD provides the most comprehensive genetic test menu in the industry, as well as approximately 130 genetic counselors and six medical geneticists to provide patients and their physicians with analysis, assessment and interpretation of genetics test results to help optimize patient decisions and outcomes.</w:t>
      </w:r>
    </w:p>
    <w:p>
      <w:pPr>
        <w:spacing w:after="0" w:line="209"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Endocrinology. </w:t>
      </w:r>
      <w:r>
        <w:rPr>
          <w:rFonts w:ascii="Times New Roman" w:cs="Times New Roman" w:eastAsia="Times New Roman" w:hAnsi="Times New Roman"/>
          <w:sz w:val="18"/>
          <w:szCs w:val="18"/>
          <w:color w:val="auto"/>
        </w:rPr>
        <w:t>LCD is a leading provider of advanced hormone/steroid testing, including comprehensive services for the endocrine specialist. LCD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expanded its menu in esoteric endocrine testing and has launched an initiative to develop steroid testing utilizing mass spectrometry technology. Mass spectrometry is used for detection of low levels of small molecule steroids, including testosterone in women, children and hypogonadal men. Additionally, LCD offers endocrine-related tests for genetic conditions including congenital adrenal hyperplasia, short stature, and thyroid cancer, along with extensive age- and gender- related reference intervals for those tests.</w:t>
      </w:r>
    </w:p>
    <w:p>
      <w:pPr>
        <w:spacing w:after="0" w:line="207" w:lineRule="exact"/>
        <w:rPr>
          <w:sz w:val="20"/>
          <w:szCs w:val="20"/>
          <w:color w:val="auto"/>
        </w:rPr>
      </w:pPr>
    </w:p>
    <w:p>
      <w:pPr>
        <w:jc w:val="both"/>
        <w:ind w:lef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Infectious Disease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LCD provides complete HIV testing services, including viral load measurements, genotyping and phenotyping, and host genetic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factors (e.g., the HLA B*5701 test) that are important tools in managing and treating HIV infections. The addition of resistance tests, including PhenoSense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PhenoSenseGT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Trofile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GenoSure PRIme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complements the existing HIV GenoSure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assay and provides LCD with an industry-leading, comprehensive portfolio of HIV resistance testing services. LCD also provides extensive testing services for HCV infections, including both viral load determinations and strain genotyping and host genetic factors (e.g., the HCV GenoSure NS3/4A tests). LCD continues to develop molecular assays for infectious disease.</w:t>
      </w:r>
    </w:p>
    <w:p>
      <w:pPr>
        <w:spacing w:after="0" w:line="223" w:lineRule="exact"/>
        <w:rPr>
          <w:sz w:val="20"/>
          <w:szCs w:val="20"/>
          <w:color w:val="auto"/>
        </w:rPr>
      </w:pPr>
    </w:p>
    <w:p>
      <w:pPr>
        <w:jc w:val="both"/>
        <w:ind w:lef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Women's Health. </w:t>
      </w:r>
      <w:r>
        <w:rPr>
          <w:rFonts w:ascii="Times New Roman" w:cs="Times New Roman" w:eastAsia="Times New Roman" w:hAnsi="Times New Roman"/>
          <w:sz w:val="18"/>
          <w:szCs w:val="18"/>
          <w:color w:val="auto"/>
        </w:rPr>
        <w:t>LCD offers a comprehensive menu of women's health testing. Highlighted by the industry’s leading suite of NIPT tests, enhanced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2016 acquisition of Sequenom, LCD's testing options include the NuSwab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portolio, featuring high-quality, convenient single-swab tests for common infections of the genital tract, liquid-based Pap testing with image-guided cervical cytology for improved cervical cancer detection, and out-of-the-vial Pap testing with options for human papillomavirus (HPV). LCD also offers tests that utilize the latest technical innovations for the full range of reproductive care, including maternal serum screening, prenatal diagnostics, ethnicity carrier screening, testing for causes of infertility or miscarriage as well as postnatal testing services.</w:t>
      </w:r>
    </w:p>
    <w:p>
      <w:pPr>
        <w:spacing w:after="0" w:line="223"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Pharmacogenetics. </w:t>
      </w:r>
      <w:r>
        <w:rPr>
          <w:rFonts w:ascii="Times New Roman" w:cs="Times New Roman" w:eastAsia="Times New Roman" w:hAnsi="Times New Roman"/>
          <w:sz w:val="18"/>
          <w:szCs w:val="18"/>
          <w:color w:val="auto"/>
        </w:rPr>
        <w:t>LCD provides access to the latest tests in the emerging field of pharmacogenetics. These tests can help physicians understand how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 metabolizes certain drugs, allowing them to select the most appropriate therapies or adjust dosing.</w:t>
      </w:r>
    </w:p>
    <w:p>
      <w:pPr>
        <w:spacing w:after="0" w:line="18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Forensics and Donor Testing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LCD provides forensic identity testing used in connection with criminal proceedings. In 2016, LCD became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DNA analysis for sexual assault cases, as funding was made available nationally and in several states to address a backlog of testing on evidence kits. LCD also provides forensic testing used in connection with parentage evaluation services that assist in determining parentage for child support enforcement proceedings and determining genetic relationships for immigration purposes. Parentage testing involves the evaluation of immunological and genetic markers in specimens obtained from the child, the mother and the alleged father. LCD also provides testing services in reconstruction cases, which assist in determining parentage without the presence of the parent in question. Additionally, LCD provides human leukocyte antigen testing to match organ and tissue transplant recipients with compatible donors.</w:t>
      </w:r>
    </w:p>
    <w:p>
      <w:pPr>
        <w:spacing w:after="0" w:line="21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Occupational Testing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LCD provides testing services for the detection of drug and alcohol abuse for private and government customers.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testing services are designed to produce forensic quality test results that satisfy the rigorous</w:t>
      </w:r>
    </w:p>
    <w:p>
      <w:pPr>
        <w:sectPr>
          <w:pgSz w:w="11900" w:h="16838" w:orient="portrait"/>
          <w:cols w:equalWidth="0" w:num="1">
            <w:col w:w="11420"/>
          </w:cols>
          <w:pgMar w:left="240" w:top="121"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requirements of regulated and non-regulated workplace drug testing programs. Additionally, LCD provides employee wellness screenings comprised of biometric measurements and diagnostic tests to assist in the detection of health risks including cardiovascular disease and diabetes. LCD also provides medical drug monitoring tests that detect common pain medications and illicit drugs to assist physicians with assessing the full scope of a patient’s drug use.</w:t>
      </w:r>
    </w:p>
    <w:p>
      <w:pPr>
        <w:spacing w:after="0" w:line="203"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Chronic Disease Programs. </w:t>
      </w:r>
      <w:r>
        <w:rPr>
          <w:rFonts w:ascii="Times New Roman" w:cs="Times New Roman" w:eastAsia="Times New Roman" w:hAnsi="Times New Roman"/>
          <w:sz w:val="18"/>
          <w:szCs w:val="18"/>
          <w:color w:val="auto"/>
        </w:rPr>
        <w:t>Through Litholink, LCD uses a programmatic approach to the comprehensive treatment of chronic diseases,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kidney disease, cardiovascular disease, metabolic bone disease and diabetes, and offers CDS reports to both physicians and patients. LCD believes these chronic disease programs represent potential significant savings to the healthcare system by increasing the detection of early-stage diseases and effectively managing chronic disease conditions.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New Tests</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Advances in medicine continue to fundamentally change diagnostic testing. New tests are allowing clinical laboratories to provide unprecedented amounts of health-related information to physicians and patients. New molecular diagnostic tests that have been introduced over the past several years, including a gene-based test for HPV, HIV drug resistance assays, and molecular genetic testing for cystic fibrosis, have now become part of standard clinical practice. LCD continued its industry leadership in gene-based and esoteric testing in 2016, generating more than $2.0 billion in revenue from these testing services. As science continues to advance, LCD expects new testing technologies to emerge and, therefore, intends to continue to invest in advanced testing capabilities so that it can remain on the cutting edge of diagnostic laboratory testing. The Company has added, and expects to continue to add, new testing technologies and capabilities through a combination of internal development initiatives, technology licensing and partnership transactions, and selected business acquisitions. Through its sales force, LCD rapidly introduces new testing technologies to customers. This differentiation is important in the retention and growth of business.</w:t>
      </w:r>
    </w:p>
    <w:p>
      <w:pPr>
        <w:spacing w:after="0" w:line="21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In 2016, LCD continued its emphasis on scientific innovation and leadership with the introduction of significant test menu and automation enhancements. The Company launched more than 100 new tests in 2016. LCD is focused on the expansion of existing programs in molecular diagnostics as well as the introduction of new assays and assay platforms through licensing partnerships, acquisitions and internal development. The Company's commitment to the development of new diagnostics and applications for those diagnostics is evidenced by producing more than 450 peer-reviewed publications and presentations at scientific meetings, along with regular presentations in academic medical center grand rounds and seminars, in 2016. Examples of new tests and services introduced in 2016 include:</w:t>
      </w:r>
    </w:p>
    <w:p>
      <w:pPr>
        <w:spacing w:after="0" w:line="211" w:lineRule="exact"/>
        <w:rPr>
          <w:sz w:val="20"/>
          <w:szCs w:val="20"/>
          <w:color w:val="auto"/>
        </w:rPr>
      </w:pPr>
    </w:p>
    <w:p>
      <w:pPr>
        <w:jc w:val="both"/>
        <w:ind w:left="2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Infectious Diseases. </w:t>
      </w:r>
      <w:r>
        <w:rPr>
          <w:rFonts w:ascii="Times New Roman" w:cs="Times New Roman" w:eastAsia="Times New Roman" w:hAnsi="Times New Roman"/>
          <w:sz w:val="18"/>
          <w:szCs w:val="18"/>
          <w:color w:val="auto"/>
        </w:rPr>
        <w:t>LCD was the first commercial laboratory in the U.S. to offer both Zika RT-PCR and Zika Elisa testing for IgM. LCD had the first site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U.S. to offer commercial testing services with Roche's new cobas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8800 system. The system automates the entire molecular diagnostics testing process, from specimen preparation and nucleic acid extraction/purification through polymerase chain reaction (PCR) amplification and detection, and is the first high-throughput molecular system to be approved by the U.S. Food and Drug Administration (FDA) for moderately complex testing as defined pursuant to the Clinical Laboratory Improvement Amendments of 1988 (CLIA). LCD is initially running hepatitis C viral load testing on the system but plans to add testing for HIV and hepatitis B virus.</w:t>
      </w:r>
    </w:p>
    <w:p>
      <w:pPr>
        <w:spacing w:after="0" w:line="223" w:lineRule="exact"/>
        <w:rPr>
          <w:sz w:val="20"/>
          <w:szCs w:val="20"/>
          <w:color w:val="auto"/>
        </w:rPr>
      </w:pPr>
    </w:p>
    <w:p>
      <w:pPr>
        <w:jc w:val="both"/>
        <w:ind w:lef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Cancer Tests. </w:t>
      </w:r>
      <w:r>
        <w:rPr>
          <w:rFonts w:ascii="Times New Roman" w:cs="Times New Roman" w:eastAsia="Times New Roman" w:hAnsi="Times New Roman"/>
          <w:sz w:val="18"/>
          <w:szCs w:val="18"/>
          <w:color w:val="auto"/>
        </w:rPr>
        <w:t>LCD made available a new application for the companion diagnostic associated with the use of Tarceva® for the treatment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non-small cell lung cancer (NSCLC). The Roche cobas® EGFR Mutation Test v2 is the first blood-based test approved for clinical use in the U.S. to detect certain epidermal growth factor receptor (EGFR) gene mutations in NSCLC patients. LCD began to offer the Epi proColon® test. This is the first FDA-approved DNA-based blood test for colorectal cancer.</w:t>
      </w:r>
    </w:p>
    <w:p>
      <w:pPr>
        <w:spacing w:after="0" w:line="204" w:lineRule="exact"/>
        <w:rPr>
          <w:sz w:val="20"/>
          <w:szCs w:val="20"/>
          <w:color w:val="auto"/>
        </w:rPr>
      </w:pPr>
    </w:p>
    <w:p>
      <w:pPr>
        <w:jc w:val="both"/>
        <w:ind w:lef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Women's Health. </w:t>
      </w:r>
      <w:r>
        <w:rPr>
          <w:rFonts w:ascii="Times New Roman" w:cs="Times New Roman" w:eastAsia="Times New Roman" w:hAnsi="Times New Roman"/>
          <w:sz w:val="18"/>
          <w:szCs w:val="18"/>
          <w:color w:val="auto"/>
        </w:rPr>
        <w:t>LCD acquired Sequenom, a pioneering laboratory for NIPT testing. This acquisition expanded LCD's NIPT offering to include a robust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menu of NIPT testing options, ranging from screening for the common autosomal trisomies, to detection of select microdeletions, to a genome-wide assessment of large copy number variants. These offerings provide the most comprehensive menu of noninvasive fetal aneuploidy screening.</w:t>
      </w:r>
    </w:p>
    <w:p>
      <w:pPr>
        <w:spacing w:after="0" w:line="198" w:lineRule="exact"/>
        <w:rPr>
          <w:sz w:val="20"/>
          <w:szCs w:val="20"/>
          <w:color w:val="auto"/>
        </w:rPr>
      </w:pPr>
    </w:p>
    <w:p>
      <w:pPr>
        <w:jc w:val="both"/>
        <w:ind w:lef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Immunotherapeutics and Oncology. </w:t>
      </w:r>
      <w:r>
        <w:rPr>
          <w:rFonts w:ascii="Times New Roman" w:cs="Times New Roman" w:eastAsia="Times New Roman" w:hAnsi="Times New Roman"/>
          <w:sz w:val="18"/>
          <w:szCs w:val="18"/>
          <w:color w:val="auto"/>
        </w:rPr>
        <w:t>LCD began to offer the Ventana PD-L1 test for bladder cancer as a complementary diagnostic for Tecentriq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(atezolizumab), adding it to several existing PD-L1 tests already available from LCD. In 2016, the Company performed thousands of PD-L1 tests through both LCD and CDD. The Company continues to play a pivotal role in the clinical trials for new treatments and diagnostics for cancer, including immunotherapies and companion and complementary diagnostic tests. In the innovative and rapidly expanding area of oncology immunotherapy, CDD doubled the number of study awards from 2015-2016.</w:t>
      </w:r>
    </w:p>
    <w:p>
      <w:pPr>
        <w:spacing w:after="0" w:line="21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LCD continues its collaborations with university, hospital and academic institutions, such as Duke University, Johns Hopkins University, Boston University, Columbia University, The Mount Sinai Hospital, the University of Tennessee and Yale University, to license and commercialize new diagnostic tests.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LCD Technology-Enabled Solutions</w:t>
      </w:r>
    </w:p>
    <w:p>
      <w:pPr>
        <w:spacing w:after="0" w:line="256"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LCD’s technology-enabled solutions include innovative decision support programs for chronic diseases, population health analytics tools, the LabCorp Link product, the LabCorp Patient product, and BeaconLBS. These industry-leading solutions are improving health and improving lives by helping to provide better care.</w:t>
      </w:r>
    </w:p>
    <w:p>
      <w:pPr>
        <w:spacing w:after="0" w:line="203"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During 2016, LCD delivered more than 5.5 million enhanced CDS reports for chronic health conditions, including kidney disease, cardiovascular disease, metabolic bone disease and diabetes. LCD’s proprietary CDS reports integrate patient-specific diagnostic information and evidence-based healthcare content to help physicians and patients better manage health. In addition, these decision-support programs promote physician adherence to evidence-based treatment guidelines.</w:t>
      </w:r>
    </w:p>
    <w:p>
      <w:pPr>
        <w:spacing w:after="0" w:line="20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LCD continues to develop new population health analytics programs that provide healthcare business intelligence tools to hospitals, physician practices, and accountable care organizations (ACOs). These tools are intended to assist customers in their compliance and reporting requirements with respect to efficient management of their productivity, quality and patient outcome metrics. LCD's robust rules engine maintains a large number of clinical quality measures that are highly customizable and support compliance with meaningful use and quality reporting requirements such as ACO standards, Joint Commission standards and the CMS Physician Quality Reporting System (PQRS). Real-time clinical alerts highlight gaps in care for patients and patient populations.</w:t>
      </w:r>
    </w:p>
    <w:p>
      <w:pPr>
        <w:spacing w:after="0" w:line="21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LCD's centralized and proprietary LabCorp Link product, which focuses on physicians, is a series of assets and functionalities that enhance the customer experience and provide an end-to-end lab solution. These assets and functionalities include:</w:t>
      </w:r>
    </w:p>
    <w:p>
      <w:pPr>
        <w:spacing w:after="0" w:line="67" w:lineRule="exact"/>
        <w:rPr>
          <w:sz w:val="20"/>
          <w:szCs w:val="20"/>
          <w:color w:val="auto"/>
        </w:rPr>
      </w:pPr>
    </w:p>
    <w:p>
      <w:pPr>
        <w:ind w:left="960" w:hanging="33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physician portal optimized for web and mobile devices;</w:t>
      </w:r>
    </w:p>
    <w:p>
      <w:pPr>
        <w:spacing w:after="0" w:line="27"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 electronic ordering for essentially all of LCD's brands and services;</w:t>
      </w:r>
    </w:p>
    <w:p>
      <w:pPr>
        <w:spacing w:after="0" w:line="9"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results viewing and enhanced reports;</w:t>
      </w:r>
    </w:p>
    <w:p>
      <w:pPr>
        <w:spacing w:after="0" w:line="9"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analytics that provide one-click trending of patient, test and population data;</w:t>
      </w:r>
    </w:p>
    <w:p>
      <w:pPr>
        <w:spacing w:after="0" w:line="9"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CDS tools at the point of testing and resulting;</w:t>
      </w:r>
    </w:p>
    <w:p>
      <w:pPr>
        <w:spacing w:after="0" w:line="9" w:lineRule="exact"/>
        <w:rPr>
          <w:rFonts w:ascii="Times New Roman" w:cs="Times New Roman" w:eastAsia="Times New Roman" w:hAnsi="Times New Roman"/>
          <w:sz w:val="18"/>
          <w:szCs w:val="18"/>
          <w:color w:val="auto"/>
        </w:rPr>
      </w:pPr>
    </w:p>
    <w:p>
      <w:pPr>
        <w:ind w:left="960" w:right="460" w:hanging="331"/>
        <w:spacing w:after="0" w:line="250"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AccuDraw, which provides graphical, step-by-step guidance to help improve accuracy, workflow and turnaround time in the collection and processing of specimens at the point of collection; and</w:t>
      </w:r>
    </w:p>
    <w:p>
      <w:pPr>
        <w:ind w:left="960" w:hanging="33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Services-oriented architecture with rules-based engines, content aggregation and seamless integration with practice workflow.</w:t>
      </w:r>
    </w:p>
    <w:p>
      <w:pPr>
        <w:spacing w:after="0" w:line="112"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LCD’s centralized and proprietary LabCorp Patient product is a series of assets and functionalities that enhance the patience experience. These assets and functionalities include:</w:t>
      </w:r>
    </w:p>
    <w:p>
      <w:pPr>
        <w:spacing w:after="0" w:line="67" w:lineRule="exact"/>
        <w:rPr>
          <w:sz w:val="20"/>
          <w:szCs w:val="20"/>
          <w:color w:val="auto"/>
        </w:rPr>
      </w:pPr>
    </w:p>
    <w:p>
      <w:pPr>
        <w:ind w:left="960" w:hanging="331"/>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 portal optimized for web and market-leading mobile devices;</w:t>
      </w:r>
    </w:p>
    <w:p>
      <w:pPr>
        <w:spacing w:after="0" w:line="27"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results viewing and patient education materials;</w:t>
      </w:r>
    </w:p>
    <w:p>
      <w:pPr>
        <w:spacing w:after="0" w:line="9"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appointment scheduling and bill payment; and</w:t>
      </w:r>
    </w:p>
    <w:p>
      <w:pPr>
        <w:spacing w:after="0" w:line="9"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opt-in acknowledgement option.</w:t>
      </w:r>
    </w:p>
    <w:p>
      <w:pPr>
        <w:spacing w:after="0" w:line="112"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LCD's BeaconLBS business provides a technology-enabled solution that provides point-of-care decision support through interfaces with test ordering systems to assist physicians in selecting a lab and the appropriate test for the patient at the appropriate time. Physicians, patients, healthcare delivery systems and payers are expected to benefit from this innovation, which supports the selection of labs that improve quality, supports evidence-based guidelines for patient care, and more effectively manages laboratory testing utilization trends without disrupting physician work flow. The BeaconLBS rules engine interfaces with payer policies for ordering, utilization, adjudication and payment.</w:t>
      </w:r>
    </w:p>
    <w:p>
      <w:pPr>
        <w:spacing w:after="0" w:line="211" w:lineRule="exact"/>
        <w:rPr>
          <w:sz w:val="20"/>
          <w:szCs w:val="20"/>
          <w:color w:val="auto"/>
        </w:rPr>
      </w:pPr>
    </w:p>
    <w:p>
      <w:pPr>
        <w:jc w:val="both"/>
        <w:ind w:firstLine="270"/>
        <w:spacing w:after="0" w:line="242" w:lineRule="auto"/>
        <w:rPr>
          <w:sz w:val="20"/>
          <w:szCs w:val="20"/>
          <w:color w:val="auto"/>
        </w:rPr>
      </w:pPr>
      <w:r>
        <w:rPr>
          <w:rFonts w:ascii="Times New Roman" w:cs="Times New Roman" w:eastAsia="Times New Roman" w:hAnsi="Times New Roman"/>
          <w:sz w:val="18"/>
          <w:szCs w:val="18"/>
          <w:color w:val="auto"/>
        </w:rPr>
        <w:t>In 2013, BeaconLBS signed an agreement with UnitedHealthcare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implement a laboratory benefit management program in Florida utilizing BeaconLBS. UnitedHealthcare launched the laboratory benefit management program with BeaconLBS in Florida on October 1, 2014. In April 2015, BeaconLBS achieved its targeted implementation for UnitedHealthcare in Florida, and LCD began recognizing revenue for providing this service. Initial results from the pilot program in Florida included improvement in physician use of Labs of Choice (a network of quality, cost-effective labs); improvement in physician test selection based on evidence-based guidelines; reduction in patient out-of-pocket costs; and a reduction in patient use of non-par laboratories. UnitedHealthcare announced that it will expand the BeaconLBS laboratory benefit management program to Texas, and began providing physicians in Texas access to the physician decision support tool on January 1, 2017. UnitedHealthCare delayed the program's claims impact to make further refinements to the program based on data, experience, and feedback from Texas providers. UnitedHealthcare communicated that they would notify providers 90 days in advance of initiating denials for impacted claims.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for Laboratory Services</w:t>
      </w:r>
    </w:p>
    <w:p>
      <w:pPr>
        <w:spacing w:after="0" w:line="25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Billing for laboratory services is a complicated process involving many payers such as MCOs, Medicare, Medicaid, physicians and physician groups, hospitals, patients and employer groups, all of which have different billing requirements. In addition, billing arrangements with third-party administrators may further complicate the billing process. Tests ordered by a physician may be</w:t>
      </w:r>
    </w:p>
    <w:p>
      <w:pPr>
        <w:sectPr>
          <w:pgSz w:w="11900" w:h="16838" w:orient="portrait"/>
          <w:cols w:equalWidth="0" w:num="1">
            <w:col w:w="11420"/>
          </w:cols>
          <w:pgMar w:left="240" w:top="12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billed to different payers depending on the medical benefits of a particular patient. Most testing services are billed to a party other than the physician or other authorized person who ordered the test. A growing portion of revenue is derived from patients in the form of deductibles, coinsurance, copayments, and charges for non-covered tests.</w:t>
      </w:r>
    </w:p>
    <w:p>
      <w:pPr>
        <w:spacing w:after="0" w:line="20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LCD utilizes a centralized billing system in the collection of approximately 92.2% of its domestic revenue (87.4% of consolidated LCD revenue). This system generates bills to LCD customers based on payer type. Customer billing is typically generated monthly, whereas patient and third-party billing are typically generated daily. Accounts receivable are then monitored by billing personnel, and follow-up activities are conducted as necessary. Bad debt expense is recorded within selling, general and administrative expenses as a percentage of sales considered necessary to maintain the allowance for doubtful accounts at an appropriate level, based on LCD's experience with its accounts receivable. LCD writes off accounts against the allowance for doubtful accounts when accounts receivable are deemed to be uncollectible. For customer billing, third-party and managed care, accounts are written off when all reasonable collection efforts prove to be unsuccessful. Patient accounts are written off after the normal dunning cycle has occurred and the account has been transferred to a third-party collection agency.</w:t>
      </w:r>
    </w:p>
    <w:p>
      <w:pPr>
        <w:spacing w:after="0" w:line="21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A significant portion of LCD's bad debt expense is related to accounts receivable from patients who are unwilling or unable to pay. In 2016, LCD continued its focus on process and account management initiatives to reduce the negative impact of bad debt expense related to patient accounts receivable.</w:t>
      </w:r>
    </w:p>
    <w:p>
      <w:pPr>
        <w:spacing w:after="0" w:line="189"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Another component of LCD’s bad debt expense is the result of non-credit-related issues that slow the billing process, such as missing or incorrect billing information on test requisitions. LCD vigorously attempts to obtain any missing information or rectify any incorrect billing information received from the ordering physician. However, LCD typically performs the requested tests and returns the test results regardless of whether billing information is correct or complete. LCD believes that this experience is similar to that of its primary competitors. LCD continues to focus on process initiatives aimed at reducing the impact of these non-credit-related issues by reducing the number of requisitions received that have missing billing information or have incorrect information. This is accomplished through ongoing identification of root-cause issues, deploying technology-enabled solutions, training provided to internal and external resources involved in the patient data capture process, and an emphasis on the use of electronic test ordering. Specific to technology-enabled solutions, in 2016 LCD deployed insurance eligibility verification and address validation at the time of service in all patient service centers. In 2017, the Company plans to implement technologies that enable self-service check-in for patients, and provide out-of-pocket cost estimates that include coverage limitations.</w:t>
      </w:r>
    </w:p>
    <w:p>
      <w:pPr>
        <w:spacing w:after="0" w:line="21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each year and can be adjusted at the government's discretion based upon the actual volume and mix of testing services performed by the licensed healthcare providers in the province during the year. In 2016, the amount of the Company's capitated revenue derived from the Ontario government-sponsored healthcare plan was CAD $187.0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Market Changes on the Clinical Laboratory Business</w:t>
      </w:r>
    </w:p>
    <w:p>
      <w:pPr>
        <w:spacing w:after="0" w:line="25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delivery of, and reimbursement for, healthcare continues to change,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test utilization for the clinical laboratory industry by imposing new, increasingly complex regulatory and administrative requirements. From time to time, the government also has considered changes to the Medicare and Medicaid fee schedules, and LCD believes that pressure to reduce government reimbursement will continue.</w:t>
      </w:r>
    </w:p>
    <w:p>
      <w:pPr>
        <w:spacing w:after="0" w:line="215"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Fees for most laboratory services reimbursed by Medicare are established in the Clinical Laboratory Fee Schedule (CLFS), and fees for other testing reimbursed by Medicare, primarily related to pathology, are covered by the Physician Fee Schedule (PFS). During 2016, approximately 12.3% of LCD’s revenue was reimbursed under the CLFS (12.3% in 2015), and approximately 0.8% was reimbursed under the PFS (0.9% in 2015). Over the past several years, LCD has experienced governmental reimbursement reductions as a direct result of the Patient Protection and Affordable Care Act (ACA), the Medicare Access and CHIP Reauthorization Act of 2015 (MACRA) and the Achieving a Better Life Experience Act of 2014 (ABLE Act). In addition, the Protecting Access to Medicare Act (PAMA), which became law on April 1, 2014, is expected to result in a future net reduction in reimbursement revenue under the CLFS. These laws include provisions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During 2013, government payment reductions and molecular pathology payment issues (largely driven by payer policy changes)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reduced the Company’s net revenue by more than $100.0 million. The negative impact from these reimbursement challenges was largely sustained through 2016. In addition to that reduction, in 2014, LCD experienced payment reductions from the CLFS of $6.0 million and from the PFS of $6.6 million. During 2015, LCD had also experienced a 0.25% payment reduction under the CLFS, equal to approximately $2.0 million in net revenue, which was offset by an increase in reimbursement from the PFS of approximately $2.1 million. During 2016, LCD received a 0.10% payment increase under the CLFS, representing approximately $0.8 million. In 2017, LCD will receive a 1.2% payment increase under the CLFS, representing approximately $9.9 million. In 2016, LCD experienced a $2.4 million reduction to PFS net revenue driven by reductions in flow cytometry procedures. The 2016 reductions to these procedures exceeded 20%. As outlined in certain provisions of PAMA, and as interpreted by CMS, reductions in PFS rates in excess of 20% will be phased in over multiple years so as not to exceed 20% in any given year. In 2017, LCD will see continued reductions to flow cytometry procedures which carry over from the 2016 PFS change along with reductions in surgical pathology procedures. LCD estimates an aggregate $3.7 million reduction in PFS net revenue in 2017.</w:t>
      </w:r>
    </w:p>
    <w:p>
      <w:pPr>
        <w:spacing w:after="0" w:line="216"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Under PAMA, beginning in 2018, CMS will set and make adjustments to the CLFS using market-based information that reflects the scope of private payer prices paid to laboratories that receive a majority of their Medicare revenue from the CLFS and PFS and that bill Medicare under their own National Provider Identifier (NPI). On June 23, 2016, CMS issued a final rule to implement PAMA that would require applicable laboratories, including LCD, to begin reporting their test-specific private payer payment amounts to CMS during the first quarter of 2017. CMS intends to use that private market data to calculate weighted median prices for each test (based on applicable CPT codes) that would represent the new CLFS rates beginning in 2018, subject to certain phase-in limits. For 2018-2020, a test price cannot be reduced by more than 10.0% per year; for 2021-2023, a test price cannot be reduced by more than 15.0% per year. The process of data reporting and repricing will be repeated every three years for Clinical Diagnostic Laboratory Tests (CDLTs). The second data reporting period for CDLTs will occur during the first quarter of 2020, and new CLFS rates for CDLTs will be established based on that data beginning in 2021, subject to the previously described phase-in limits for 2021-2023. The third data reporting period for CDLTs will occur during the first quarter of 2023, and new CLFS rates for CDLTs will be established based on that data beginning in 2024. CLFS rates for 2024 and subsequent periods will not be subject to phase-in limits. CLFS rates for Advanced Diagnostic Laboratory Tests (ADLTs) will be updated annually.</w:t>
      </w:r>
    </w:p>
    <w:p>
      <w:pPr>
        <w:spacing w:after="0" w:line="220"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On November 4, 2016, CMS noted in a final rule implementing MACRA that it intends to apply Merit Based Incentive Payment System (MIPS) requirements to pathologists practicing in independent laboratories, including LCD. Under this requirement, LCD pathologists will be required to begin reporting certain quality metrics in 2017 for LCD to avoid negative PFS payment adjustments or to qualify for positive PFS payment adjustments beginning in 2019. The American Clinical Laboratory Association (ACLA) is in discussions with CMS regarding implementation of this requirement, which was not proposed in the MACRA proposed rule. LCD expects to be in compliance with any MACRA quality reporting requirements that may be implemented.</w:t>
      </w:r>
    </w:p>
    <w:p>
      <w:pPr>
        <w:spacing w:after="0" w:line="211"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Following the 2016 U.S. general election, a single party now leads the executive branch and holds majorities in both the U.S. Senate and House of Representatives. This presents the possibility for further healthcare reform beginning in 2017, changes to, or repeal of, the ACA may continue to affect coverage, reimbursement, and utilization of laboratory services, as well as administrative requirements, in ways that are currently unpredictable. Further, structural reforms of Medicare could occur under the 115th Congress and the present administration, such as the imposition of uniform coinsurance and the combination of the Medicare Part A and Part B deductibles issued by the then existing Administration during the last 60 legislative days of the 114th Congress. On January 20, 2017, the new administration signed an executive order directing federal agencies to exercise existing authorities to reduce burdens associated with the ACA pending further action by Congress. On the same day, the White House issued a regulatory freeze memo under which rules and guidance published but not yet effective must be frozen for 60 days pending review; rules and guidance submitted for publication but not yet published must be withdrawn, and rules and guidance not yet submitted for publication must not be submitted without further direction from the Administration. Since then, further executive orders and statements from the White House and Congress have addressed potential regulatory changes that could affect the Company and its customers.</w:t>
      </w:r>
    </w:p>
    <w:p>
      <w:pPr>
        <w:spacing w:after="0" w:line="220"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addition, market-based changes have affected and will continue to affect the clinical laboratory business. Reimbursement from commercial payers for diagnostic testing has shifted and will continue to shift away from traditional, fee-for-service models to alternatives, including value-based, bundled pay-for-performance and other risk-sharing payment models. The growth of the managed care sector and consolidation of MCOs present various challenges and opportunities to LCD and other clinical laboratories.</w:t>
      </w:r>
    </w:p>
    <w:p>
      <w:pPr>
        <w:spacing w:after="0" w:line="20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 2006, the Company signed a 10-year agreement with UnitedHealthcare to become its exclusive national laboratory in the U.S. In September 2011, the Company extended this agreement for an additional two years through the end of 2018. The Company also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arrangement, the clinical laboratory receives a per-member, per-month payment for an agreed upon menu of laboratory tests provided to MCO members during the month, regardless of the number of tests performed. For the year ended December 31, 2016, capitated contracts with MCOs accounted for approximately $225.8 million, or 3.4%, of LCD's net revenues. LCD's ability to attract and retain MCO customers has become even more important as the impact of various healthcare reform initiatives continues, including expanded health insurance exchanges and ACOs.</w:t>
      </w:r>
    </w:p>
    <w:p>
      <w:pPr>
        <w:spacing w:after="0" w:line="207"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Despite the market changes regarding reimbursement discussed above, LCD believes that the volume of clinical laboratory testing is positively influenced by several factors, including an expansion of Medicaid, managed care, and private insurance exchanges. In addition, LCD believes that increased knowledge of the human genome and continued innovation 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 population.</w:t>
      </w:r>
    </w:p>
    <w:p>
      <w:pPr>
        <w:spacing w:after="0" w:line="211"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LCD believes its enhanced esoteric menu, geographic footprint and operating efficiency provide a strong platform for growth. In particular, LCD believes that it will benefit from the development of and increased interest in new companion and complementary diagnostics. Companion diagnostics are tests that must be used before a patient can be treated with a specific therapeutic, to help identify how or if the therapeutic will be effective or if it may cause adverse events. Complementary diagnostics are not required for determining who should receive the therapeutic, or how it should be used, but can give physicians information about a patient’s potential response to a specific therapeutic or class of therapeutics. LCD and CDD are uniquely positioned to provide end-to-end support for the development and commercialization of companion and complementary diagnostics and their associated treatments.</w:t>
      </w:r>
    </w:p>
    <w:p>
      <w:pPr>
        <w:spacing w:after="0" w:line="21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impact of these factors is expected to be partially offset by declines in volume as a result of increased controls over the utilization of laboratory services by Medicare, Medicaid, and other third-party payers, particularly MCOs. MCOs are implementing, directly or through third parties, various type of laboratory benefit management programs, which may include lab networks, utilization management tools (such as prior authorization and/or prior notification), and claims edits, which impact coverage and reimbursement of clinical laboratory tests. Some of these programs address clinical laboratory testing broadly, while others are focused on molecular and genetic testing. In addition, continued movement by patients into consumer-driven health plans may have an impact on the utilization of laboratory testing.</w:t>
      </w:r>
    </w:p>
    <w:p>
      <w:pPr>
        <w:spacing w:after="0" w:line="8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Covance Drug Development Segment</w:t>
      </w:r>
    </w:p>
    <w:p>
      <w:pPr>
        <w:spacing w:after="0" w:line="13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Covance Drug Development provides end-to-end drug development services from early-stage research to clinical trial management and beyond. CDD provides a wide range of drug research and development (R&amp;D) and market access services to biopharmaceutical companies and medical device companies across the world. CDD has more than 15,000 employees worldwide and a global network of operations with offices in more than 30 countries and business in approximately 60 countries. It has deep expertise in clinical trials, supporting clinical trial activity in approximately 100 countries through its industry-leading central laboratory business, generating more safety and efficacy data to support drug approvals than any other company. CDD collaborated on 100% of all novel oncology drugs and approximately 95% of the drugs servicing the rare and orphan disease space that were approved in 2016. In addition, CDD has been involved in the development of all current top 50 drugs on the market as measured by sales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Industry</w:t>
      </w:r>
    </w:p>
    <w:p>
      <w:pPr>
        <w:spacing w:after="0" w:line="256" w:lineRule="exact"/>
        <w:rPr>
          <w:sz w:val="20"/>
          <w:szCs w:val="20"/>
          <w:color w:val="auto"/>
        </w:rPr>
      </w:pPr>
    </w:p>
    <w:p>
      <w:pPr>
        <w:jc w:val="both"/>
        <w:ind w:firstLine="301"/>
        <w:spacing w:after="0" w:line="255" w:lineRule="auto"/>
        <w:rPr>
          <w:sz w:val="20"/>
          <w:szCs w:val="20"/>
          <w:color w:val="auto"/>
        </w:rPr>
      </w:pPr>
      <w:r>
        <w:rPr>
          <w:rFonts w:ascii="Times New Roman" w:cs="Times New Roman" w:eastAsia="Times New Roman" w:hAnsi="Times New Roman"/>
          <w:sz w:val="18"/>
          <w:szCs w:val="18"/>
          <w:color w:val="auto"/>
        </w:rPr>
        <w:t>Drug development services companies like CDD are also referred to as contract research organizations (CROs) and typically derive substantially all of their revenue from R&amp;D as well as marketing expenditures of the biopharmaceutical industry. CDD offers comprehensive global drug development services from preclinical research through all phases of clinical development and into commercialization. Outsourcing of R&amp;D services from biopharmaceutical companies to CROs has significantly increased in the past, and is expected to continue increasing in the future, because of several factors, including: pressures to contain costs, limitations on internal R&amp;D capacity, the need to reduce drug development timelines, customer demand for simultaneous research in multiple countries, stringent government regulation, and therapeutic and other expertise that customers lack internally. The investment and amount of time required to develop new drugs are significant and have been increasing, and these trends create opportunities for CDD and other CROs that can help make the drug development process more efficient.</w:t>
      </w:r>
    </w:p>
    <w:p>
      <w:pPr>
        <w:spacing w:after="0" w:line="21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drug development industry has many participants ranging from hundreds of small providers to a limited number of large CROs with global capabilities. CDD competes against these small and large CROs, as well as in-house departments of biopharmaceutical companies, and to a lesser extent, selected universities and teaching hospitals.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is competition for customers on the basis of many factors, including: reputation for quality, timely performance and regulatory compliance; expertise and experience in operations, efficiency of drug development processes, technology, therapeutic areas, and market access services; scope of service offerings; strengths in various geographic markets; price; quality of facilities; ability to acquire, process, analyze and report data in a rapid and accurate manner; quality of relationships; ability to manage large-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scale clinical trials both domestically and internationally, including the recruitment of appropriate and sufficient clinical trial subjects; and size and scale.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CDD believes that it competes favorably in these areas.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Services</w:t>
      </w:r>
    </w:p>
    <w:p>
      <w:pPr>
        <w:spacing w:after="0" w:line="256" w:lineRule="exact"/>
        <w:rPr>
          <w:sz w:val="20"/>
          <w:szCs w:val="20"/>
          <w:color w:val="auto"/>
        </w:rPr>
      </w:pPr>
    </w:p>
    <w:p>
      <w:pPr>
        <w:jc w:val="both"/>
        <w:ind w:firstLine="243"/>
        <w:spacing w:after="0" w:line="228" w:lineRule="auto"/>
        <w:rPr>
          <w:sz w:val="20"/>
          <w:szCs w:val="20"/>
          <w:color w:val="auto"/>
        </w:rPr>
      </w:pPr>
      <w:r>
        <w:rPr>
          <w:rFonts w:ascii="Times New Roman" w:cs="Times New Roman" w:eastAsia="Times New Roman" w:hAnsi="Times New Roman"/>
          <w:sz w:val="18"/>
          <w:szCs w:val="18"/>
          <w:color w:val="auto"/>
        </w:rPr>
        <w:t>CDD’s preclinical service offerings include research models, lead optimization, analytical services, safety assessment, and chemistry manufacturing and control (CMC) services for drug development. CDD offers solution-based approaches by leveraging highly experienced program development directors and project managers to help guide strategic decisions and manage molecule development in an integrated, streamlined manner across CDD's eight analytical laboratories and preclinical laboratories in the U.S., the U.K., Germany and China. CDD's historical innovations in the preclinical area include technologies such as: MarketPlace and StudyTracker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Covance MarketPlace is a private, secure web portal providing potential investors or partners access to information about new drugs in development. StudyTracker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an internet-based customer access product, allowing customers of toxicology, bioanalytical, metabolism, and reproductive and developmental toxicology services to review study schedules and data on a near real-time basis.</w:t>
      </w:r>
    </w:p>
    <w:p>
      <w:pPr>
        <w:spacing w:after="0" w:line="222"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Models. </w:t>
      </w:r>
      <w:r>
        <w:rPr>
          <w:rFonts w:ascii="Times New Roman" w:cs="Times New Roman" w:eastAsia="Times New Roman" w:hAnsi="Times New Roman"/>
          <w:sz w:val="18"/>
          <w:szCs w:val="18"/>
          <w:color w:val="auto"/>
        </w:rPr>
        <w:t>CDD is an AAALAC International accredited provider of purpose-bred research models globally. Due to regulation by the FDA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foreign regulatory bodies, safety and efficacy testing on research models is required as part of the drug development process prior to testing in humans. CDD has a strong commitment to animal welfare, and has instituted progressive enrichment practices and rigorous health testing standards that exceed industry standards to protect the health of CDD's models. CDD is also committed to seeking out alternatives to, or the reduction of, the use of research models when possible. CDD's research models include standard lines as well as disease state and genetically altered models to accommodate customers’ needs. CDD offers purpose-bred-specific, pathogen free rabbits, canines, nonhuman primates, and other species, as well as blood and tissue products and surgical/technical services, including telemetry. The purpose-bred research animals are sold to biopharmaceutical companies, university research centers and CROs.</w:t>
      </w:r>
    </w:p>
    <w:p>
      <w:pPr>
        <w:spacing w:after="0" w:line="212" w:lineRule="exact"/>
        <w:rPr>
          <w:sz w:val="20"/>
          <w:szCs w:val="20"/>
          <w:color w:val="auto"/>
        </w:rPr>
      </w:pPr>
    </w:p>
    <w:p>
      <w:pPr>
        <w:jc w:val="both"/>
        <w:ind w:lef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Lead Optimization</w:t>
      </w:r>
      <w:r>
        <w:rPr>
          <w:rFonts w:ascii="Times New Roman" w:cs="Times New Roman" w:eastAsia="Times New Roman" w:hAnsi="Times New Roman"/>
          <w:sz w:val="18"/>
          <w:szCs w:val="18"/>
          <w:color w:val="auto"/>
        </w:rPr>
        <w:t>. Lead optimization services are designed to connect early discovery activities to regulated pre-clinical studies. These services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non-GLP toxicology,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with model development and integrated safety and efficacy capabilities, nonclinical imaging, nonclinical pathology services, pharmacokinetic/toxicokinetic (PK/TK) analysis reporting and immunology services.</w:t>
      </w:r>
    </w:p>
    <w:p>
      <w:pPr>
        <w:spacing w:after="0" w:line="198"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Analytical Services</w:t>
      </w:r>
      <w:r>
        <w:rPr>
          <w:rFonts w:ascii="Times New Roman" w:cs="Times New Roman" w:eastAsia="Times New Roman" w:hAnsi="Times New Roman"/>
          <w:sz w:val="18"/>
          <w:szCs w:val="18"/>
          <w:color w:val="auto"/>
        </w:rPr>
        <w:t>. Bioanalytical testing services help determine the appropriate dose and frequency of drug application from late discovery evaluation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through Phase III clinical testing on a full-scale, globally integrated basis. CDD’s analytical services offering includes liquid chromatography-mass spectroscopy immunoanalytical solutions and specialty support, translational biomarker solutions, discovery bioanalysis, vaccine analysis, PK/TK analysis and reporting, and organic synthesis. In addition, CDD offers a growing menu of validated, nonproprietary assays for hundreds of compounds, eliminating method development and validation time, and reducing program cost. CDD has dedicated lab facilities across three continents providing in vitro drug metabolism,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radiolabeled absorption, distribution, metabolism and excretion studies; metabolite identification/profiling and nonclinical PK screening; and radiosynthesis services. CDD also provides pharmaceutical chemistry services that determine the metabolic profile and bioavailability of drug candidates.</w:t>
      </w:r>
    </w:p>
    <w:p>
      <w:pPr>
        <w:spacing w:after="0" w:line="212"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Assessment. </w:t>
      </w:r>
      <w:r>
        <w:rPr>
          <w:rFonts w:ascii="Times New Roman" w:cs="Times New Roman" w:eastAsia="Times New Roman" w:hAnsi="Times New Roman"/>
          <w:sz w:val="18"/>
          <w:szCs w:val="18"/>
          <w:color w:val="auto"/>
        </w:rPr>
        <w:t>Safety assessment services include general, genetic, and immunotoxicology services; nonclinical pathology service;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pharmacology services; and developmental and reproductive toxicology (DART) studies. CDD’s drug development services employ state-of-the-art technology and an integrated program for both large and small molecules with facilities across three continents. CDD's nonclinical pathology group is comprised of certified veterinary pathologists who provide critical insights and recommendations to help customers navigate the drug development process. CDD’s safety pharmacology services utilize the Value Added Safety Pharmacology &amp; Toxicology approach to economically assess pharmacology endpoints during toxicology studies to minimize safety issues during the clinical phases. DART services help customers assess the birth defect risk for potential drug candidates.</w:t>
      </w:r>
    </w:p>
    <w:p>
      <w:pPr>
        <w:spacing w:after="0" w:line="210" w:lineRule="exact"/>
        <w:rPr>
          <w:sz w:val="20"/>
          <w:szCs w:val="20"/>
          <w:color w:val="auto"/>
        </w:rPr>
      </w:pPr>
    </w:p>
    <w:p>
      <w:pPr>
        <w:jc w:val="both"/>
        <w:ind w:lef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Biopharm CMC Manufacturing Solutions. </w:t>
      </w:r>
      <w:r>
        <w:rPr>
          <w:rFonts w:ascii="Times New Roman" w:cs="Times New Roman" w:eastAsia="Times New Roman" w:hAnsi="Times New Roman"/>
          <w:sz w:val="18"/>
          <w:szCs w:val="18"/>
          <w:color w:val="auto"/>
        </w:rPr>
        <w:t>CMC offers packages supporting FDA Investigational New Drug Application and New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Application/Biologic License Application submissions, as well as programs to help CDD's customers meet acceptance criteria for the release of drug products for both biologics and small molecules. CMC provides well-coordinated capabilities and expertise operating within a global quality system framework to deliver robust, cost-effective solutions. Capabilities include safety, identity, strength, quality and purity assessments for biologics.</w:t>
      </w:r>
    </w:p>
    <w:p>
      <w:pPr>
        <w:spacing w:after="0" w:line="204" w:lineRule="exact"/>
        <w:rPr>
          <w:sz w:val="20"/>
          <w:szCs w:val="20"/>
          <w:color w:val="auto"/>
        </w:rPr>
      </w:pPr>
    </w:p>
    <w:p>
      <w:pPr>
        <w:jc w:val="both"/>
        <w:ind w:lef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Early Phase Development Solutions. </w:t>
      </w:r>
      <w:r>
        <w:rPr>
          <w:rFonts w:ascii="Times New Roman" w:cs="Times New Roman" w:eastAsia="Times New Roman" w:hAnsi="Times New Roman"/>
          <w:sz w:val="18"/>
          <w:szCs w:val="18"/>
          <w:color w:val="auto"/>
        </w:rPr>
        <w:t>Early Phase Development Solutions (EPDS) offers customers access to a focused, multidisciplinary team of experts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crafts integrated solutions to rapidly identify and develop lead drug candidates and reduce development challenges. EPDS provides customers with seamless integration of the complete array of CDD nonclinical and early clinical services, with a focus on scientific integrity and human subject safety. EPDS also offers an innovative parallel study approach for shorter proof-of-concept studies. This approach can increase clinical return on investment through the application of medical, scientific and therapeutic expertise, along with patient stratification strategies.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Central Laboratory Services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CDD provides central laboratory testing services to biopharmaceutical customers through its global network of central laboratories in the U.S., Switzerland, Belgium, Singapore and China as well as its strategic agreement for central laboratory services testing in Japan with BML, Inc., a leading Japanese laboratory testing company.</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CDD’s capabilities provide customers the flexibility to conduct studies on a global basis. Because CDD uses consistent laboratory equipment, methods, reagents and calibrators for studies, data can be combined with clinical trials in different regions to produce global trial reference ranges. Combinable data eliminates the cumbersome process of harmonizing results generated using different methods in different laboratories on different equipment. CDD also offers external-facing tools such as LabLink+ and e-Site Access, which are internet-based customer programs that allow customers to review and query clinical trial lab data on a near real-time basis, that provide an opportunity for enhanced collaboration between the investigator sites, CROs and sponsors.</w:t>
      </w:r>
    </w:p>
    <w:p>
      <w:pPr>
        <w:spacing w:after="0" w:line="21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CDD operates the world’s largest automated clinical trial sample collection kit production line, located in Indianapolis, Indiana. This facility provides kits and supplies to investigator sites around the world, promoting global consistency in sample collection. Extensive automation in the kit production process enables kits to be produced with 5.5 sigma precision, while maintaining the scalability needed to meet increasing global demand. CDD's biorepository facility in Greenfield, Indiana, is dedicated to long-term storage of clinical trial specimens. CDD has additional sample storage facilities in Indianapolis, Indiana; Geneva, Switzerland; Singapore; and Shanghai, China. These actively monitored facilities are able to store a wide range of specimens, including plasma, serum, whole blood, peripheral blood, DNA and tissue.</w:t>
      </w:r>
    </w:p>
    <w:p>
      <w:pPr>
        <w:spacing w:after="0" w:line="21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CDD has five ISO 15189-certified central laboratories that provide customers with the assurance that comes with this rigorous global standard. In addition, CDD has implemented a novel model for external lab selection and management that provides rigor and reduces internal resource drain for trial sponsors. The extended laboratory management solutions team focuses on managing all aspects of referral laboratory services, including vendor negotiations, governance, quality management, data services and contract services.</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CDD, in conjunction with LCD’s expertise in a wide range of esoteric testing disciplines, offers a scientifically rich and diverse menu of specialty testing capabilities, spanning the clinical development continuum. These include applied genomics, next-generation sequencing, anatomic pathology and histology, flow cytometry, clinical immunoassays as well as preclinical and exploratory biomarker development. The combination of CDD and LCD differentiated capabilities and unparalleled experience in companion and complementary diagnostic services support the parallel development of a new medicine and its associated diagnostic assay. The Company's dedicated companion diagnostics team has helped develop more than 75% of all currently available FDA-approved companion and complementary diagnostics, and worked on more than 60 global programs in this area in 2016. CDD was the exclusive laboratory to partner on clinical trials and regulatory submissions for three critical oncology companion diagnostics that received FDA approval in 2016. CDD can support the development of in-vitro diagnostic, companion diagnostics and laboratory-developed tests (LDT). By combining CDD’s strength in central laboratory and early-stage clinical development with LCD’s strength in test commercialization, the Company is well positioned to offer comprehensive, end-to-end support for companion diagnostic development.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and Commercialization Services</w:t>
      </w:r>
    </w:p>
    <w:p>
      <w:pPr>
        <w:spacing w:after="0" w:line="27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CDD offers a comprehensive range of clinical trial services, including the full management of Phase I through IV clinical studies. CDD has extensive experience in all major therapeutic areas, and provides the following core services either on an individual or aggregated basis to meet its customers’ needs: study design and modeling; coordination of study activities, trial logistics, monitoring of study site performance, clinical data management and biostatistical analysis, and medical writing and regulatory services.</w:t>
      </w:r>
    </w:p>
    <w:p>
      <w:pPr>
        <w:spacing w:after="0" w:line="8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CDD has extensive experience in designing and managing global clinical trials and regional clinical trial activities in North America, Europe, Latin America and the Asia Pacific region. These trials may be conducted separately or simultaneously as part of a multinational or global development plan. CDD can manage every aspect of clinical trials, from clinical development plans and protocol design to new drug applications and other supporting services.</w:t>
      </w:r>
    </w:p>
    <w:p>
      <w:pPr>
        <w:spacing w:after="0" w:line="20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CDD provides clinical pharmacology services at its five clinics in the U.S. and Europe, including first-in-human trials, and early clinical trial subject proof-of-concept studies of new pharmaceuticals.</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CDD offers a range of commercialization solutions, including life cycle management and post-approval studies, which are typically conducted after a drug has successfully undergone clinical efficacy and safety testing and the New Drug Application has been submitted to the FDA and/or other regulatory bodies. CDD also offers market access solutions, including reimbursement consulting and hotlines, patient assistance programs, health economic and outcomes research services, observational studies, real world evidence and analytics services, and value communication services. Biopharmaceutical companies purchase these services to serve patients in need of therapy and to help optimize their return on R&amp;D investments.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CDD Technology-Enabled Solutions</w:t>
      </w:r>
    </w:p>
    <w:p>
      <w:pPr>
        <w:spacing w:after="0" w:line="256"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color w:val="auto"/>
        </w:rPr>
        <w:t>CDD’s award-winning Xcellerate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informatics platform integrates multiple sources of data to deliver unique and timely information throughout the course of customer studies. Xcellerate is a technology platform designed by CDD to help reduce the cost, time, complexity and risk associated with clinical trials. Key Xcellerate modules include Forecasting &amp; Site Selection, Clinical Trial Management, Monitoring, and Insights. Xcellerate Forecasting &amp; Site Selection enables customers to identify the optimal sites and investigators by drawing on the world’s largest proprietary clinical trial knowledge base. Xcellerate Clinical Trial Management provides the foundational operating systems to enable frictionless execution of clinical trials. Xcellerate Monitoring enables customers to improve data quality, clinical trial subject safety and protocol compliance in the execution of clinical trials by proactively identifying and mitigating risks at the study site and clinical trial subject level. Xcellerate Insights enables effective operational oversight by providing interactive, up-to-date views of a broad range of operational metrics and key performance indicators at the study and portfolio levels through a secure collaboration portal. These solutions leverage a highly innovative data integration and visualization technology that provides timely, secure, integrated and contextualized access to all clinical trial data to enable proactive risk management and informed decision making.</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these capabilities, CDD’s proprietary technology assets include an investigator database and analytic methodologies which are utilized to design and manage site selection and clinical trial subject enrollment. These tools improve the quality and speed of clinical trials, resulting in reduced costs and increased market potential for biopharmaceutical company customers. CDD has also introduced MarketPlace, a private, secure web portal providing potential investors or partners access to information about new drugs in development. CDD and LCD are also collaborating to use LCD information to support clinical trial recruitment and post-trial monitoring.</w:t>
      </w:r>
    </w:p>
    <w:p>
      <w:pPr>
        <w:spacing w:after="0" w:line="8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i w:val="1"/>
          <w:iCs w:val="1"/>
          <w:color w:val="auto"/>
        </w:rPr>
        <w:t>Leveraging the Combined Strengths of LCD and CDD</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2016, the Company continued to expand on the combination of its diagnostic and drug development segments.</w:t>
      </w:r>
    </w:p>
    <w:p>
      <w:pPr>
        <w:spacing w:after="0" w:line="13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Since the completion of the acquisition of Covance in 2015 (the Acquisition), CDD has been awarded 15 studies in which the sponsor specifically indicated that the combination of LCD and CDD data was a major factor in the award. This includes studies in oncology and immuno-oncology, non-alcoholic steatohepatitis (NASH), seasonal upper respiratory infections and rare genetic disorders. LCD results data can reduce the time needed to find patients who may be suitable clinical trial subjects and physician investigators who may have a population of patients who meet clinical trial criteria. The LCD sales force can then perform outreach to those physicians to explore interest in participating in a clinical trial. In addition, through the LabCorp patient portal, the Company has established a growing database that includes more than 100,000 patients, through the end of 2016, who have consented to be contacted directly about future clinical trials.</w:t>
      </w:r>
    </w:p>
    <w:p>
      <w:pPr>
        <w:spacing w:after="0" w:line="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previously discussed, the Company has developed a leading position in the development and commercialization of companion and complementary diagnostics. CDD was the only CRO awarded a podium presentation at the 2016 World Companion Diagnostics conference.</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CDD’s market access solutions have been enhanced through integration with LCD, allowing patients who require ongoing testing in connection with a treatment to receive reminders to visit a nearby LCD PSC for specimen collection or drop-off, with results seamlessly routed to their provider to support more effective and efficient monitoring.</w:t>
      </w:r>
    </w:p>
    <w:p>
      <w:pPr>
        <w:spacing w:after="0" w:line="8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LCD is now able to offer to hospitals and health systems the opportunity to be a research hub for participation in CDD studies and clinical trials.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provides its services to a broad range of customers.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primary customer groups serviced by the Company include:</w:t>
      </w:r>
    </w:p>
    <w:p>
      <w:pPr>
        <w:spacing w:after="0" w:line="24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MCOs. </w:t>
      </w:r>
      <w:r>
        <w:rPr>
          <w:rFonts w:ascii="Times New Roman" w:cs="Times New Roman" w:eastAsia="Times New Roman" w:hAnsi="Times New Roman"/>
          <w:sz w:val="18"/>
          <w:szCs w:val="18"/>
          <w:color w:val="auto"/>
        </w:rPr>
        <w:t>The Company serves many MCOs. These organizations have different contracting philosophies, which are influenced by the design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Biopharmaceutical Companies. </w:t>
      </w:r>
      <w:r>
        <w:rPr>
          <w:rFonts w:ascii="Times New Roman" w:cs="Times New Roman" w:eastAsia="Times New Roman" w:hAnsi="Times New Roman"/>
          <w:sz w:val="18"/>
          <w:szCs w:val="18"/>
          <w:color w:val="auto"/>
        </w:rPr>
        <w:t>The Company serves hundreds of biopharmaceutical companies, ranging from the world’s largest biopharmaceutical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to small and startup organizations. Contracts with these institutions generally take the form of fee-for-service or fixed-price arrangements.</w:t>
      </w:r>
    </w:p>
    <w:p>
      <w:pPr>
        <w:spacing w:after="0" w:line="18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Physicians and Other Healthcare Providers. </w:t>
      </w:r>
      <w:r>
        <w:rPr>
          <w:rFonts w:ascii="Times New Roman" w:cs="Times New Roman" w:eastAsia="Times New Roman" w:hAnsi="Times New Roman"/>
          <w:sz w:val="18"/>
          <w:szCs w:val="18"/>
          <w:color w:val="auto"/>
        </w:rPr>
        <w:t>Physicians who require clinical laboratory testing for their patients are a primary source of requests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LCD's testing services. Physicians may practice individually, or as part of small or large physician groups, including those operated as part of a broader health system. Fees for clinical laboratory testing services rendered for physicians are billed either to the physician, the physician group, the patient or the patient’s third-party payer, such as an MCO, Medicare or Medicaid. Billings are typically on a fee-for-service basis. If the billings are to the physician, they are based on a customer-specific fee schedule and are subject to negotiation. Otherwise, the patient or third-party payer is billed at the Company's patient fee schedule, subject to third-party payer contract terms and negotiation by physicians on behalf of their patients. Patient sales are recorded at the Company’s patient fee schedule, net of any discounts negotiated with physicians on behalf of their patients, or fees made available through charity care or an uninsured patient program. Revenues received from Medicare and Medicaid billings are based on government-set fee schedules and reimbursement rules.</w:t>
      </w:r>
    </w:p>
    <w:p>
      <w:pPr>
        <w:spacing w:after="0" w:line="209"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Hospitals and Health Systems. </w:t>
      </w:r>
      <w:r>
        <w:rPr>
          <w:rFonts w:ascii="Times New Roman" w:cs="Times New Roman" w:eastAsia="Times New Roman" w:hAnsi="Times New Roman"/>
          <w:sz w:val="18"/>
          <w:szCs w:val="18"/>
          <w:color w:val="auto"/>
        </w:rPr>
        <w:t>The Company provides hospitals and health systems with services ranging from core and specialty testing to supply chain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technical support services, and the opportunity to be a research hub for participation in studies and clinical trials with CDD. Hospitals generally maintain an on-site laboratory to perform immediately needed testing for patients receiving care. However, they also refer less time-sensitive procedures, less frequently needed procedures and highly specialized procedures to outside facilities, including independent clinical laboratories and larger medical centers. The Company typically charges hospitals for any such tests on a fee-for-service basis that is derived from the Company’s client fee schedule. Fees for management services are typically billed monthly at contractual rates.</w:t>
      </w:r>
    </w:p>
    <w:p>
      <w:pPr>
        <w:spacing w:after="0" w:line="210"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Customers. </w:t>
      </w:r>
      <w:r>
        <w:rPr>
          <w:rFonts w:ascii="Times New Roman" w:cs="Times New Roman" w:eastAsia="Times New Roman" w:hAnsi="Times New Roman"/>
          <w:sz w:val="18"/>
          <w:szCs w:val="18"/>
          <w:color w:val="auto"/>
        </w:rPr>
        <w:t>The Company serves a broad range of other customers, including managed care organizations (MCOs), governmental agencies,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employers, patients and consumers, contract research organizations, food and nutritional companies and independent clinical laboratories. These customers typically pay on a negotiated fee-for-service basis or based on a set fee schedule.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believes it has a strong track record of deploying capital to investments that enhance the Company's business and returning capital to shareholders.</w:t>
      </w:r>
    </w:p>
    <w:p>
      <w:pPr>
        <w:spacing w:after="0" w:line="18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Since 2010, the Company has invested net cash of approximately $6.3 billion and equity of $1.8 billion in strategic business acquisitions ($2.5 billion over the same period excluding the Acquisition). These acquisitions have significantly expanded the Company’s service offerings, expanded its customer and revenue mix, as well as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211"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On February 19, 2015, the Company completed the Acquisition for $6,150.7 million. Covance stockholders received $75.76 in cash and 0.2686 shares of the Company's common stock for each share of Covance common stock they owned immediately prior to the consummation of the Acquisition. Upon completion of the Acquisition, former Covance stockholders owned approximately 15.5% of the outstanding shares of the Company's stock.</w:t>
      </w:r>
    </w:p>
    <w:p>
      <w:pPr>
        <w:spacing w:after="0" w:line="203"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From 2003 through 2015, the Company repurchased approximately $5,915.0 million in shares at an average price of approximately $69.00 per share. Following the November 2014 announcement of the Acquisition, the Company temporarily suspended its share repurchases. The Company resumed its share repurchase program in the fourth quarter of 2016, repurchasing 0.3 million shares for $43.9 million, based on settled trades as of December 31, 2016, at an average price of approximately $128.00. The Company also initiated purchases of $6.0 million, which settled directly after December 31, 2016. At the end of 2016, including unsettled purchase commitments, $739.5 million of repurchase authorization remained under the Company's share repurchase program. During 2016, the Company repaid $454.7 million of its senior notes, $150.0 million of its term loan, and $53.7 million of its zero coupon subordinated notes. In addition, the Company borrowed and repaid $139.5 million of debt through its revolving credit facility within 2016. The Company will continue to evaluate all opportunities for strategic deployment of capital in light of market conditions.</w:t>
      </w:r>
    </w:p>
    <w:p>
      <w:pPr>
        <w:spacing w:after="0" w:line="21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Since 2010, capital expenditures are $1.4 billion, representing approximately 3.0% of the Company’s total net revenue during the same period. The Company expects capital expenditures in 2017 to be approximately 3.0% of net revenues, primarily in connection with projects to support growth in the Company's core businesses, projects related to LaunchPad and further Covance integration initiatives.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External Factors</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experiences seasonality in both segments of its business. For example, testing volume generally declines during the year-end holiday period and other major holidays and can also decline due to inclement weather, reducing net revenues, operating margins and cash flows. Operations are also impacted by changes in the global economy, exchange rate fluctuations, political and regulatory changes, the progress of ongoing studies and the startup of new studies, as well as the level of expenditures made by the biopharmaceutical industry in R&amp;D. Given the seasonality of the business, comparison of results for successive quarters may not accurately reflect trends or results for the full year.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Joint Venture Partnerships</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holds investments in three joint venture partnerships, two located in Alberta, Canada, and one located in Florence, South Carolina. These businesses primarily represent partnership agreements between the Company and other independent diagnostic laboratory investors. Under these agreements, all partners share in the profits and losses of the businesses in proportion to their respective ownership percentages. All partners are actively involved in the major business decisions made by each joint venture. The Company does not consolidate the results of these joint ventures. Effective June 30, 2015, the Company liquidated its interest in a joint venture partnership that had been located in Milwaukee, Wisconsin.</w:t>
      </w:r>
    </w:p>
    <w:p>
      <w:pPr>
        <w:spacing w:after="0" w:line="21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first Canadian partnership is a leader in occupational testing across Canada similar to LCD's U.S. occupational testing services. The second Canadian partnership has a license to conduct diagnostic testing services in the province of Alberta. Substantially all of its revenue is received as reimbursement from the Alberta government's healthcare programs.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was conducted in February 2015. In August 2015, AHS was directed to cancel the request for proposal process. Subsequently, the Canadian partnership entered into a one-year extension through March 31, 2017, of its existing contract with AHS.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million to the partnership when the transfer is effective, subject to a working capital adjustment.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Customer Service</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LCD offers its diagnostic services through a sales force focused on serving the specific needs of customers in different market segments. These market segments generally include primary care, women's health, specialty medicine (e.g., infectious disease, endocrinology, gastroenterology and rheumatology), oncology, ACOs, and hospitals and health systems. LCD competes primarily on the basis of quality of testing, breadth of menu, price, innovation of services, convenience, and access points throughout the nation. LCD's general sales force is also supported by a team of clinical specialists that focuses on selling esoteric testing and meeting the unique needs of the specialty medicine markets.</w:t>
      </w:r>
    </w:p>
    <w:p>
      <w:pPr>
        <w:spacing w:after="0" w:line="211" w:lineRule="exact"/>
        <w:rPr>
          <w:sz w:val="20"/>
          <w:szCs w:val="20"/>
          <w:color w:val="auto"/>
        </w:rPr>
      </w:pPr>
    </w:p>
    <w:p>
      <w:pPr>
        <w:jc w:val="both"/>
        <w:ind w:firstLine="270"/>
        <w:spacing w:after="0" w:line="236" w:lineRule="auto"/>
        <w:rPr>
          <w:sz w:val="20"/>
          <w:szCs w:val="20"/>
          <w:color w:val="auto"/>
        </w:rPr>
      </w:pPr>
      <w:r>
        <w:rPr>
          <w:rFonts w:ascii="Times New Roman" w:cs="Times New Roman" w:eastAsia="Times New Roman" w:hAnsi="Times New Roman"/>
          <w:sz w:val="18"/>
          <w:szCs w:val="18"/>
          <w:color w:val="auto"/>
        </w:rPr>
        <w:t>CDD’s global sales activities are conducted by sales personnel in North America, Europe and the Asia Pacific region. The sales force provides customer coverage across the biopharmaceutical industry for services including lead optimization, preclinical safety assessment, analytical services, clinical trials, central laboratories and market access solutions. Customer segments called upon include global and regional biopharmaceutical companies and academic institutions. CDD positions itself as the company that delivers Solutions Made Real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its customers, bringing high quality, innovation, scientific depth and the ability to help provide customers solutions along the entire continuum of development.</w:t>
      </w:r>
    </w:p>
    <w:p>
      <w:pPr>
        <w:spacing w:after="0" w:line="22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Company's sales force is compensated through a combination of salaries, commissions and bonuses at levels commensurate with each individual’s qualifications, performance and responsibilities. They are responsible for both new sales and for customer retention and relationship building.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25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The Company is committed to developing and commercializing technology-enabled solutions to support its operations and provide better care. LCD and CDD each operate standard platforms for their core business services, and the Company operates standard platforms for its financial and reporting systems. These standard systems provide consistency within workflows and information as well as a high level of system availability and stability. LCD’s and CDD's primary laboratory systems, including standardized support for molecular diagnostics, digital pathology and enhanced specialty laboratory solutions, facilitate the processing of tests that generate the vast majority of LCD revenue and virtually all of CDD's central laboratory services revenue. The Company's centralized information systems are responsible for tremendous operational efficiencies, enabling the Company to achieve consistent, structured, and standardized operating results and superior patient care.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 addition, LCD and CDD each offer proprietary and industry-leading information systems, which are discussed in more detail in the sections dedicated to each of those Business Segments.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LCD and CDD have comprehensive quality systems and processes that are appropriate for their respective businesses. This includes licensing, credentialing, training and competency of professional and technical staff, and internal auditing. In addition to the Company's own quality assurance programs, many of the Company’s laboratories, facilities and processes are subject to on-site regulatory evaluations, external proficiency testing programs, and surveys, as applicable, by local or national government agencies.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Virtually all facets of the Company’s services are subject to quality assurance programs and procedures, including sensitivity, specificity and reproducability of tests; turnaround time; customer service; data integrity; patient satisfaction; and billing. The Company’s quality assurance program includes measures that compare current performance against desired performance goals to monitor critical aspects of service to its customers and patients.</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has procedures for monitoring its internal performance, as well as that of its vendors, suppliers and other key stakeholders. In addition, various groups and departments within the Company, including the Company's supply chain management department, CDD's clinical trial services global vendor management department, CDD's central laboratory services expanded laboratory management services department, LCD's National Office of Quality, and project management staff supporting LCD and CDD, provide oversight to monitor and control vendor products and performance, and play an essential role in the Company’s approach to quality through improvements in processes and automation.</w:t>
      </w:r>
    </w:p>
    <w:p>
      <w:pPr>
        <w:spacing w:after="0" w:line="207" w:lineRule="exact"/>
        <w:rPr>
          <w:sz w:val="20"/>
          <w:szCs w:val="20"/>
          <w:color w:val="auto"/>
        </w:rPr>
      </w:pPr>
    </w:p>
    <w:p>
      <w:pPr>
        <w:jc w:val="both"/>
        <w:ind w:firstLine="42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Customer Interaction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Continual improvement in the customers’ experience with the Company is essential. Use of technology and workflow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within LCD's PSCs are helping to: reduce patient wait times by expediting the patient registration process (through LabCorp Patient Appointment Scheduling), enhance the specimen collection process (through LabCorp Touch and AccuDraw) and allow patients to access their test results directly through the LabCorp Link website and mobile application. CDD processes permit faster clinical trial study start-up and subject enrollment along with timely delivery of established deliverables to enhance and improve customer interaction.</w:t>
      </w:r>
    </w:p>
    <w:p>
      <w:pPr>
        <w:spacing w:after="0" w:line="207" w:lineRule="exact"/>
        <w:rPr>
          <w:sz w:val="20"/>
          <w:szCs w:val="20"/>
          <w:color w:val="auto"/>
        </w:rPr>
      </w:pPr>
    </w:p>
    <w:p>
      <w:pPr>
        <w:jc w:val="both"/>
        <w:ind w:firstLine="33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Specimen 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standardized logistics and specimen tracking technologies allow the timely transportation, monitoring,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storage of specimens. The Company is continually working to maintain and improve its ability to timely collect, transport and track specimens from collection points to all Company or designated external locations. In 2016, CDD announced a five-year strategic alliance with Global Specimen Solutions, Inc. to provide streamlined global specimen tracking, as well as, tracking for informed consent and live data analytics that deliver actionable insights from specimens across development programs.</w:t>
      </w:r>
    </w:p>
    <w:p>
      <w:pPr>
        <w:spacing w:after="0" w:line="207" w:lineRule="exact"/>
        <w:rPr>
          <w:sz w:val="20"/>
          <w:szCs w:val="20"/>
          <w:color w:val="auto"/>
        </w:rPr>
      </w:pPr>
    </w:p>
    <w:p>
      <w:pPr>
        <w:jc w:val="both"/>
        <w:ind w:firstLine="26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Quality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regularly performs quality control testing. These may include in-process and post-process quality control checks;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control materials and reference standards, peer reviews, and data review meetings; programmed data edit checks to detect variances and unusual data patterns; dual programming; and mock runs.</w:t>
      </w:r>
    </w:p>
    <w:p>
      <w:pPr>
        <w:spacing w:after="0" w:line="198" w:lineRule="exact"/>
        <w:rPr>
          <w:sz w:val="20"/>
          <w:szCs w:val="20"/>
          <w:color w:val="auto"/>
        </w:rPr>
      </w:pPr>
    </w:p>
    <w:p>
      <w:pPr>
        <w:jc w:val="both"/>
        <w:ind w:firstLine="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LCD Internal Proficiency Testing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LCD has an extensive internal proficiency testing program to assess LCD's analytical and post-analytical phases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laboratory testing, accuracy, precision of its testing protocols, and technologist/technician performance. This program supplements the external proficiency programs required by the laboratory accrediting agencies.</w:t>
      </w:r>
    </w:p>
    <w:p>
      <w:pPr>
        <w:spacing w:after="0" w:line="198"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Accreditation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participates in numerous externally administered quality surveillance programs, including the College of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Pathology (CAP) program. CAP is an independent non-governmental organization of board-certified pathologists that offers an accreditation program to which laboratories voluntarily subscribe. CAP has been granted deemed status authority by CMS to inspect clinical laboratories to determine adherence to the CLIA standards. The CAP program involves both on-site inspections of the laboratory and participation in CAP's proficiency testing program for all categories in which the laboratory is accredited. A laboratory's receipt of accreditation by CAP satisfies the CMS requirement for certification. LCD's major diagnostic laboratories, CDD's major central laboratory facilities, and CDD's Phase I clinical research units in Evansville, Indiana, and Dallas, Texas, are accredited by CAP.</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Company's forensic crime laboratory, located in Lorton, Virginia, is accredited to ISO/IEC 17025:2005 by the American Society of Crime Laboratory Directors/Laboratory Accreditation Board (ASCLD/LAB) in the discipline of biology and categories of nuclear DNA, mitochondrial DNA, body fluid identification and individual characteristic database testing. Under the accreditation program managed by the ASCLD/LAB, a crime laboratory undergoes a comprehensive and in-depth inspection to demonstrate that its management, operations, employees, procedures and instruments, physical plant, and security and personnel safety procedures meet stringent quality standards.</w:t>
      </w:r>
    </w:p>
    <w:p>
      <w:pPr>
        <w:spacing w:after="0" w:line="21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full-service forensic facilities in the United Kingdom are accredited to ISO/IEC 17025:2005 by the U.K. Accreditation Service (UKAS) in many areas of forensic analysis. These facilities provide crime scene investigative services,</w:t>
      </w:r>
    </w:p>
    <w:p>
      <w:pPr>
        <w:sectPr>
          <w:pgSz w:w="11900" w:h="16838" w:orient="portrait"/>
          <w:cols w:equalWidth="0" w:num="1">
            <w:col w:w="11420"/>
          </w:cols>
          <w:pgMar w:left="240" w:top="121"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collecting samples for DNA analysis, mitochondrial DNA testing, microscopic analysis of tool marks and paint, and other forms of forensic testing.</w:t>
      </w:r>
    </w:p>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multiple labs that have received ISO 15189 accreditation. ISO 15189 is an international standard that recognizes the quality and technical competence of medical laboratories. The Company has 15 laboratories in the U.S. and 5 laboratories outside of the U.S. accredited with this standard, and the laboratory operated for CDD pursuant to a strategic agreement with BML, Inc. also has this accreditation. The list below reflects the Company's labs that have achieved this accreditation and the year in which it was achieved.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LCD</w:t>
      </w:r>
    </w:p>
    <w:p>
      <w:pPr>
        <w:spacing w:after="0" w:line="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Colorado Coagulation, Denver, Colorado - January, 2016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Dynacare-Gamma facility, Laval, Québec - March,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LabCorp’s Regional Testing Facility, Dublin, Ohio - March,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Endocrine Sciences, Calabasas, California - January,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LabCorp's Regional Testing Facility, Dallas, Texas - April, 2014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LabCorp's Regional Testing Facility, Denver, Colorado - March, 2014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Genetics, Santa Fe, New Mexico - October, 2013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Genetics, Westborough, Massachusetts - September, 2013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Dynacare-Gamma Facility, Montreal, Québec - June 2013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LabCorp's Regional Testing Facility, Phoenix, Arizona - April, 2013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LabCorp's Regional Testing Facility, Birmingham, Alabama - February, 2013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Oncology, Brentwood, Tennessee - February, 2012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Viromed, Burlington, North Carolina - January, 2012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 for Molecular Biology and Pathology (CMBP), Research Triangle Park, North Carolina - February, 2011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LabCorp's Regional Testing Facility, Tampa, Florida - January, 2010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Oncology, Phoenix, Arizona - September, 2009</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CDD</w:t>
      </w:r>
    </w:p>
    <w:p>
      <w:pPr>
        <w:spacing w:after="0" w:line="29" w:lineRule="exact"/>
        <w:rPr>
          <w:sz w:val="20"/>
          <w:szCs w:val="20"/>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Covance Central Laboratory Services Inc., Indianapolis, Indiana - August, 2015</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BML Covance Central Laboratory, Tokyo, Japan - March, 2015 (Operated for CDD pursuant to a strategic agreement with BML,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Covance Pharmaceutical Research and Development (Shanghai) Co. Ltd., Shanghai, China - March,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Covance (Asia) Pte. Ltd., Singapore - June, 2014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Covance Central Laboratory Services SARL, Geneva, Switzerland - October, 2013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3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From time to time,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3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As of December 31, 2016, the Company had over 52,000 employees worldwide, approximately 23.6% of whom were employed outside of the U.S. The Company's U.S. based subsidiaries have four collective bargaining agreements, which cover approximately 700 employees. Non-U.S. based subsidiaries have 25 collective bargaining agreements, which cover approximately 1,323 employees.</w:t>
      </w:r>
    </w:p>
    <w:p>
      <w:pPr>
        <w:spacing w:after="0" w:line="8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Company’s success is highly dependent on its ability to attract and retain qualified employees, and the Company believes that it has good working relationships with its employees.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Reimbursement</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Because the Company operates in a number of distinct operating environments and in a variety of locations worldwide, it is subject to numerous, and sometimes overlapping, regulatory environments.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healthcare fraud and abuse, drug development services, security and confidentiality of health information, quality, and environmental and occupational safety.</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Clinical Laboratories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Virtually all clinical laboratories operating in the U.S. must be certified by the federal government or by a federally approved accreditation agency. In most cases, that certification is regulated by CMS through CLIA. CLIA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207"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21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20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believes that it is in compliance with all laboratory requirements applicable to its laboratories operated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FDA Laws and Regulations</w:t>
      </w:r>
    </w:p>
    <w:p>
      <w:pPr>
        <w:spacing w:after="0" w:line="25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FDA has regulatory responsibility over instruments, test kits, reagents and other devices used by clinical laboratories. The FDA has issued draft guidance regarding FDA regulation of laboratory developed tests (LDTs), but if or how the draft guidance will be implemented is uncertain. On November 18, 2016, the FDA announced it would not release final guidance at this time and instead would continue to work with stakeholders, the new administration, and Congress to determine the right approach, and on January 13, 2017, the FDA released a discussion paper outlining a possible risk-based approach for FDA and CMS oversight of LDTs. There are other regulatory and legislative proposals that would increase general FDA oversight of clinical laboratories and LDTs. The outcome and ultimate impact of such proposals on the business is difficult to predict at this time.</w:t>
      </w:r>
    </w:p>
    <w:p>
      <w:pPr>
        <w:spacing w:after="0" w:line="21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FDA enforces U.S. laws and regulations that govern the development, testing, manufacturing, labeling, advertising, marketing, distribution and surveillance of diagnostic products, including many of the services and products offered by the Company, and those that comprise the majority of CDD’s business. The FDA periodically inspects and reviews the manufacturing processes and product performance of diagnostic products. The FDA has the authority to take various administrative and legal actions for noncompliance, such as fines, product suspensions, warning letters, recalls, injunctions and other civil and criminal sanctions. Other countries where the Company conducts business have similar agencies and laws with which the Company must also comply.</w:t>
      </w:r>
    </w:p>
    <w:p>
      <w:pPr>
        <w:spacing w:after="0" w:line="21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operation of CDD’s preclinical laboratory facilities and clinical trial operations must conform to good laboratory practice (GLP) and good clinical practice (GCP), as applicable, as well as all other applicable standards and regulations. The preclinical and clinical studies that the Company conducts are subject to periodic inspections by the FDA as well as other drug regulatory agencies, which may include, without limitation, the Medicines and Healthcare products Regulatory Agency in the U.K. (MHRA), the European Medicines Agency, the China Food and Drug Administration, and the Pharmaceuticals and Medical Devices Agency in Japan, to determine compliance with GLP and GCP as well as other applicable standards and regulations. If the FDA determines during an inspection that the Company’s equipment, facilities, laboratories, operations, or processes do not comply with applicable FDA regulations and conditions of GLP and/or GCP, the FDA may issue a formal notice, which may be followed by a warning letter if observations are not addressed satisfactorily. Noncompliance may result in the FDA seeking civil, criminal or administrative sanctions and/or remedies against the Company, including suspension of its laboratory operations. Other countries where the Company conducts business have similar laws and regulations with which the Company must also comply.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Additionally, certain CDD services and activities, such as CMC services and manufacturing of investigational medicinal products for use in certain Phase I studies managed by CDD, must conform to current good manufacturing practice (cGMP). CDD is subject to periodic inspections by the FDA and the MHRA in order to assess, among other things, cGMP compliance. If the FDA or the MHRA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fines, unanticipated compliance expenditures, suspension of manufacturing, enforcement actions, injunctions, or criminal prosecution. Other countries where the Company conducts business may have similar laws and regulations with which the Company may also be required to comply.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Animal Welfare Act</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conduct of animal research at CDD’s facilities in the U.S. must be in compliance with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The USDA may impose fines, suspend and/or revoke animal research licenses or confiscate research animals. Other countries where the Company conducts business have similar laws and regulations with which the Company must also comply.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Payment for Clinical Laboratory Services</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In 2016, LCD derived approximately 15.5% of its net revenue directly from the Medicare and Medicaid programs. In addition, LCD's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 sector payers have made efforts to contain or reduce healthcare costs, including reducing reimbursement for clinical laboratory services.</w:t>
      </w:r>
    </w:p>
    <w:p>
      <w:pPr>
        <w:spacing w:after="0" w:line="211"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Reimbursement under the Medicare CLFS and PFS are capped at different rates in each Medicare Administrative Contractor's jurisdiction.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w:t>
      </w:r>
    </w:p>
    <w:p>
      <w:pPr>
        <w:spacing w:after="0" w:line="211"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As discussed previously in Item 1 of Part I, over the past several years LCD has experienced a series of reductions in payment from Medicare. In 2017, LCD will receive a net payment increase from Medicare, due to payment increases under the CLFS being greater than offsetting payment reductions under the PFS. On June 23, 2016, CMS issued a final rule to implement PAMA that would require applicable laboratories, including LCD, to begin reporting their test-specific private payer payment amounts to CMS during the first quarter of 2017. CMS intends to use that private market data to calculate weighted median prices for each test (based on applicable CPT codes) that would represent the new CLFS rates beginning in 2018, subject to certain phase-in limits. For 2018-2020, a test price cannot be reduced by more than 10.0% per year; for 2021-2023, a test price cannot be reduced by more than 15.0% per year. The process of data reporting and repricing will be repeated every three years for Clinical Diagnostic Laboratory Tests (CDLTs). The second data reporting period for CDLTs will occur during the first quarter of 2020, and new CLFS rates for CDLTs will be established based on that data beginning in 2021, subject to the previously described phase-in limits for 2021-2023. The third data reporting period for CDLTs will occur during the first quarter of 2023, and new CLFS rates for CDLTs will be established based on that data beginning in 2024. CLFS rates for 2024 and subsequent periods will not be subject to phase-in limits. CLFS rates for Advanced Diagnostic Laboratory Tests (ADLTs) will be updated annually.</w:t>
      </w:r>
    </w:p>
    <w:p>
      <w:pPr>
        <w:spacing w:after="0" w:line="220"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Many pathology services performed by LCD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formerly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0.0% updates for 2020-2025, and updates that vary based on participation in alternative payment models in subsequent years. These changes to the conversion factor may be offset by reductions to the relative value units, as was the case with the 2016 PFS reductions. In addition, rates will be adjusted</w:t>
      </w:r>
    </w:p>
    <w:p>
      <w:pPr>
        <w:sectPr>
          <w:pgSz w:w="11900" w:h="16838" w:orient="portrait"/>
          <w:cols w:equalWidth="0" w:num="1">
            <w:col w:w="11420"/>
          </w:cols>
          <w:pgMar w:left="240" w:top="121"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new Merit-Based Incentive Payment System beginning in 2019. Approximately 0.8% of LCD's revenue is reimbursed under the PFS.</w:t>
      </w:r>
    </w:p>
    <w:p>
      <w:pPr>
        <w:spacing w:after="0" w:line="252"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Because a significant portion of the Company's costs are relatively fixed, further payment reductions to Medicare, Medicaid and other government programs could have a direct adverse effect on the Company's net earnings and cash flows. The Company cannot predict whether changes will be implemented that will result in further payment reductions.</w:t>
      </w:r>
    </w:p>
    <w:p>
      <w:pPr>
        <w:spacing w:after="0" w:line="203"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8"/>
          <w:szCs w:val="18"/>
          <w:color w:val="auto"/>
        </w:rPr>
        <w:t>In addition to changes in reimbursement rates, LCD is also impacted by changes in coverage policies for laboratory tests. Congressional action in 1997 required HHS to adopt uniform coverage, administration and payment policies for many of the most frequently ordered lab tests using a negotiated rulemaking process. The negotiated rulemaking committee established uniform policies limiting Medicare coverage for certain tests to patients with specified medical conditions or diagnoses, replacing local Medicare coverage policies, which varied around the country. Since the final rules generally became effective in 2002, the use of uniform policies has improved LCD's ability to obtain necessary billing information in some cases. However, Medicare, Medicaid and private payer diagnosis code requirements and payment policies continue to negatively impact LCD's ability to be paid for some of the tests it performs. LCD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Further, several payers continue to require additional information to process claims or have implemented prior authorization policies. Many commercial payers were delayed in becoming aware of the impact of their claims edits and policies, which impeded access to services that previously have been covered and reimbursed. These delays and changes in coverage had a negative impact on revenue, revenue per requisition, margins and cash flows. The negative impact from these reimbursement challenges was largely sustained through 2016. Similarly, CLFS coding and billing changes related to toxicology and other procedures were implemented in 2016. The Company experienced delays in the pricing and implementation of the new toxicology codes; however, the Company largely overcame issues related to price and margins through direct negotiation with the associated payers. Further coding and billing changes related to toxicology testing and other procedure types are to be implemented in 2017. The Company expects delays in the pricing and implementation of these new codes, and while the impact on price and margins is currently unclear, the Company anticipates that some of that impact will be mitigated by timely negotiation with payers impacted by these changes.</w:t>
      </w:r>
    </w:p>
    <w:p>
      <w:pPr>
        <w:spacing w:after="0" w:line="22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Future changes in national, state and local laws and regulations (or in the interpretation of current regulations) affecting government payment for clinical laboratory testing could have a material adverse effect on the Company. Based on currently available information, the Company is unable to predict what type of changes in legislation or regulations, if any, will occur.</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Standard Electronic Transactions, Security and Confidentiality of Health Information and Other Personal Information</w:t>
      </w:r>
    </w:p>
    <w:p>
      <w:pPr>
        <w:spacing w:after="0" w:line="25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physicians that conduct standard transactions electronically and healthcare clearinghouses (covered entities). Five such regulations have been finalized: (i) the Transactions and Code Sets Rule; (ii) the Privacy Rule; (iii) the Security Rule; (iv) the Standard Unique Employer Identifier Rule, which requires the use of a unique employer identifier in connection with certain electronic transactions; and (v) the National Provider Identifier Rule, which requires the use of a unique healthcare provider identifier in connection with certain electronic transactions.</w:t>
      </w:r>
    </w:p>
    <w:p>
      <w:pPr>
        <w:spacing w:after="0" w:line="21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the current Transactions and Code Sets Rule. The Company implemented Version 5010 of the HIPAA Transaction Standards and believes it has fully adopted the ICD-10-CM code set. While to date the Company has not experienced any sustained disruption in receipts or indications of substantive reductions to reimbursement and net revenues related to the implementation of the ICD-10-CM code set, further future application of restrictive clinical or payment policies could negatively impact the Company. The Company believes it is in compliance in all material respects with applicable laws and regulations for electronic funds transfers and remittance advice transactions.</w:t>
      </w:r>
    </w:p>
    <w:p>
      <w:pPr>
        <w:spacing w:after="0" w:line="211"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access to PHI. The Company believes that it is in compliance in all material respects with the requirements of the HIPAA Privacy Rule.</w:t>
      </w:r>
    </w:p>
    <w:p>
      <w:pPr>
        <w:spacing w:after="0" w:line="211"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Security Rule establishes requirements for safeguarding patient information that is electronically transmitted or electronically stored. The Company believes that it is in compliance in all material respects with the requirements of the HIPAA Security Rule.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U.S. Health Information Technology for Economic and Clinical Health Act (HITECH), which was enacted in February 2009, with regulations effective on September 23, 2013, strengthens and expands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 The Company believes its policies and procedures are fully compliant with the HITECH requirements.</w:t>
      </w:r>
    </w:p>
    <w:p>
      <w:pPr>
        <w:spacing w:after="0" w:line="212"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 The Company revised its policies and procedures to comply with these new access requirements and updated its privacy notice to reflect individuals’ new access rights under this final rule.</w:t>
      </w:r>
    </w:p>
    <w:p>
      <w:pPr>
        <w:spacing w:after="0" w:line="207"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Standard Unique Employer Identifier Rule requires that employers have standard national numbers that identify them on standard transactions. The Employer Identification Number (also known as a Federal Tax Identification Number) issued by the Internal Revenue Service was selected as the identifier for employers and was adopted effective July 30, 2002. The Company believes it is in compliance with these requirements.</w:t>
      </w:r>
    </w:p>
    <w:p>
      <w:pPr>
        <w:spacing w:after="0" w:line="203"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 National Provider Identifier (NPI) to identify themselves in standard HIPAA transactions. NPI replaces the unique provider identification number and other provider numbers previously assigned by payers and other entities for the purpose of identifying healthcare providers in standard electronic transactions. The Company believes that it is in compliance with the HIPAA National Provider Identifier Rule in all material respects.</w:t>
      </w:r>
    </w:p>
    <w:p>
      <w:pPr>
        <w:spacing w:after="0" w:line="21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 Additionally, numerous other countries have similar laws governing the collection, use, disclosure and transmission of personal and/or patient information.</w:t>
      </w:r>
    </w:p>
    <w:p>
      <w:pPr>
        <w:spacing w:after="0" w:line="211"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total cost associated with meeting the ongoing requirements of HIPAA and HITECH is not expected to be material to the Company’s operations or cash flows. However, future regulations and interpretations of HIPAA and HITECH could impose significant costs on the Company.</w:t>
      </w:r>
    </w:p>
    <w:p>
      <w:pPr>
        <w:spacing w:after="0" w:line="18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 addition to the HIPAA regulations described above, there are a number of other national, state and foreign laws regarding the confidentiality and security of medical information, some of which apply to clinical laboratories and CROs. These laws vary widely, but they most commonly regulate or restrict the collection, use and disclosure of medical and financial information and other personal information. In some cases, state laws are more restrictive and, therefore, are not preempted by HIPAA. Penalties for violation of these laws may include sanctions against a laboratory's licensure, as well as civil and/or criminal penalties. Additionally, numerous other countries have similar laws governing the collection, use, disclosure and transmission of personal and/or patient information. For example, in December 2015, the European Union approved a General Data Protection Regulation (GDPR) to replace Directive 95/46/EC, which will take effect May 25, 2018, governing use and transfer of personal data and imposing penalties for noncompliance.</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 and Regulations</w:t>
      </w:r>
    </w:p>
    <w:p>
      <w:pPr>
        <w:spacing w:after="0" w:line="256"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HHS’ Office of Inspector General (OIG), and various state agencies. Historically, the clinical laboratory industry has been the focus of major governmental enforcement initiatives. The U.S. government's enforcement efforts have been increasing over the past decade, in part as a result of the enactment of HIPAA, which included several provisions related to fraud and abuse enforcement, including the establishment of a program to coordinate and fund U.S., state and local law enforcement efforts. The Deficit Reduction Act of 2005 also included new requirements directed at Medicaid fraud, including increased spending on enforcement and financial incentives for states to adopt false claims act provisions similar to the U.S. False Claims Act. Recent amendments to the False Claims Act, as well as other enhancements to the U.S. fraud and abuse laws enacted as part of the ACA, are widely expected to</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increase fraud and abuse enforcement efforts. For example, the ACA established an obligation to report and refund overpayments from Medicare or Medicaid within 60 days of identification (whether or not paid through any fault of the recipient); failure to comply with this new requirement can give rise to additional liability under the False Claims Act and Civil Monetary Penalties statute. On February 11, 2016, CMS issued the final rule clarifying certain aspects of the overpayment requirement for purposes of Medicare, effective on March 14, 2016.</w:t>
      </w:r>
    </w:p>
    <w:p>
      <w:pPr>
        <w:spacing w:after="0" w:line="20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U.S. healthcare programs' Anti-Kickback Statute prohibits knowingly providing anything of value in return for, or to induce the referral of, Medicare, Medicaid or other U.S. healthcare program business. Violations can result in imprisonment, fines, penalties, and/or exclusion from participation in U.S.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 by case basis. Many states have their own Medicaid anti-kickback laws, and several states also have anti-kickback laws that apply to all payers (i.e., not just government healthcare programs).</w:t>
      </w:r>
    </w:p>
    <w:p>
      <w:pPr>
        <w:spacing w:after="0" w:line="216"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From time to time, the OIG issues alerts and other guidance on certain practices in the healthcare industry that implicate the Anti-Kickback Statute or other fraud and abuse laws. Examples of such guidance documents particularly relevant to the Company and its operations follow.</w:t>
      </w:r>
    </w:p>
    <w:p>
      <w:pPr>
        <w:spacing w:after="0" w:line="189"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8"/>
          <w:szCs w:val="18"/>
          <w:color w:val="auto"/>
        </w:rPr>
        <w:t>In October 1994, the OIG issued a Special Fraud Alert on arrangements for the provision of clinical laboratory services. The Fraud Alert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certain laboratory services at prices below fair market value in return for referrals of other tests that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and (vi) providing free testing for healthcare providers, their families and their employees (i.e., so-called “professional courtesy” testing). The OIG emphasized in the Special Fraud Alert that when one purpose of such arrangements is to induce referrals of program-reimbursed laboratory testing, both the clinical laboratory and the healthcare provider (e.g., physician) may be liable under the Anti-Kickback Statute, and may be subject to criminal prosecution and exclusion from participation in the Medicare and Medicaid programs. More recently, in June 2014, the OIG issued another Special Fraud Alert addressing compensation paid by laboratories to referring physicians for blood specimen processing and for submitting patient data to registries. This Special Fraud Alert reiterates the OIG's long-standing concerns about payments from laboratories to physicians in excess of the fair market value of the physician's services and payments that reflect the volume or value of referrals of federal U.S. program business.</w:t>
      </w:r>
    </w:p>
    <w:p>
      <w:pPr>
        <w:spacing w:after="0" w:line="22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OIG has expressed concern about the provision of discounts on laboratory services billed to customers in return for the referral of U.S. healthcare program business. In a 1999 Advisory Opinion, the OIG concluded that a laboratory's offer to a physician of significant discounts on non-U.S. healthcare program laboratory tests might violate the Anti-Kickback Statute on the basis that such discounts could be viewed as in exchange for referrals by the physician of business to be billed by the laboratory to Medicare at non-discounted rates. In a 1999 correspondence, the OIG stated that a discount that a laboratory offers to a skilled nursing facility for tests billed to the skilled nursing facility to induce the referral of tests for which the laboratory is reimbursed by Medicare would implicate the Anti-Kickback Statute.</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OIG has also issued guidance in 1989 and 2003 regarding joint venture arrangements that may be viewed as suspect under the Anti-Kickback Statute. These documents have relevance to clinical laboratories that are part of (or are considering establishing) joint ventures with potential sources of U.S. healthcare program business. Some of the elements of joint ventures that the OIG identified as “suspect” include: arrangements in which the capital invested by the physicians is disproportionately small and the return on investment is disproportionately large when compared to a typical investment; specific selection of investors who are in a position to make referrals to the venture; and arrangements in which one of the parties to the joint venture expands into a line of business that is dependent on referrals from the other party (sometimes called “shell” joint ventures). In a 2004 advisory opinion, the OIG expressed concern about a proposed joint venture in which a laboratory company would assist physician groups in establishing off-site pathology laboratories where the physicians' financial and business risk in the venture was minimal and the physicians would contract out substantially all laboratory operations, committing very little in the way of financial, capital, or human resources.</w:t>
      </w:r>
    </w:p>
    <w:p>
      <w:pPr>
        <w:spacing w:after="0" w:line="21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Violations of other fraud and abuse laws can also result in exclusion from participation in U.S. healthcare programs, including Medicare and Medicaid. One basis for such exclusion is an individual or entity’s submission of claims to Medicare or Medicaid that are substantially in excess of that individual or entity’s usual charges for like items or services. In a June 18, 2007 withdrawal of proposed rulemaking, the OIG stated that it would continue evaluating billing patterns on a case-by-case basis, noting that it is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“concerned about disparities in the amounts charged to Medicare and Medicaid when compared to private payers,” that it continues to believe its exclusion authority for excess charges “provides useful backstop protection for the public from providers that routinely charge Medicare or Medicaid substantially more than their other customers” and that it will use “all tools available … to address instances where Medicare or Medicaid are charged substantially more than other payers.” An enforcement action by the OIG under this statutory exclusion basis or an enforcement action by Medicaid officials of similar state law restrictions could have an adverse effect on the Company.</w:t>
      </w:r>
    </w:p>
    <w:p>
      <w:pPr>
        <w:spacing w:after="0" w:line="21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Under another U.S. statute, known as the Stark Law or “self-referral” prohibition, physicians who have a financial or a compensation relationship with a commercial laboratory may not, unless an exception applies, refer Medicare patients for testing to the laboratory, regardless of the intent of the parties. Similarly, laboratories may not bill Medicare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commercial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212"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There are a variety of other types of U.S. and state fraud and abuse laws, including laws prohibiting submission of false or fraudulent claims.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w:t>
      </w:r>
    </w:p>
    <w:p>
      <w:pPr>
        <w:spacing w:after="0" w:line="256"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The Company is subject to licensing and regulation under national, state and local laws and regulations relating to the protection of the environment, and human health and safety laws and regulations relating to the handling, transportation and disposal of medical specimens, infectious and hazardous waste and radioactive materials. All Company laboratories are subject to applicable laws and regulations relating to biohazard disposal of all laboratory specimens, and the Company generally utilizes outside vendors for disposal of such specimens. In addition, the U.S. Occupational Safety and Health Administration (OSHA) has established extensive requirements relating to workplace safety for healthcare employers, including clinical laboratories, whose workers may be exposed to blood-borne pathogens such as HIV, HCV and hepatitis B virus (HCB). These regulations, among other things, require work practice controls, protective clothing and equipment, training, medical follow-up, vaccinations and other measures designed to minimize exposure to, and transmission of, blood-borne pathogens. Other countries where the Company conducts business have similar laws and regulations concerning the environment and human health and safety with which the Company must also comply.</w:t>
      </w:r>
    </w:p>
    <w:p>
      <w:pPr>
        <w:spacing w:after="0" w:line="21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 2012, the OSHA Hazard Communication Standard was revised based on the adoption of the Globally Harmonized System that provides criteria for the classification of chemical hazards. Updated copies of Safety Data Sheets for chemical products used across the Company were obtained prior to the effective date of June 1, 2015.</w:t>
      </w:r>
    </w:p>
    <w:p>
      <w:pPr>
        <w:spacing w:after="0" w:line="203"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 seeks to comply with all relevant environmental and human health and safety laws and regulations. Failure to comply could subject the Company to various administrative and/or other enforcement actions.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Drug Testing</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Drug testing for public sector employees is regulated by the U.S. Substance Abuse and Mental Health Services Administration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and St. Paul, Minnesota are all SAMHSA certified.</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Controlled Substances</w:t>
      </w:r>
    </w:p>
    <w:p>
      <w:pPr>
        <w:spacing w:after="0" w:line="256"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use of controlled substances in testing for drugs of abuse is regulated by the U.S. Drug Enforcement Administration. CDD handles controlled substances as part of the services it provides in preclinical testing and clinical trials.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Program</w:t>
      </w:r>
    </w:p>
    <w:p>
      <w:pPr>
        <w:spacing w:after="0" w:line="13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Company maintains a comprehensive, global compliance program that includes ongoing evaluation and monitoring of its compliance with the laws and regulations of the U.S. and the other countries in which it has operations. The objective of the Company’s compliance program is to develop, implement and update compliance safeguards, as appropriate. Emphasis is placed on developing and implementing compliance policies and guidelines, personnel training programs and monitoring and auditing activities.</w:t>
      </w:r>
    </w:p>
    <w:p>
      <w:pPr>
        <w:spacing w:after="0" w:line="8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There can be no assurance that applicable statutes and regulations will not be interpreted or applied by a prosecutorial, regulatory or judicial authority in a manner that would adversely affect the Company. Potential sanctions for violation of these statutes and regulations include significant fines and the loss of various licenses, certificates, and authorizations, which could have a material adverse effect on the Company’s business.</w:t>
      </w:r>
    </w:p>
    <w:p>
      <w:pPr>
        <w:spacing w:after="0" w:line="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Investors should carefully consider all of the information set forth in this report, including the following risk factors, before deciding to invest in any of the Company’s securities. The risks below are not the only ones that the Company faces. Additional risks not presently known to the Company, or that the Company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8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This report also includes forward-looking statements that involve risks or uncertainties. The Company’s results could differ materially from those anticipated in these forward-looking statements as a result of certain factors, including the risks described below and elsewhere. See “Forward-Looking Statements” in Item 7.</w:t>
      </w:r>
    </w:p>
    <w:p>
      <w:pPr>
        <w:spacing w:after="0" w:line="78" w:lineRule="exact"/>
        <w:rPr>
          <w:sz w:val="20"/>
          <w:szCs w:val="20"/>
          <w:color w:val="auto"/>
        </w:rPr>
      </w:pPr>
    </w:p>
    <w:p>
      <w:pPr>
        <w:jc w:val="both"/>
        <w:ind w:firstLine="45"/>
        <w:spacing w:after="0" w:line="268" w:lineRule="auto"/>
        <w:rPr>
          <w:sz w:val="20"/>
          <w:szCs w:val="20"/>
          <w:color w:val="auto"/>
        </w:rPr>
      </w:pPr>
      <w:r>
        <w:rPr>
          <w:rFonts w:ascii="Times New Roman" w:cs="Times New Roman" w:eastAsia="Times New Roman" w:hAnsi="Times New Roman"/>
          <w:sz w:val="18"/>
          <w:szCs w:val="18"/>
          <w:b w:val="1"/>
          <w:bCs w:val="1"/>
          <w:color w:val="auto"/>
        </w:rPr>
        <w:t>Changes in payer regulations or policies (or in the interpretation of current regulations or policies), insurance regulations or approvals, or changes in other laws, regulations or policies in the U.S. may adversely affect U.S. governmental and third-party coverage or reimbursement for clinical laboratory testing and may have a material adverse effect upon the Company.</w:t>
      </w:r>
    </w:p>
    <w:p>
      <w:pPr>
        <w:spacing w:after="0" w:line="80" w:lineRule="exact"/>
        <w:rPr>
          <w:sz w:val="20"/>
          <w:szCs w:val="20"/>
          <w:color w:val="auto"/>
        </w:rPr>
      </w:pPr>
    </w:p>
    <w:p>
      <w:pPr>
        <w:jc w:val="both"/>
        <w:ind w:firstLine="302"/>
        <w:spacing w:after="0" w:line="253" w:lineRule="auto"/>
        <w:rPr>
          <w:sz w:val="20"/>
          <w:szCs w:val="20"/>
          <w:color w:val="auto"/>
        </w:rPr>
      </w:pPr>
      <w:r>
        <w:rPr>
          <w:rFonts w:ascii="Times New Roman" w:cs="Times New Roman" w:eastAsia="Times New Roman" w:hAnsi="Times New Roman"/>
          <w:sz w:val="18"/>
          <w:szCs w:val="18"/>
          <w:color w:val="auto"/>
        </w:rPr>
        <w:t>U.S. and state government payers, such as Medicare and Medicaid, as well as insurers, including managed care organizations (MCOs), have increased their efforts to control the cost, utilization and delivery of healthcare services. From time to time, Congress has considered and implemented changes in Medicare fee schedules in conjunction with budgetary legislation. Further reductions of reimbursement for Medicare and Medicaid services or changes in policy regarding coverage of tests or other requirements for payment, such as prior authorization, diagnosis code and other claims edits, or a physician or qualified practitioner’s signature on test requisitions, may be implemented from time to time. Reimbursement for pathology services performed by LCD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impact on LCD's business. Actions by federal and state agencies regulating insurance, including healthcare exchanges, or changes in other laws, regulations, or policies may also have a material adverse effect upon LCD's business.</w:t>
      </w:r>
    </w:p>
    <w:p>
      <w:pPr>
        <w:spacing w:after="0" w:line="94" w:lineRule="exact"/>
        <w:rPr>
          <w:sz w:val="20"/>
          <w:szCs w:val="20"/>
          <w:color w:val="auto"/>
        </w:rPr>
      </w:pPr>
    </w:p>
    <w:p>
      <w:pPr>
        <w:jc w:val="both"/>
        <w:ind w:firstLine="45"/>
        <w:spacing w:after="0" w:line="286" w:lineRule="auto"/>
        <w:rPr>
          <w:sz w:val="20"/>
          <w:szCs w:val="20"/>
          <w:color w:val="auto"/>
        </w:rPr>
      </w:pPr>
      <w:r>
        <w:rPr>
          <w:rFonts w:ascii="Times New Roman" w:cs="Times New Roman" w:eastAsia="Times New Roman" w:hAnsi="Times New Roman"/>
          <w:sz w:val="18"/>
          <w:szCs w:val="18"/>
          <w:b w:val="1"/>
          <w:bCs w:val="1"/>
          <w:color w:val="auto"/>
        </w:rPr>
        <w:t>The Company could face significant monetary damages and penalties and/or exclusion from government programs if it violates federal, state, local or international laws including, but not limited to, anti-fraud and abuse laws.</w:t>
      </w:r>
    </w:p>
    <w:p>
      <w:pPr>
        <w:spacing w:after="0" w:line="18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is subject to extensive government regulation at the U.S. federal, state and local levels. The Company’s failure to meet governmental requirements under these regulations, including those relating to billing practices and financial relationships with physicians and hospitals,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Such occurrences, regardless of their outcome, could damage the Company’s reputation and adversely affect important business relationships it has with third parties.</w:t>
      </w:r>
    </w:p>
    <w:p>
      <w:pPr>
        <w:spacing w:after="0" w:line="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Company’s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spacing w:after="0" w:line="208"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8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FDA regulation of diagnostic products and increased FDA regulation of LDTs could result in increased costs and the imposition of fines or penalties and have a material adverse effect upon the Company’s business.</w:t>
      </w:r>
    </w:p>
    <w:p>
      <w:pPr>
        <w:spacing w:after="0" w:line="18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LCD’s point-of-care testing devices are subject to regulation by the FDA.</w:t>
      </w:r>
    </w:p>
    <w:p>
      <w:pPr>
        <w:spacing w:after="0" w:line="207"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8"/>
          <w:szCs w:val="18"/>
          <w:color w:val="auto"/>
        </w:rPr>
        <w:t xml:space="preserve">There are other regulatory and legislative proposals that would increase general FDA oversight of clinical laboratories and LDTs. On July 26, 2007, the FDA issued </w:t>
      </w:r>
      <w:r>
        <w:rPr>
          <w:rFonts w:ascii="Times New Roman" w:cs="Times New Roman" w:eastAsia="Times New Roman" w:hAnsi="Times New Roman"/>
          <w:sz w:val="18"/>
          <w:szCs w:val="18"/>
          <w:i w:val="1"/>
          <w:iCs w:val="1"/>
          <w:color w:val="auto"/>
        </w:rPr>
        <w:t>Draft Guidance for Industry, Clinical Laboratories, and FDA Staff: In Vitro Diagnostic Multivariate Index Assays</w:t>
      </w:r>
      <w:r>
        <w:rPr>
          <w:rFonts w:ascii="Times New Roman" w:cs="Times New Roman" w:eastAsia="Times New Roman" w:hAnsi="Times New Roman"/>
          <w:sz w:val="18"/>
          <w:szCs w:val="18"/>
          <w:color w:val="auto"/>
        </w:rPr>
        <w:t xml:space="preserve">. The guidance proposed certain changes to the agency's general past practice regarding the regulation of certain LDTs and announced that most devices deemed to be In Vitro Diagnostic Multivariate Index Assays (IVDMIAs) would either be Class II or Class III devices, although it is possible that an IVDMIA for a low-risk indication could be Class I. Class II medical devices typically require FDA clearance or a premarket notification submission. Class III devices require the submission of an application for Premarket Approval. On October 3, 2014, the FDA published two additional draft guidance documents: </w:t>
      </w:r>
      <w:r>
        <w:rPr>
          <w:rFonts w:ascii="Times New Roman" w:cs="Times New Roman" w:eastAsia="Times New Roman" w:hAnsi="Times New Roman"/>
          <w:sz w:val="18"/>
          <w:szCs w:val="18"/>
          <w:i w:val="1"/>
          <w:iCs w:val="1"/>
          <w:color w:val="auto"/>
        </w:rPr>
        <w:t>Framework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Regulatory Oversight of Laboratory Developed Tests (LDTs), </w:t>
      </w:r>
      <w:r>
        <w:rPr>
          <w:rFonts w:ascii="Times New Roman" w:cs="Times New Roman" w:eastAsia="Times New Roman" w:hAnsi="Times New Roman"/>
          <w:sz w:val="18"/>
          <w:szCs w:val="18"/>
          <w:color w:val="auto"/>
        </w:rPr>
        <w:t>which provides an overview of how the FDA would regulate LDTs through a risk-based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approach, and </w:t>
      </w:r>
      <w:r>
        <w:rPr>
          <w:rFonts w:ascii="Times New Roman" w:cs="Times New Roman" w:eastAsia="Times New Roman" w:hAnsi="Times New Roman"/>
          <w:sz w:val="18"/>
          <w:szCs w:val="18"/>
          <w:i w:val="1"/>
          <w:iCs w:val="1"/>
          <w:color w:val="auto"/>
        </w:rPr>
        <w:t>FDA Notification and Medical Device Reporting for Laboratory Developed Tests,</w:t>
      </w:r>
      <w:r>
        <w:rPr>
          <w:rFonts w:ascii="Times New Roman" w:cs="Times New Roman" w:eastAsia="Times New Roman" w:hAnsi="Times New Roman"/>
          <w:sz w:val="18"/>
          <w:szCs w:val="18"/>
          <w:color w:val="auto"/>
        </w:rPr>
        <w:t xml:space="preserve"> which describes the process for clinical laboratories to notify the FDA of the LDTs they "manufacture" and describes the Medical Device Reporting requirements for LDTs. On May 28, 2015, and October 22, 2015, the House Energy and Commerce Health Subcommittee released discussion drafts of a bill that would reform oversight of in vitro clinical tests (IVCTs), including both LDTs and test kits. The bill would establish a new regulatory framework in which FDA would regulate IVCTs under a new category separate from medical devices, and CMS regulation of laboratories under CLIA would be modernized. On November 16, 2015, the FDA issued a report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Public Health Evidence for FDA Oversight of Laboratory Developed Tests: 20 Case Studies </w:t>
      </w:r>
      <w:r>
        <w:rPr>
          <w:rFonts w:ascii="Times New Roman" w:cs="Times New Roman" w:eastAsia="Times New Roman" w:hAnsi="Times New Roman"/>
          <w:sz w:val="18"/>
          <w:szCs w:val="18"/>
          <w:color w:val="auto"/>
        </w:rPr>
        <w:t>(LDT Report). The LDT Report compiles 20 case studies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LDTs where FDA alleges that noncompliance with FDA regulations led to serious issues, such as false-positive or false-negative results, causing potential or actual harm to patients. On December 29, 2015, FDA published notice of its intent to finalize guidance on its policy for regulatory oversight of LDTs in 2016. However, on November 18, 2016, the FDA announced it would not release final guidance at this time and instead would continue to work with stakeholders, the new administration and Congress to determine the right approach, and on January 13, 2017, the FDA released a discussion paper outlining a possible risk-based approach for FDA and CMS oversight of LDTs. There are other regulatory and legislative proposals that would increase general FDA oversight of clinical laboratories and LDTs. The outcome and ultimate impact of such proposals on the business is difficult to predict at this time.</w:t>
      </w:r>
    </w:p>
    <w:p>
      <w:pPr>
        <w:spacing w:after="0" w:line="98" w:lineRule="exact"/>
        <w:rPr>
          <w:sz w:val="20"/>
          <w:szCs w:val="20"/>
          <w:color w:val="auto"/>
        </w:rPr>
      </w:pPr>
    </w:p>
    <w:p>
      <w:pPr>
        <w:jc w:val="both"/>
        <w:ind w:right="60" w:firstLine="243"/>
        <w:spacing w:after="0" w:line="266" w:lineRule="auto"/>
        <w:rPr>
          <w:sz w:val="20"/>
          <w:szCs w:val="20"/>
          <w:color w:val="auto"/>
        </w:rPr>
      </w:pPr>
      <w:r>
        <w:rPr>
          <w:rFonts w:ascii="Times New Roman" w:cs="Times New Roman" w:eastAsia="Times New Roman" w:hAnsi="Times New Roman"/>
          <w:sz w:val="18"/>
          <w:szCs w:val="18"/>
          <w:color w:val="auto"/>
        </w:rPr>
        <w:t>Current FDA regulation of the Company’s diagnostic products and potential future increased regulation of the Company’s LDTs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and penalties and loss of licensure, and have a material adverse effect upon the Company’s business.</w:t>
      </w:r>
    </w:p>
    <w:p>
      <w:pPr>
        <w:spacing w:after="0" w:line="80"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As previously discussed in Item 1 of Part I of this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of the Company, third-party payers or physicians to comply with the ICD-10-CM Code Set could negatively impact the Company's reimbursement, profitability and cash flow.</w:t>
      </w:r>
    </w:p>
    <w:p>
      <w:pPr>
        <w:spacing w:after="0" w:line="18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Company implemented Version 5010 of the HIPAA Transaction Standards and believes it has fully adopted the ICD-10-CM Code Set. Clinical laboratories are typically required to submit healthcare claims with diagnosis codes to third-party payers. The diagnosis codes must be obtained from the ordering physician. The failure of the Company, third-party payers or physicians to apply the new code set could have an adverse impact on reimbursement, days sales outstanding and cash collections.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18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If the Company does not comply with existing or new laws and regulations related to protecting the privacy and security of personal or health information, it could be subject to monetary fines, civil penalties or criminal sanctions.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U.S., the HIPAA privacy and security regulations, including the expanded requirements under HITECH, establish comprehensive standards with respect to the use and disclosure of protected health information (PHI) by covered entities, in addition to setting standards to protect the confidentiality, integrity and security of PHI.</w:t>
      </w:r>
    </w:p>
    <w:p>
      <w:pPr>
        <w:spacing w:after="0" w:line="82"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HIPAA restricts the Company’s ability to use or disclose patient identifiable laboratory data, without patient authorization, for purposes other than payment, treatment or healthcare operations (as defined by HIPAA), except for disclosures for various public policy purposes and other permitted purposes outlined in the privacy regulations. HIPAA and HITECH provide for significant fines and other penalties for wrongful use or disclosure of PHI in violation of the privacy and security regulations, including potential civil and criminal fines and penalties. The regulations establish a complex regulatory framework on a variety of subjects, including:</w:t>
      </w:r>
    </w:p>
    <w:p>
      <w:pPr>
        <w:spacing w:after="0" w:line="89" w:lineRule="exact"/>
        <w:rPr>
          <w:sz w:val="20"/>
          <w:szCs w:val="20"/>
          <w:color w:val="auto"/>
        </w:rPr>
      </w:pPr>
    </w:p>
    <w:p>
      <w:pPr>
        <w:ind w:left="740" w:right="20" w:hanging="327"/>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notices of privacy practices for PHI;</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 and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computing systems maintaining electronic PHI.</w:t>
      </w:r>
    </w:p>
    <w:p>
      <w:pPr>
        <w:spacing w:after="0" w:line="247"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pursuant to an action brought by a private party for the wrongful use or disclosure of health information or other personal information.</w:t>
      </w:r>
    </w:p>
    <w:p>
      <w:pPr>
        <w:spacing w:after="0" w:line="93"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may also be required to comply with the data privacy and security laws of other countries in which it operates or from which it receives data transfers. For example, in Europe both criminal and administrative sanctions are possible for violation of EU member state implementations of the general data protection Directive 95/46/EC. In December 2015, the EU enacted a General Data Protection Regulation (GDPR) to replace Directive 95/46/EC, which will take effect May 25, 2018, and which has a broader application and enhanced penalties for noncompliance. The Company is evaluating the scope of work required to comply with the new EU regulations, and as a result of that evaluation expects to make changes to its business practices and to incur additional costs.</w:t>
      </w:r>
    </w:p>
    <w:p>
      <w:pPr>
        <w:spacing w:after="0" w:line="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Regulations requiring the use of standard transactions for healthcare services issued under HIPAA may negatively impact the Company’s profitability and cash flows.</w:t>
      </w:r>
    </w:p>
    <w:p>
      <w:pPr>
        <w:spacing w:after="0" w:line="186"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Pursuant to HIPAA, the Secretary of HHS has issued regulations designed to improve the efficiency and effectiveness of the healthcare system by facilitating the electronic exchange of information in certain financial and administrative transactions while protecting the privacy and security of the information exchanged. The HIPAA transaction standards are complex and subject to differences in interpretation by payers. For instance, some payers may interpret the standards to require the Company to provide certain types of information, including demographic information, not usually provided to the Company by physicians. In addition, new requirements for additional standard transactions, such as claims attachments, could prove technically difficult, time-consuming or expensive to implement. As a result of inconsistent application of other transaction standards by payers or the Company’s inability to obtain certain billing information not usually provided to the Company by physicians, the Company could face increased costs and complexity, a temporary disruption in receipts and ongoing reductions in reimbursements and net revenues. While the Company is working closely with its payers to establish acceptable protocols for claim submission and with its trade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association and an industry coalition to present issues and problems as they arise to the appropriate regulators and standards-setting organizations, it may not be successful in these efforts.</w:t>
      </w:r>
    </w:p>
    <w:p>
      <w:pPr>
        <w:spacing w:after="0" w:line="6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w:t>
      </w:r>
    </w:p>
    <w:p>
      <w:pPr>
        <w:spacing w:after="0" w:line="18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receives certain personal and financial information about its customers. In addition, the Company depends upon the secure transmission of confidential information over public networks, including information permitting cashless payments. A compromise in the Company’s security systems that results in customer personal information being obtained by unauthorized persons or the Company’s failure to comply with security requirements for financial transactions could adversely affect the Company’s reputation with its customers and others, as well as the Company’s results of operations, financial condition and liquidity. It could also result in litigation against the Company and the imposition of fines and penalties.</w:t>
      </w:r>
    </w:p>
    <w:p>
      <w:pPr>
        <w:spacing w:after="0" w:line="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18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6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95"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8"/>
          <w:szCs w:val="18"/>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negatively impact its revenues.</w:t>
      </w:r>
    </w:p>
    <w:p>
      <w:pPr>
        <w:spacing w:after="0" w:line="86" w:lineRule="exact"/>
        <w:rPr>
          <w:sz w:val="20"/>
          <w:szCs w:val="20"/>
          <w:color w:val="auto"/>
        </w:rPr>
      </w:pPr>
    </w:p>
    <w:p>
      <w:pPr>
        <w:jc w:val="both"/>
        <w:ind w:firstLine="304"/>
        <w:spacing w:after="0" w:line="254" w:lineRule="auto"/>
        <w:rPr>
          <w:sz w:val="20"/>
          <w:szCs w:val="20"/>
          <w:color w:val="auto"/>
        </w:rPr>
      </w:pPr>
      <w:r>
        <w:rPr>
          <w:rFonts w:ascii="Times New Roman" w:cs="Times New Roman" w:eastAsia="Times New Roman" w:hAnsi="Times New Roman"/>
          <w:sz w:val="18"/>
          <w:szCs w:val="18"/>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taken responsibility from the U.S. Centers for Disease Control and Prevention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Healthcare reform and changes to related products (e.g., health insurance exchanges), changes in government payment and reimbursement systems, or changes in payer mix, including an increase in capitated reimbursement mechanisms and evolving delivery models, could have a material adverse impact on the Company's net revenues, profitability and cash flow.</w:t>
      </w:r>
    </w:p>
    <w:p>
      <w:pPr>
        <w:spacing w:after="0" w:line="20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LCD's testing services are billed to MCOs, Medicare, Medicaid, physicians and physician groups, hospitals, patients and employer groups. Tests ordered by a physician may be billed to different payers depending on the medical insurance benefits of a particular patient. Most testing services are billed to a party other than the physician or other authorized person who ordered the test. Increases in the percentage of services billed to government and MCOs could have an adverse impact on the Company’s net revenues.</w:t>
      </w:r>
    </w:p>
    <w:p>
      <w:pPr>
        <w:spacing w:after="0" w:line="207"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w:t>
      </w:r>
    </w:p>
    <w:p>
      <w:pPr>
        <w:spacing w:after="0" w:line="20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Capitation shifts the risk of increased test utilization (and the underlying mix of testing services) to the commercial laboratory provider. The Company makes significant efforts to ensure that its services are adequately compensated in its capitated arrangements. For the year ended December 31, 2016, such capitated contracts accounted for approximately $225.8 million, or 3.4%, of the Company's LCD net revenues.</w:t>
      </w:r>
    </w:p>
    <w:p>
      <w:pPr>
        <w:spacing w:after="0" w:line="8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ability to attract and retain MCOs is critical given the impact of healthcare reform, related products and expanded coverage (e.g. health insurance exchanges and Medicaid expansion) and evolving delivery models (e.g., ACOs).</w:t>
      </w:r>
    </w:p>
    <w:p>
      <w:pPr>
        <w:spacing w:after="0" w:line="6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A portion of the managed care fee-for-service revenues is collectible from patients in the form of deductibles, copayments and coinsurance. Collectability may be impacted as patient cost-sharing increases.</w:t>
      </w:r>
    </w:p>
    <w:p>
      <w:pPr>
        <w:spacing w:after="0" w:line="6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8"/>
          <w:szCs w:val="18"/>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however, changes to, or repeal of, the ACA may continue to affect coverage, reimbursement, and utilization of laboratory services, as well as administrative requirements, in ways that are currently unpredictable. Further, structural reforms of Medicare that could occur under the 115th Congress and the new administration, such as the imposition of uniform coinsurance and the combination of the Medicare Part A and Part B deductibles, could adversely affect laboratory reimbursement under Medicare.</w:t>
      </w:r>
    </w:p>
    <w:p>
      <w:pPr>
        <w:spacing w:after="0" w:line="9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These issues (particularly payer policy changes) and changes in coverage had a negative impact on revenue, revenue per requisition, and margins and cash flows in 2014 through 2016, and are expected to have a continuing negative impact. Similarly, CLFS coding and billing changes related to toxicology and other procedures were implemented in 2016. The Company experienced delays in the pricing and implementation of the new toxicology codes; however, the Company largely overcame issues related to price and margins through direct negotiation with the associated payers. Further coding and billing changes related to toxicology and other procedure types are expected to be implemented in 2017. The Company expects delays in the pricing and implementation of these new codes. While the impact on price and margins is currently unclear, the Company anticipates that some of that will be mitigated by timely negotiation with payers impacted by these changes.</w:t>
      </w:r>
    </w:p>
    <w:p>
      <w:pPr>
        <w:spacing w:after="0" w:line="9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some MCOs are implementing, directly or through third parties, various types of laboratory benefit management programs that may include lab networks, utilization management tools (such as prior authorization and/or prior notification), and claims edits, which may impact coverage or reimbursement for commercial laboratory tests. Some of these programs address commercial laboratory testing broadly, while others are focused on molecular and genetic testing.</w:t>
      </w:r>
    </w:p>
    <w:p>
      <w:pPr>
        <w:spacing w:after="0" w:line="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expects the efforts to impose reduced reimbursement, more stringent payment policies, and utilization and cost controls by government and other payers to continue. If LCD cannot offset additional reductions in the payments it receives for its services by reducing costs, increasing test volume and/or introducing new procedures, it could have a material adverse impact on the Company’s net revenues, profitability and cash flows. In 2014, Congress passed PAMA, requiring Medicare to change the way payment rates are calculated for tests paid under the CLFS, and to base the payment on the weighted median of rates paid by private payers. On June 23, 2016, CMS published a final rule to implement PAMA. This rule requires applicable laboratories, including LCD, to begin reporting their test-specific private payer payment amounts to CMS during the first quarter of 2017, which CMS would then use to calculate new CLFS rates that would be effective January 1, 2018.</w:t>
      </w:r>
    </w:p>
    <w:p>
      <w:pPr>
        <w:spacing w:after="0" w:line="9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Healthcare reform legislation also contains numerous regulations that will require the Company, as an employer, to implement significant process and record-keeping changes to be in compliance. These changes increase the cost of providing healthcare coverage to employees and their families. Given the limited release of regulations to guide compliance, as well as the potential repeal and replacement of the ACA in the 115th Congress, the exact impact to employers, including the Company, is uncertain.</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government regulation or in practices relating to the biopharmaceutical industry could decrease the need for certain services that CDD provides.</w:t>
      </w:r>
    </w:p>
    <w:p>
      <w:pPr>
        <w:spacing w:after="0" w:line="18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CDD assists biopharmaceutical companies in navigating the regulatory drug approval process. Changes in regulations such as a relaxation in regulatory requirements or the introduction of simplified drug approval procedures, or an increase in regulatory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requirements that CDD has difficulty satisfying or that make its services less competitive, could eliminate or substantially reduce the demand for its services. Also, if government efforts to contain drug costs impact biopharmaceutical company profits from new drugs, or if health insurers were to change their practices with respect to reimbursement for biopharmaceutical products, some of CDD’s customers may spend less, or reduce their growth in spending on R&amp;D.</w:t>
      </w:r>
    </w:p>
    <w:p>
      <w:pPr>
        <w:spacing w:after="0" w:line="8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On December 13, 2016, President Obama signed into law the 21st Century Cures Act. This Act provides funding designed to increase government spending on certain drug development initiatives; contains several provisions designed to help make the drug development process more streamlined and efficient; and allows the FDA to increase staffing to support drug development, review and regulation. These provisions should be helpful to biopharmaceutical companies and CROs, including CDD, to the extent that they capitalize on the use of data, adaptive trial designs, real-world evidence, biomarkers and other development tools that are accepted by the FDA.</w:t>
      </w:r>
    </w:p>
    <w:p>
      <w:pPr>
        <w:spacing w:after="0" w:line="89" w:lineRule="exact"/>
        <w:rPr>
          <w:sz w:val="20"/>
          <w:szCs w:val="20"/>
          <w:color w:val="auto"/>
        </w:rPr>
      </w:pPr>
    </w:p>
    <w:p>
      <w:pPr>
        <w:jc w:val="both"/>
        <w:ind w:right="20" w:firstLine="270"/>
        <w:spacing w:after="0" w:line="266" w:lineRule="auto"/>
        <w:rPr>
          <w:sz w:val="20"/>
          <w:szCs w:val="20"/>
          <w:color w:val="auto"/>
        </w:rPr>
      </w:pPr>
      <w:r>
        <w:rPr>
          <w:rFonts w:ascii="Times New Roman" w:cs="Times New Roman" w:eastAsia="Times New Roman" w:hAnsi="Times New Roman"/>
          <w:sz w:val="18"/>
          <w:szCs w:val="18"/>
          <w:color w:val="auto"/>
        </w:rPr>
        <w:t>In addition, implementation of healthcare reform legislation that adds costs could limit the profits that can be made from the development of new drugs. This could adversely affect R&amp;D expenditures by biopharmaceutical companies, which could in turn decrease the business opportunities available to CDD both in the U.S. and other countries. New laws or regulations may create a risk of liability, increase CDD costs or limit service offerings through CDD.</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the regulations of the U.S. FDA and other drug regulatory agencies, such as the Medicines and Healthcare products Regulatory Agency in the U.K., the European Medicines Agency, the China Food and Drug Administration, and the Pharmaceuticals and Medical Devices Agency in Japan, could result in sanctions and/or remedies against CDD and have a material adverse effect upon the Company.</w:t>
      </w:r>
    </w:p>
    <w:p>
      <w:pPr>
        <w:spacing w:after="0" w:line="20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operation of CDD's preclinical laboratory facilities and clinical trial operations must conform to GLP and GCP, as applicable, as well as all other applicable standards and regulations, as further described in "Business" in Item 1 of this report.</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Additionally, certain CDD services and activities must conform to cGMP as further described in "Business" in Item 1 of this report. Failure to maintain compliance with GLP, GCP, or cGMP regulations and other applicable requirements of various regulatory agencies could result in warning letters, fines, unanticipated compliance expenditures, suspension of manufacturing, and civil, criminal or administrative sanctions and/or remedies against CDD, including suspension of its laboratory operations, which could have a material adverse effect upon the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competition, including price competition, could have a material adverse impact on the Company’s net revenues and profitability.</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Both LCD and CDD operate in highly competitive industries. The commercial laboratory business is intensely competitive both in terms of price and service. Pricing of laboratory testing services is often one of the most significant factors used by physicians and third-party payers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LCD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Competitors in the CRO industry range from hundreds of smaller CROs to a limited number of large CROs with global capabilities. CDD’s main competition consists of these small and large CROs, as well as in-house departments of biopharmaceutical companies and, to a lesser extent, select universities and teaching hospitals. CDD competes on a variety of factors, including:</w:t>
      </w:r>
    </w:p>
    <w:p>
      <w:pPr>
        <w:spacing w:after="0" w:line="82" w:lineRule="exact"/>
        <w:rPr>
          <w:sz w:val="20"/>
          <w:szCs w:val="20"/>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quality, timely performance and regulatory compliance;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and experience in operations, efficiency of drug development processes, technology, therapeutic areas, and market access services;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service offerings;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Strengths in various geographic markets;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facilities;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acquire, process, analyze and report data in a rapid and accurate manner;</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relationships;</w:t>
      </w:r>
    </w:p>
    <w:p>
      <w:pPr>
        <w:spacing w:after="0" w:line="9" w:lineRule="exact"/>
        <w:rPr>
          <w:rFonts w:ascii="Times New Roman" w:cs="Times New Roman" w:eastAsia="Times New Roman" w:hAnsi="Times New Roman"/>
          <w:sz w:val="18"/>
          <w:szCs w:val="18"/>
          <w:color w:val="auto"/>
        </w:rPr>
      </w:pPr>
    </w:p>
    <w:p>
      <w:pPr>
        <w:ind w:left="740" w:right="300" w:hanging="327"/>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manage large-scale clinical trials both domestically and internationally, including the recruitment of appropriate and sufficient clinical trial subjects; and</w:t>
      </w: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scale.</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CDD’s services have from time to time experienced periods of increased price competition that had an adverse effect on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segment's profitability and consolidated net revenues and net income.</w:t>
      </w:r>
    </w:p>
    <w:p>
      <w:pPr>
        <w:spacing w:after="0" w:line="22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There is competition among CROs for both customers and potential acquisition candidates. Additionally, entities considering entering the CRO industry will find few barriers to entry, thus further increasing possible competition. These competitive pressures may affect the attractiveness of CDD’s services and could adversely affect its financial results and the financial results of the Company.</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to obtain and retain new customers, the loss of existing customers or material contracts, a reduction in tests ordered or specimens submitted by existing customers, or the inability to retain existing and/or create new relationships with health systems could impact the Company’s ability to successfully grow its business.</w:t>
      </w:r>
    </w:p>
    <w:p>
      <w:pPr>
        <w:spacing w:after="0" w:line="202"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To offset efforts by payers to reduce the cost and utilization of commercial laboratory services and to otherwise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impact on the Company’s net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customers and a reduction in the Company's ability to expand its customer base.</w:t>
      </w:r>
    </w:p>
    <w:p>
      <w:pPr>
        <w:spacing w:after="0" w:line="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LCD has a well-established base of relationships with those systems and networks, including collaborative agreements. LCD's inability to retain its existing relationships with those physicians as they become part of healthcare systems and networks and/or to create new relationships could impact its ability to successfully grow its business.</w:t>
      </w:r>
    </w:p>
    <w:p>
      <w:pPr>
        <w:spacing w:after="0" w:line="82" w:lineRule="exact"/>
        <w:rPr>
          <w:sz w:val="20"/>
          <w:szCs w:val="20"/>
          <w:color w:val="auto"/>
        </w:rPr>
      </w:pPr>
    </w:p>
    <w:p>
      <w:pPr>
        <w:ind w:left="80"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Continued and increased consolidation of MCOs, biopharmaceutical companies, health systems, physicians and other customers could adversely affect the Company's business.</w:t>
      </w:r>
    </w:p>
    <w:p>
      <w:pPr>
        <w:spacing w:after="0" w:line="186" w:lineRule="exact"/>
        <w:rPr>
          <w:sz w:val="20"/>
          <w:szCs w:val="20"/>
          <w:color w:val="auto"/>
        </w:rPr>
      </w:pPr>
    </w:p>
    <w:p>
      <w:pPr>
        <w:jc w:val="both"/>
        <w:ind w:left="80" w:firstLine="648"/>
        <w:spacing w:after="0" w:line="261" w:lineRule="auto"/>
        <w:rPr>
          <w:sz w:val="20"/>
          <w:szCs w:val="20"/>
          <w:color w:val="auto"/>
        </w:rPr>
      </w:pPr>
      <w:r>
        <w:rPr>
          <w:rFonts w:ascii="Times New Roman" w:cs="Times New Roman" w:eastAsia="Times New Roman" w:hAnsi="Times New Roman"/>
          <w:sz w:val="18"/>
          <w:szCs w:val="18"/>
          <w:color w:val="auto"/>
        </w:rPr>
        <w:t>Many healthcare companies and providers, including MCOs, biopharmaceutical companies, health systems and physician practices are consolidating through mergers, acquisitions, joint ventures and other types of transactions and collaborations. As the healthcare industry consolidates, competition to provide goods and services may become more intense. This competition and increased customer bargaining power may adversely affect the price and volume of the Company’s services.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LCD’s nutritional chemistry and food safety business exposes the Company to various risks, including liability for errors and omissions in work conducted for LCD customers.</w:t>
      </w:r>
    </w:p>
    <w:p>
      <w:pPr>
        <w:spacing w:after="0" w:line="78"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8"/>
          <w:szCs w:val="18"/>
          <w:color w:val="auto"/>
        </w:rPr>
        <w:t>LCD offers a range of product-development and product-integrity services to food and beverage manufacturers and retailers, industry organizations and academic institutions. LCD expects to expand its nutritional chemistry and food safety business by leveraging the Company’s expertise in microbiology and its infrastructure to enable testing to be performed close to the food source. LCD also is exploring the possibility of developing point-of-production testing for food safety. These business offerings and opportunities expose the Company to many of the same, or similar, risks that are applicable to other business activities of the Company, including with respect to the operations of its facilities and compliance with applicable laws and regulations. The agricultural, food, beverage and dietary supplement industries are continuing to gain the attention of governments and regulators around the world, and regulations and applicable laws have increased in recent years. For example, many food and beverage manufacturers and retailers will be subject to new nutrition labeling regulations and new food manufacturing requirements, including regulations issued under the Food Safety Modernization Act (FSMA). With these enhanced requirements on the Company’s customers, there is an increased risk that errors in or omissions from nutritional analysis and food safety tests conducted by the Company for its customers could result in liability for the Company under customer contracts. If LCD determines to further expand its nutritional chemistry and food safety testing business in the future beyond what is currently anticipated, LCD could become subject to additional standards and regulations, including under the FSMA, and could face additional liabilities resulting from new and pending regulatory and other legal decisions.</w:t>
      </w:r>
    </w:p>
    <w:p>
      <w:pPr>
        <w:spacing w:after="0" w:line="197" w:lineRule="exact"/>
        <w:rPr>
          <w:sz w:val="20"/>
          <w:szCs w:val="20"/>
          <w:color w:val="auto"/>
        </w:rPr>
      </w:pPr>
    </w:p>
    <w:p>
      <w:pPr>
        <w:ind w:left="80"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Changes or disruption in services or supplies provided by third parties, including transportation, could adversely affect the Company’s business.</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depends on third parties to provide services critical to the Company’s business. The Company's laboratories and certain of the Company's other businesses are heavily reliant on air travel for transport of clinical trial and diagnostic testing supplies and specimens, research products, and people, and a significant disruption to the air travel system, or the Company's access to it, could have a material adverse effect on the Company's business. CDD depends on a limited number of suppliers for certain services and for certain animal populations. Disruptions to the continued supply of these services, products or animal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populations may arise from export/import restrictions or embargoes, political or economic instability, pressure from animal rights activists, adverse weather, natural disasters or other causes. Disruption of supply could have a material adverse effect on the Company’s business.</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Damage or disruption to the Company’s facilities could adversely affect the Company’s business.</w:t>
      </w:r>
    </w:p>
    <w:p>
      <w:pPr>
        <w:spacing w:after="0" w:line="27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Many of the Company’s facilities would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19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bears financial risk for contracts that, for reasons beyond the Company's control, may be underpriced, subject to cost overruns, delayed, or terminated or reduced in scope.</w:t>
      </w:r>
    </w:p>
    <w:p>
      <w:pPr>
        <w:spacing w:after="0" w:line="7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 material adverse effect on the Company's business, results of operations, financial condition and cash flows.</w:t>
      </w:r>
    </w:p>
    <w:p>
      <w:pPr>
        <w:spacing w:after="0" w:line="4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Many of CDD’s contracts, in particular, provide for services on a fixed-price or fee-for-service with a cap basis and they may be terminated or reduced in scope either immediately or upon notice. Cancellations may occur for a variety of reasons, including:</w:t>
      </w:r>
    </w:p>
    <w:p>
      <w:pPr>
        <w:spacing w:after="0" w:line="54" w:lineRule="exact"/>
        <w:rPr>
          <w:sz w:val="20"/>
          <w:szCs w:val="20"/>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products to satisfy safety requirements;</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results of the products;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clinical trial subject enrollment;</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investigator recruitment;</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decision to terminate the development of a product or to end a particular study; and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CDD’s failure to perform its duties properly under the contract.</w:t>
      </w:r>
    </w:p>
    <w:p>
      <w:pPr>
        <w:spacing w:after="0" w:line="99"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CDD.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research services in the drug development industry create liability risks.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contracting to work on drug development trials and studies, CDD faces a range of potential liabilities, including:</w:t>
      </w:r>
    </w:p>
    <w:p>
      <w:pPr>
        <w:spacing w:after="0" w:line="27" w:lineRule="exact"/>
        <w:rPr>
          <w:sz w:val="20"/>
          <w:szCs w:val="20"/>
          <w:color w:val="auto"/>
        </w:rPr>
      </w:pPr>
    </w:p>
    <w:p>
      <w:pPr>
        <w:ind w:left="740" w:hanging="327"/>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omissions that create harm to clinical trial subjects during a trial or to consumers of a drug after the trial is completed and regulatory approval of the drug has been granted;</w:t>
      </w:r>
    </w:p>
    <w:p>
      <w:pPr>
        <w:ind w:left="740" w:hanging="327"/>
        <w:spacing w:after="0" w:line="250"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risks associated with clinical pharmacology facilities, including negative consequences from the administration of drugs to clinical trial participants or the professional malpractice of clinical pharmacology physicians;</w:t>
      </w:r>
    </w:p>
    <w:p>
      <w:pPr>
        <w:jc w:val="both"/>
        <w:ind w:left="740" w:right="520" w:hanging="327"/>
        <w:spacing w:after="0" w:line="265" w:lineRule="auto"/>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animals in CDD’s breeding facilities may be infected with diseases that may be harmful and even lethal to themselves and humans despite preventive measures contained in CDD's business policies, including those for the quarantine and handling of imported animals; and</w:t>
      </w:r>
    </w:p>
    <w:p>
      <w:pPr>
        <w:ind w:left="740" w:hanging="327"/>
        <w:spacing w:after="0" w:line="261"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and omissions during a trial that may undermine the usefulness of a trial or data from the trial or study or may delay the entry of a drug to the market.</w:t>
      </w:r>
    </w:p>
    <w:p>
      <w:pPr>
        <w:spacing w:after="0" w:line="4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CDD contracts with physicians, also referred to as investigators, to conduct the clinical trials to test new drugs on clinical trial subjects. These tests can create a risk of liability for personal injury or death to clinical trial subjects resulting from negative reactions to the drugs administered or from professional malpractice by third party investigators.</w:t>
      </w:r>
    </w:p>
    <w:p>
      <w:pPr>
        <w:spacing w:after="0" w:line="8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While CDD endeavors to include in its contracts provisions entitling it to be indemnified and entitling it to a limitation of liability, these provisions do not uniformly protect CDD against liability arising from certain of its own actions. CDD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CDD is not successful in limiting its liability or in the event that the damages and costs exceed CDD's insurance coverage. There can be no assurance that CDD will be able to maintain sufficient insurance coverage on acceptable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results in material litigation matters could have a material adverse effect upon the Company’s business.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may become subject in the ordinary course of business to material legal action related to, among other things, intellectual property disputes, contract disputes, professional liability and employee-related matters. The Company may also receive inquiries and requests for information from governmental agencies and bodies, including Medicare or Medicaid carriers, requesting comment and/or information on allegations of billing irregularities or billing and pricing arrangements that are brought to their attention through billing audits or third parties. Legal actions could result in substantial monetary damages as well as damage to the Company’s reputation with customers, which could have a material adverse effect upon its business.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quarterly operating results may vary.</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operating results, particularly for CDD, may vary significantly from quarter to quarter and are influenced by factors over which the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Company has little control, such as:</w:t>
      </w:r>
    </w:p>
    <w:p>
      <w:pPr>
        <w:spacing w:after="0" w:line="112" w:lineRule="exact"/>
        <w:rPr>
          <w:sz w:val="20"/>
          <w:szCs w:val="20"/>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global economy;</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completion, delay or cancellation of large projects or groups of projects;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ongoing projects;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charges associated with completed acquisitions or other events; and</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Company's services.</w:t>
      </w:r>
    </w:p>
    <w:p>
      <w:pPr>
        <w:spacing w:after="0" w:line="22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19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failure to successfully obtain, maintain and enforce intellectual property rights and defend against challenges to the Company’s intellectual property rights could adversely affect the Company.</w:t>
      </w:r>
    </w:p>
    <w:p>
      <w:pPr>
        <w:spacing w:after="0" w:line="6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If the Company is unable to obtain or maintain the proprietary rights to its intellectual property, if it is unable to prevent attempted infringement against its intellectual property, or if it is unable to defend against claims that it is infringing on another party’s intellectual property, the Company could be adversely affected. These adverse effects could include the Company having to abandon, alter and/or delay the deployment of products, services or processes that rely on such intellectual property; having to procure and pay for licenses from the holders of intellectual property rights that the Company seeks to use; and having to pay damages, fines, court costs and attorney's fees in connection with intellectual property litigation.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CDD’s revenues depend on the biopharmaceutical industry.</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CDD’s revenues depend greatly on the expenditures made by the biopharmaceutical industry in R&amp;D. In some instances, biopharmaceutical companies are reliant on their ability to raise capital in order to fund their R&amp;D projects. Biopharmaceutical companies are also reliant on reimbursement for their products from government programs and commercial payers. Accordingly, economic factors and industry trends affecting CDD’s customers in these industries may also affect CDD. If these companies were to reduce the number of R&amp;D projects they conduct or outsource, whether through the inability to raise capital, reductions in reimbursement from governmental programs or commercial payers, industry trends, economic conditions or otherwise, CDD could be materially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Actions of animal rights activists may have an adverse effect on the Company.</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CDD's preclinical services utilize animals in preclinical testing of the safety and efficacy of drugs. Such activities are required for the development of new medicines and medical devices under regulatory regimes in the U.S., Europe, Japan and other countries. CDD also breeds and sells animals for biomedical research. Acts of vandalism and other acts by animal rights activists who object to the use of animals in drug development could have an adverse effect on the Company.</w:t>
      </w:r>
    </w:p>
    <w:p>
      <w:pPr>
        <w:spacing w:after="0" w:line="2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Animal populations may suffer diseases that can damage CDD's inventory, harm its reputation, result in decreased sales of research products or result in other liability.</w:t>
      </w:r>
    </w:p>
    <w:p>
      <w:pPr>
        <w:spacing w:after="0" w:line="186"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It is important that research products be free of diseases, including infectious diseases. The presence of diseases can distort or compromise the quality of research results, cause loss of animals in CDD’s inventory, result in harm to humans or outside animal populations if the disease is not contained to animals in inventory, or result in other losses. Such results could harm CDD’s reputation or have an adverse effect on CDD's financial condition, results of operations, and cash flows.</w:t>
      </w:r>
    </w:p>
    <w:p>
      <w:pPr>
        <w:spacing w:after="0" w:line="20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conduct animal research in compliance with animal welfare laws and regulation could result in sanctions and/or remedies against CDD and have a material adverse effect upon the Company.</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conduct of animal research at CDD’s facilities must be in compliance with applicable laws and regulations in the jurisdictions in which those activities are conducted. These laws and regulations include the AWA, which governs the care and use of warm-blooded animals for research in the U.S. other than laboratory rats, mice and chickens, and is enforced through periodic inspections by the USDA. The AWA establishes facility standards regarding several aspects of animal welfare, including housing, ventilation, lighting, feeding and watering, handling, veterinary care and recordkeeping. Similar laws and regulations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apply in other jurisdictions in which CDD conducts animal research, including the European Union and China. CDD complies with licensing and registration requirement standards set by these laws and regulations in the jurisdictions in which it conducts animal research. If an enforcement agency determines that CDD’s equipment, facilities, laboratories or processes do not comply with applicable standards, it may issue an inspection report documenting the deficiencies and setting deadlines for any required corrective actions. For noncompliance, the agency may take action against CDD that may include fines, suspension and/or revocation of animal research licenses, or confiscation of research animals.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inability to attract and retain experienced and qualified personnel could adversely affect the Company’s business.</w:t>
      </w:r>
    </w:p>
    <w:p>
      <w:pPr>
        <w:spacing w:after="0" w:line="25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loss of key management personnel or the inability to attract and retain experienced and qualified employees at the Company’s clinical laboratories and drug development facilities could adversely affect the business. The success of the Company is dependent in part on the efforts of key members of its management team. Success in maintaining the Company’s leadership position in genomic and other advanced testing technologies and in drug development will depend in part on the Company’s ability to attract and retain skilled research professionals. In addition, the success of the Company’s clinical laboratories also depends on employing and retaining qualified and experienced laboratory professionals, including specialists, who perform commercial laboratory testing services. In the future, if competition for the services of these professionals increases, the Company may not be able to continue to attract and retain individuals in its markets. The Company’s revenues and earnings could be adversely affected if a significant number of professionals terminate their relationship with the Company or become unable or unwilling to continue their employment.</w:t>
      </w:r>
    </w:p>
    <w:p>
      <w:pPr>
        <w:spacing w:after="0" w:line="208" w:lineRule="exact"/>
        <w:rPr>
          <w:sz w:val="20"/>
          <w:szCs w:val="20"/>
          <w:color w:val="auto"/>
        </w:rPr>
      </w:pPr>
    </w:p>
    <w:p>
      <w:pPr>
        <w:jc w:val="both"/>
        <w:ind w:firstLine="45"/>
        <w:spacing w:after="0" w:line="286" w:lineRule="auto"/>
        <w:rPr>
          <w:sz w:val="20"/>
          <w:szCs w:val="20"/>
          <w:color w:val="auto"/>
        </w:rPr>
      </w:pPr>
      <w:r>
        <w:rPr>
          <w:rFonts w:ascii="Times New Roman" w:cs="Times New Roman" w:eastAsia="Times New Roman" w:hAnsi="Times New Roman"/>
          <w:sz w:val="18"/>
          <w:szCs w:val="18"/>
          <w:b w:val="1"/>
          <w:bCs w:val="1"/>
          <w:color w:val="auto"/>
        </w:rPr>
        <w:t>Unionization of employees, union strikes, work stoppages or failure to comply with labor or employment laws could adversely affect the Company's operations and have a material adverse effect upon the Company's business.</w:t>
      </w:r>
    </w:p>
    <w:p>
      <w:pPr>
        <w:spacing w:after="0" w:line="1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is a party to collective bargaining agreements with various labor unions and is subject to employment and labor laws and unionization activity in the U.S. and other countries in which it conducts business. Disputes with regard to the terms of these agreements,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impact upon the Company's business.</w:t>
      </w:r>
    </w:p>
    <w:p>
      <w:pPr>
        <w:spacing w:after="0" w:line="2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increase in LCD's or CDD's days sales outstanding could have an adverse effect on the Company’s business, including its cash flow, by increasing its bad debt or decreasing its cash flow.</w:t>
      </w:r>
    </w:p>
    <w:p>
      <w:pPr>
        <w:spacing w:after="0" w:line="1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LCD is experiencing increasing patient responsibility as a result of managed care fee-for-service plans that continue to increase deductibles, coinsurance and patient copayments. A material increase in LCD’s days sales outstanding level could have an adverse effect on the Company's business, including potentially increasing its bad debt rate and decreasing its cash flows. Although CDD does not face the same level of complexity in its billing process, it could also experience delays in billing or collection, and a material increase in CDD’s days sales outstanding could have an adverse effect on the Company’s business, including potentially decreasing its cash flows.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in the Company’s information technology systems or delays or failures in the development and implementation of the Company's LabCorp Link platform could significantly increase testing turnaround time or billing processes and otherwise disrupt the Company’s operations or customer relationships.</w:t>
      </w:r>
    </w:p>
    <w:p>
      <w:pPr>
        <w:spacing w:after="0" w:line="202" w:lineRule="exact"/>
        <w:rPr>
          <w:sz w:val="20"/>
          <w:szCs w:val="20"/>
          <w:color w:val="auto"/>
        </w:rPr>
      </w:pPr>
    </w:p>
    <w:p>
      <w:pPr>
        <w:jc w:val="both"/>
        <w:ind w:firstLine="308"/>
        <w:spacing w:after="0" w:line="255" w:lineRule="auto"/>
        <w:rPr>
          <w:sz w:val="20"/>
          <w:szCs w:val="20"/>
          <w:color w:val="auto"/>
        </w:rPr>
      </w:pPr>
      <w:r>
        <w:rPr>
          <w:rFonts w:ascii="Times New Roman" w:cs="Times New Roman" w:eastAsia="Times New Roman" w:hAnsi="Times New Roman"/>
          <w:sz w:val="18"/>
          <w:szCs w:val="18"/>
          <w:color w:val="auto"/>
        </w:rPr>
        <w:t>The Company’s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The Company is also continuing to enhance its LabCorp Link platform and could experience delays or deficiencies in the development process. Failure of the Company’s information technology systems could adversely affect the Company’s business, profitability and financial condition.</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Hardware and software failures, delays in the operation of computer and communications systems, the failure to implement new systems or system enhancements to existing systems, and cyber security breaches may harm the Company.</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success depends on the efficient and uninterrupted operation of its computer and communications systems. A failure of the network or data-gathering procedures could impede the processing of data, delivery of databases and services,</w:t>
      </w:r>
    </w:p>
    <w:p>
      <w:pPr>
        <w:sectPr>
          <w:pgSz w:w="11900" w:h="16838" w:orient="portrait"/>
          <w:cols w:equalWidth="0" w:num="1">
            <w:col w:w="11420"/>
          </w:cols>
          <w:pgMar w:left="240" w:top="121"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orders and day-to-day management of the business and could result in the corruption or loss of data. While certain operations have appropriate disaster recovery plans in place, there currently are not redundant facilities everywhere in the world to provide IT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the Company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the Company's reputation and harm the business. Finally, long-term disruptions in the infrastructure caused by events such as natural disasters, the outbreak of war, the escalation of hostilities, acts of terrorism (particularly involving cities in which the Company has offices) and cybersecurity breaches could adversely affect the business. Although the Company carries property and business interruption insurance, the coverage may not be adequate to compensate for all losses that may occur.</w:t>
      </w:r>
    </w:p>
    <w:p>
      <w:pPr>
        <w:spacing w:after="0" w:line="2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and unauthorized access to the Company's or its customers’ data could harm the Company’s reputation and adversely affect its business.</w:t>
      </w:r>
    </w:p>
    <w:p>
      <w:pPr>
        <w:spacing w:after="0" w:line="186"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The risk exists that experienced computer programmers and hackers could attack and potentially penetrate the Company’s layered security controls and misappropriate or compromise personal information or proprietary or confidential information, create system disruptions or cause shutdowns. They also may be able to develop and deploy viruses, worms and other malicious software programs that attack the Company’s systems or otherwise exploit any security vulnerabilities. Outside parties may also attempt to fraudulently induce employees to take actions, including the release of confidential or sensitive information or to make fraudulent payments through illegal electronic spamming, phishing or other tactics. Although the Company believes that it has robust information security procedures and other safeguards in place, which are monitored and routinely tested internally and by external parties,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Breaches of the Company’s security measures and the unauthorized dissemination of personal, proprietary or confidential information about the Company or its customers or other third-parties could expose customers’ private information. Such breaches could expose customers to the risk of financial or medical identity theft or expose the Company or other third-parties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Operations may be disrupted and adversely impacted by the effects of natural disasters such as adverse weather and earthquakes, acts of terrorism, or other criminal activities, or disease pandemics.</w:t>
      </w:r>
    </w:p>
    <w:p>
      <w:pPr>
        <w:spacing w:after="0" w:line="18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Natural disasters may result in a temporary decline of volumes in both segments. In addition, such events may temporarily interrupt the Company’s ability to transport specimens, the Company's ability to efficiently commence studies, the Company’s information technology systems, the Company’s ability to utilize certain laboratories, and/or the Company’s ability to receive material from its suppliers.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deterioration in the economy could negatively impact testing volumes, drug development services, cash collections and the availability of credit.</w:t>
      </w:r>
    </w:p>
    <w:p>
      <w:pPr>
        <w:spacing w:after="0" w:line="18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operations are dependent upon ongoing demand for diagnostic testing and drug development services by patients, physicians, hospitals, MCOs, biopharmaceutical companies and others. A significant downturn in the economy could negatively impact the demand for diagnostic testing and drug development services, as well as the ability of customers to pay for services rendered. In addition, uncertainty in the credit markets could reduce the availability of credit and impact the Company’s ability to meet its financing needs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fluctuations could have an adverse impact on the Company’s business.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has business and operations outside the U.S., and CDD derives a significant portion of its net revenues from international operations. Since the Company's consolidated financial statements are denominated in U.S. Dollars, fluctuations in exchange rates from period to period will have an impact on reported results. In addition, in certain circumstances, CDD may incur costs in one currency related to its services or products for which it is paid in a different currency. As a result, factors associated with international operations, including changes in foreign currency exchange rates, could significantly affect CDD's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financial condition and cash flows. Foreign currency exchange fluctuations could have an adverse impact on the Company’s business.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international operations could subject it to additional risks and expenses that could adversely impact the business or results of operations.</w:t>
      </w:r>
    </w:p>
    <w:p>
      <w:pPr>
        <w:spacing w:after="0" w:line="18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Company's international operations expose it to risks from failure to comply with foreign laws and regulations that differ from those under which the Company operates in the U.S. In addition, the Company may be adversely affected by other risks of expanded operations in foreign countries, including, but not limited to, compliance with the U.S. Foreign Corrupt Practices Act, the U.K. Bribery Act and other international anti-corruption laws;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tax laws and regulations or the interpretation of such may have a significant impact on the financial position, results of operations and cash flows of the Company.</w:t>
      </w:r>
    </w:p>
    <w:p>
      <w:pPr>
        <w:spacing w:after="0" w:line="1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 failure to identify and successfully close and integrate strategic acquisition targets could have a material adverse impact on the Company's business objectives and its net revenues and profitability.</w:t>
      </w:r>
    </w:p>
    <w:p>
      <w:pPr>
        <w:spacing w:after="0" w:line="18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2010, the Company has invested net cash of approximately $6.3 billion and equity of $1.8 billion in strategic business acquisitions ($2.7 billion over the same period excluding the Acquisition).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93" w:lineRule="exact"/>
        <w:rPr>
          <w:sz w:val="20"/>
          <w:szCs w:val="20"/>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clearance, including due to antitrust concerns;</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 or employees;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consolidating redundant facilities and infrastructure and in standardizing information and other systems;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regulatory problems;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quality of services that such companies have historically provided;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geographically separated facilities and workforces; and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day-to-day business of the Company.</w:t>
      </w:r>
    </w:p>
    <w:p>
      <w:pPr>
        <w:spacing w:after="0" w:line="11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net revenues and profitability. Even if the Company is able to successfully integrate the operations of businesses that it may acquire in the future, the Company may not be able to realize the benefits that it expects from such acquisitions.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level of indebtedness could adversely affect the Company’s liquidity, results of operations and business.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At December 31, 2016, indebtedness on the Company's outstanding senior notes totaled approximately $5,200.0 million in aggregate principal. The Company is also a party to credit agreements relating to a $1.0 billion revolving credit facility and a term loan with a principal balance of $565.0 million as of December 31, 2016. Under the term loan facility and the revolving credit</w:t>
      </w:r>
    </w:p>
    <w:p>
      <w:pPr>
        <w:sectPr>
          <w:pgSz w:w="11900" w:h="16838" w:orient="portrait"/>
          <w:cols w:equalWidth="0" w:num="1">
            <w:col w:w="11420"/>
          </w:cols>
          <w:pgMar w:left="240" w:top="12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facility, the Company is subject to negative covenants limiting subsidiary indebtedness and certain other covenants typical for investment-grade-rated borrowers, and the Company is required to maintain a leverage ratio that declines over time.</w:t>
      </w:r>
    </w:p>
    <w:p>
      <w:pPr>
        <w:spacing w:after="0" w:line="1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The Company’s level of indebtedness could adversely affect its business. In particular, it could increase the Company’s vulnerability to sustained, adverse macroeconomic weakness, limit its ability to obtain further financing, and limit its ability to pursue certain operational and strategic opportunities, including large acquisitions.</w:t>
      </w:r>
    </w:p>
    <w:p>
      <w:pPr>
        <w:spacing w:after="0" w:line="203"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successfully integrate the business of Covance or to realize the expected benefits of the Acquisition could have a material adverse impact on the Company’s business, net revenues and profitability and the market price of its common stock.</w:t>
      </w:r>
    </w:p>
    <w:p>
      <w:pPr>
        <w:spacing w:after="0" w:line="186"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If the Company fails to successfully complete the integration of Covance into its existing operations or is not able to achieve the anticipated benefits of the Acquisition and integration, its business and results of operations could be negatively affected. In addition, it is possible that the ongoing integration process could result in the loss of key employees; errors or delays in systems implementation; the disruption of the Company’s ongoing business; inconsistencies in standards, controls, procedures and policies; or disruptions in its relationships with suppliers and other parties with which it deals that could adversely affect the Company’s ability to maintain relationships with customers and employees or to achieve the anticipated benefits of the Acquisition. Integration efforts could also place a significant burden on the Company's management, employees and internal resources, which could otherwise have been devoted to other business opportunities and improvements.</w:t>
      </w:r>
    </w:p>
    <w:p>
      <w:pPr>
        <w:spacing w:after="0" w:line="21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ongoing success of the transaction will depend, in significant part, on the Company’s ability to realize the anticipated benefits from the Acquisition, including the opportunity for revenue growth in the development and commercialization of drugs and diagnostics, nutritional analysis and other areas, including a number of new business areas for the Company. Actual revenue growth may be lower than the Company expects and may take longer to achieve than anticipated, and expenses may be higher than the Company expects. The Company has made certain assumptions relating to the Acquisition and integration that may prove to be materially inaccurate, including:</w:t>
      </w:r>
    </w:p>
    <w:p>
      <w:pPr>
        <w:spacing w:after="0" w:line="89" w:lineRule="exact"/>
        <w:rPr>
          <w:sz w:val="20"/>
          <w:szCs w:val="20"/>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assessments of the asset quality and value of CDD and its assets;</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the business and CDD's future financial performance;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total costs of integrating a large number of processes, policies, procedures, operations, technologies and systems;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realize synergies and the timeline for doing so;</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maintain and deepen relationships with CDD's customers; and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and strategic risks of the Acquisition.</w:t>
      </w:r>
    </w:p>
    <w:p>
      <w:pPr>
        <w:spacing w:after="0" w:line="11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If one or more of these assumptions are incorrect, such efforts could have a material adverse effect on the Company’s business and operating results, and the value of its common stock may be adversely affected.</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although CDD is subject to many of the same risks and uncertainties that LCD faces in its business, the Acquisition also involves the Company entering new product and services areas, markets and industries, which presents risks resulting from the Company’s relative inexperience in these new areas. CDD’s business could react differently to economic and other external factors than LCD's. The Company faces the risk that it will not be successful with these new products and services or in these new markets.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Global economic conditions and government and regulatory changes, including, but not limited to, the United Kingdom’s announced intention to exit from the European Union, could adversely impact the Company’s business and results of operations.</w:t>
      </w:r>
    </w:p>
    <w:p>
      <w:pPr>
        <w:spacing w:after="0" w:line="6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could be adversely impacted due to the consequences of changes in the economy, governments or regulations across the globe. In June 2016, a majority of voters in the United Kingdom elected to withdraw from the European Union (often referred to as Brexit) in a national referendum. Although the referendum was advisory, the current United Kingdom government has indicated its intention to abide by the referendum and to initiate withdrawal proceedings in the near future. The terms of any withdrawal are subject to a negotiation period that could last at least two years after the government of the United Kingdom formally initiates a withdrawal process. This will be either accompanied or followed by negotiations between the European Union and the United Kingdom concerning the future relations between the parties. This could introduce uncertainty with respect to the laws and regulations that will apply in the event of a withdrawal. However, until the Brexit negotiation process is completed, it is difficult to anticipate how the clinical trial landscape in the United Kingdom might change in the next several years.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This type of development or other government or regulatory change could depress economic activity, which could adversely impact the Company’s business, financial condition and results of operations. This could include long-term volatility in the currency markets and long-term detrimental effects on the value of affected currencies.</w:t>
      </w:r>
    </w:p>
    <w:p>
      <w:pPr>
        <w:spacing w:after="0" w:line="7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Company's corporate headquarters are located in Burlington, North Carolina, and include facilities that are both owned and leased.</w:t>
      </w:r>
    </w:p>
    <w:p>
      <w:pPr>
        <w:spacing w:after="0" w:line="131"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LCD operates through a network of primary laboratories, branches, PSCs and STAT laboratories. The table below summarizes certain information as to LCD's principal operating and administrative facilities as of December 31, 2016.</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Birmingham, Alabama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Phoenix, Arizona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Prescott, Arizona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Calabasas, California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 Angeles, California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Monrovia, California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San Diego, California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San Francisco, California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Tustin, California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Englewood, Colorado</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Shelton, Connecticut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Hollywood, Florida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Tampa, Florida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Tucker, Georgia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Chicago, Illinois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Itasca, Illinois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Lenexa, Kansas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Louisville, Kentucky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Lafayette, Louisiana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Westborough, Massachusetts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Battle Creek, Michigan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Roseville, Minnesota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 Paul, Minnesota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Kansas City, Missouri</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Ewing, New Jersey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Raritan, New Jersey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Santa Fe, New Mexico</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New York, New York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Burlington, North Carolina (5)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Charlotte, North Carolina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Greensboro, North Carolina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McLeansville, North Carolina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Raleigh, North Carolina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Triangle Park, North Carolina (3)</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Dublin, Ohio</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Oklahoma City, Oklahoma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Brentwood, Tennessee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Knoxville, Tennessee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Austin, Texas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Dallas, Texas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Houston, Texas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San Antonio, Texas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Chesapeake, Virginia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Herndon, Virginia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Lorton, Virginia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Seattle, Washington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Charleston, West Virginia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Abingdon, United Kingdom</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CDD operates on a global scale. The table below summarizes certain information as to CDD's principal operating and administrative facilities as of December 31, 2016.</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Mechelen, Belgium</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Beijing, China (2)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Shanghai, China (3)</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Muenster, Germany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Harrogate, United Kingdom</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Leeds, United Kingdom</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Maidenhead, United Kingdom</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Indianapolis, Indiana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Alice, Texas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Chantilly, Virginia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Greenfield, Indiana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Gaithersburg, Maryland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Cranford, New Jersey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Princeton, New Jersey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 Trenton, New Jersey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Denver, Pennsylvania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Cumberland, Virginia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Geneva, Switzerland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Madison, Wisconsin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All of the Company’s primary laboratory and drug development facilities have been built or improved for the purpose of providing commercial laboratory testing or drug development services. The Company believes that these facilities are suitable and adequate and have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 (dollars in millions)</w:t>
      </w:r>
    </w:p>
    <w:p>
      <w:pPr>
        <w:spacing w:after="0" w:line="25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healthcare providers (e.g. physician assistants and nurse practitioners, generally referred to herein as physicians). The Company works cooperatively to respond to appropriate requests for information.</w:t>
      </w:r>
    </w:p>
    <w:p>
      <w:pPr>
        <w:spacing w:after="0" w:line="210" w:lineRule="exact"/>
        <w:rPr>
          <w:sz w:val="20"/>
          <w:szCs w:val="20"/>
          <w:color w:val="auto"/>
        </w:rPr>
      </w:pPr>
    </w:p>
    <w:p>
      <w:pPr>
        <w:jc w:val="both"/>
        <w:ind w:right="20" w:firstLine="27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is named from time to time in suits brought under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 Such claims are an inevitable part of doing business in the healthcare field today.</w:t>
      </w:r>
    </w:p>
    <w:p>
      <w:pPr>
        <w:spacing w:after="0" w:line="20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ectPr>
          <w:pgSz w:w="11900" w:h="16838" w:orient="portrait"/>
          <w:cols w:equalWidth="0" w:num="1">
            <w:col w:w="11420"/>
          </w:cols>
          <w:pgMar w:left="240" w:top="121"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15"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As previously reported, the Company reached a settlement in the previously disclosed lawsuit, </w:t>
      </w:r>
      <w:r>
        <w:rPr>
          <w:rFonts w:ascii="Times New Roman" w:cs="Times New Roman" w:eastAsia="Times New Roman" w:hAnsi="Times New Roman"/>
          <w:sz w:val="18"/>
          <w:szCs w:val="18"/>
          <w:i w:val="1"/>
          <w:iCs w:val="1"/>
          <w:color w:val="auto"/>
        </w:rPr>
        <w:t>California ex rel. Hunter Laboratories, LLC et al. v. 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Diagnostics Incorporated, et al. </w:t>
      </w:r>
      <w:r>
        <w:rPr>
          <w:rFonts w:ascii="Times New Roman" w:cs="Times New Roman" w:eastAsia="Times New Roman" w:hAnsi="Times New Roman"/>
          <w:sz w:val="18"/>
          <w:szCs w:val="18"/>
          <w:color w:val="auto"/>
        </w:rPr>
        <w:t>(Hunter Labs Settlement Agreement), to avoid the uncertainty and costs associated with prolonged litigation.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2011, the California legislature enacted Assembly Bill No. 97, which imposed a 10.0% Medi-Cal payment cut on most providers of healthcare services, including clinical laboratories. This 10% cut is currently being applied to the rates that would otherwise be applicable. In 2012, the California legislature enacted Assembly Bill No. 1494, which directed the Department of Healthcare Services (DHCS) to establish new reimbursement rates for Medi-Cal commercial laboratory services based on payments made to California clinical laboratories for similar services by other third-party payers, and provided that until the new rates are set through this process, Medi-Cal payments for commercial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Under the terms of the Hunter Labs Settlement Agreement, the enactment of this California legislation terminates the Company's reporting obligations (or obligation to provide a discount in lieu of reporting) under that agreement. In April 2015, CMS approved a 10.0% payment reduction under Assembly Bill No. 1494. The new rate methodology established new rates that were effective July 1, 2015, but these new rates were not entered into the state computer system until February 2016. Based on reported 2015 payment data, new rates were established to be effective July 1, 2016, but due to computer system delays, these rates have not been fully implemented yet and recoupments associated with these changes are anticipated, but have not begun. Taken together, these changes are not expected to have a material impact on the Company's consolidated revenues or results of operations.</w:t>
      </w:r>
    </w:p>
    <w:p>
      <w:pPr>
        <w:spacing w:after="0" w:line="221"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 xml:space="preserve">As previously reported, the Company responded to an October 2007 subpoena from the U.S. Department of Health &amp; Human Services Office of Inspector General's regional office in New York. On August 17, 2011, the United States District Court for the Southern District of New York unsealed a False Claims Act lawsuit, </w:t>
      </w:r>
      <w:r>
        <w:rPr>
          <w:rFonts w:ascii="Times New Roman" w:cs="Times New Roman" w:eastAsia="Times New Roman" w:hAnsi="Times New Roman"/>
          <w:sz w:val="18"/>
          <w:szCs w:val="18"/>
          <w:i w:val="1"/>
          <w:iCs w:val="1"/>
          <w:color w:val="auto"/>
        </w:rPr>
        <w:t>United States of America ex rel. NPT Associates v. Laboratory Corporation of America Holdings</w:t>
      </w:r>
      <w:r>
        <w:rPr>
          <w:rFonts w:ascii="Times New Roman" w:cs="Times New Roman" w:eastAsia="Times New Roman" w:hAnsi="Times New Roman"/>
          <w:sz w:val="18"/>
          <w:szCs w:val="18"/>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213"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8"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2013, the State of Florida through the Office of the Attorney General filed an Intervention Complaint in a False Claims Act lawsuit, </w:t>
      </w:r>
      <w:r>
        <w:rPr>
          <w:rFonts w:ascii="Times New Roman" w:cs="Times New Roman" w:eastAsia="Times New Roman" w:hAnsi="Times New Roman"/>
          <w:sz w:val="18"/>
          <w:szCs w:val="18"/>
          <w:i w:val="1"/>
          <w:iCs w:val="1"/>
          <w:color w:val="auto"/>
        </w:rPr>
        <w:t>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Florida ex rel. Hunter Laboratories, LLC and Chris Riedel v. Quest Diagnostics Incorporated, et al., </w:t>
      </w:r>
      <w:r>
        <w:rPr>
          <w:rFonts w:ascii="Times New Roman" w:cs="Times New Roman" w:eastAsia="Times New Roman" w:hAnsi="Times New Roman"/>
          <w:sz w:val="18"/>
          <w:szCs w:val="18"/>
          <w:color w:val="auto"/>
        </w:rPr>
        <w:t>in the Circuit Court for the Second Judicial Circuit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Leon County. The lawsuit,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In December 2016, the Court granted the Company's Motion for Partial Summary Judgment. The Company will vigorously defend the remaining claims in the lawsuit.</w:t>
      </w:r>
    </w:p>
    <w:p>
      <w:pPr>
        <w:spacing w:after="0" w:line="210"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 xml:space="preserve">On May 2, 2013, the Company was served with a False Claims Act lawsuit, </w:t>
      </w:r>
      <w:r>
        <w:rPr>
          <w:rFonts w:ascii="Times New Roman" w:cs="Times New Roman" w:eastAsia="Times New Roman" w:hAnsi="Times New Roman"/>
          <w:sz w:val="18"/>
          <w:szCs w:val="18"/>
          <w:i w:val="1"/>
          <w:iCs w:val="1"/>
          <w:color w:val="auto"/>
        </w:rPr>
        <w:t>State of Georgia ex rel. Hunter Laboratories, LLC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Chris Riedel v. 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Diagnostics Incorporated, et al.</w:t>
      </w:r>
      <w:r>
        <w:rPr>
          <w:rFonts w:ascii="Times New Roman" w:cs="Times New Roman" w:eastAsia="Times New Roman" w:hAnsi="Times New Roman"/>
          <w:sz w:val="18"/>
          <w:szCs w:val="18"/>
          <w:color w:val="auto"/>
        </w:rPr>
        <w:t>, filed in the State Court of Fulton County, Georgia. The lawsuit, filed by a competitor laboratory, alleges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w:t>
      </w:r>
      <w:r>
        <w:rPr>
          <w:rFonts w:ascii="Times New Roman" w:cs="Times New Roman" w:eastAsia="Times New Roman" w:hAnsi="Times New Roman"/>
          <w:sz w:val="18"/>
          <w:szCs w:val="18"/>
          <w:i w:val="1"/>
          <w:iCs w:val="1"/>
          <w:color w:val="auto"/>
        </w:rPr>
        <w:t>amicus curiae</w:t>
      </w:r>
      <w:r>
        <w:rPr>
          <w:rFonts w:ascii="Times New Roman" w:cs="Times New Roman" w:eastAsia="Times New Roman" w:hAnsi="Times New Roman"/>
          <w:sz w:val="18"/>
          <w:szCs w:val="18"/>
          <w:color w:val="auto"/>
        </w:rPr>
        <w:t>. The Company will vigorously defend the lawsuit.</w:t>
      </w:r>
    </w:p>
    <w:p>
      <w:pPr>
        <w:spacing w:after="0" w:line="216"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8"/>
          <w:szCs w:val="18"/>
          <w:color w:val="auto"/>
        </w:rPr>
        <w:t xml:space="preserve">On June 7, 2012, the Company was served with a putative class action lawsuit, </w:t>
      </w:r>
      <w:r>
        <w:rPr>
          <w:rFonts w:ascii="Times New Roman" w:cs="Times New Roman" w:eastAsia="Times New Roman" w:hAnsi="Times New Roman"/>
          <w:sz w:val="18"/>
          <w:szCs w:val="18"/>
          <w:i w:val="1"/>
          <w:iCs w:val="1"/>
          <w:color w:val="auto"/>
        </w:rPr>
        <w:t>Yvonne Jansky v. Laboratory Corporation of America, et al.</w:t>
      </w:r>
      <w:r>
        <w:rPr>
          <w:rFonts w:ascii="Times New Roman" w:cs="Times New Roman" w:eastAsia="Times New Roman" w:hAnsi="Times New Roman"/>
          <w:sz w:val="18"/>
          <w:szCs w:val="18"/>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appealed the denial of Class Certification, and the Court of Appeals affirmed the denial of the Motion for Class Certification on January 20, 2017. The Company will vigorously defend the lawsuit.</w:t>
      </w:r>
    </w:p>
    <w:p>
      <w:pPr>
        <w:spacing w:after="0" w:line="210"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 xml:space="preserve">On August 24, 2012, the Company was served with a putative class action lawsuit, </w:t>
      </w:r>
      <w:r>
        <w:rPr>
          <w:rFonts w:ascii="Times New Roman" w:cs="Times New Roman" w:eastAsia="Times New Roman" w:hAnsi="Times New Roman"/>
          <w:sz w:val="18"/>
          <w:szCs w:val="18"/>
          <w:i w:val="1"/>
          <w:iCs w:val="1"/>
          <w:color w:val="auto"/>
        </w:rPr>
        <w:t>Sandusky Wellness Center, LLC, et al. v. MEDTOX Scientific,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filed in the United States District Court for the District of Minnesota. The lawsuit alleges that on or about February 21, 2012, the defendants violated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United States Court of Appeals for the Eighth Circuit issued its decision and order reversing the District Court’s denial of class certification. The Eighth Circuit remanded the matter for further proceedings. On December 7, 2016, the District Court granted the Plaintiff's renewed Motion for Class Certification. The Company will vigorously defend the lawsuit.</w:t>
      </w:r>
    </w:p>
    <w:p>
      <w:pPr>
        <w:spacing w:after="0" w:line="216"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On December 28, 2016, the Company filed a Motion for Judgment on the Pleadings. The Company will vigorously defend the lawsuit.</w:t>
      </w:r>
    </w:p>
    <w:p>
      <w:pPr>
        <w:spacing w:after="0" w:line="20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20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On August 3, 2016, the Company was served with a putative class action lawsuit, </w:t>
      </w:r>
      <w:r>
        <w:rPr>
          <w:rFonts w:ascii="Times New Roman" w:cs="Times New Roman" w:eastAsia="Times New Roman" w:hAnsi="Times New Roman"/>
          <w:sz w:val="18"/>
          <w:szCs w:val="18"/>
          <w:i w:val="1"/>
          <w:iCs w:val="1"/>
          <w:color w:val="auto"/>
        </w:rPr>
        <w:t>Daniel L. Bloomquist v. Covance Inc., et al.</w:t>
      </w:r>
      <w:r>
        <w:rPr>
          <w:rFonts w:ascii="Times New Roman" w:cs="Times New Roman" w:eastAsia="Times New Roman" w:hAnsi="Times New Roman"/>
          <w:sz w:val="18"/>
          <w:szCs w:val="18"/>
          <w:color w:val="auto"/>
        </w:rPr>
        <w:t>, filed in the Superior Court of California, County of San Diego. The complaint alleges that Covance, Inc. violated the California Labor Code and California Business &amp; Professions Code by failing to provide overtime wages, failing to provide meal and rest periods, failing to pay for all hours worked, failing to pay for all wages owed upon termination, and failing to provide accurate itemized wage statements to Clinical Research Associates and Senior Clinical Research Associates employed by Covance, Inc. in California. The lawsuit seeks monetary damages, civil penalties, injunctive relief, and recovery of attorney's fees and costs. On October 13, 2016, the case was removed to the United States District Court for the Southern District of California. The Company will vigorously defend the lawsuit.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Prior to the Company’s acquisition of Sequenom, between August 15, 2016 and August 24, 2016, six putative class-action lawsuits were filed on behalf of purported Sequenom stockholders (captioned </w:t>
      </w:r>
      <w:r>
        <w:rPr>
          <w:rFonts w:ascii="Times New Roman" w:cs="Times New Roman" w:eastAsia="Times New Roman" w:hAnsi="Times New Roman"/>
          <w:sz w:val="18"/>
          <w:szCs w:val="18"/>
          <w:i w:val="1"/>
          <w:iCs w:val="1"/>
          <w:color w:val="auto"/>
        </w:rPr>
        <w:t>Malkoff v. Sequenom, Inc., et al.</w:t>
      </w:r>
      <w:r>
        <w:rPr>
          <w:rFonts w:ascii="Times New Roman" w:cs="Times New Roman" w:eastAsia="Times New Roman" w:hAnsi="Times New Roman"/>
          <w:sz w:val="18"/>
          <w:szCs w:val="18"/>
          <w:color w:val="auto"/>
        </w:rPr>
        <w:t xml:space="preserve">, No. 16-cv-02054-JAH-BLM, </w:t>
      </w:r>
      <w:r>
        <w:rPr>
          <w:rFonts w:ascii="Times New Roman" w:cs="Times New Roman" w:eastAsia="Times New Roman" w:hAnsi="Times New Roman"/>
          <w:sz w:val="18"/>
          <w:szCs w:val="18"/>
          <w:i w:val="1"/>
          <w:iCs w:val="1"/>
          <w:color w:val="auto"/>
        </w:rPr>
        <w:t>Gupta v. Sequenom, Inc., et al.</w:t>
      </w:r>
      <w:r>
        <w:rPr>
          <w:rFonts w:ascii="Times New Roman" w:cs="Times New Roman" w:eastAsia="Times New Roman" w:hAnsi="Times New Roman"/>
          <w:sz w:val="18"/>
          <w:szCs w:val="18"/>
          <w:color w:val="auto"/>
        </w:rPr>
        <w:t xml:space="preserve">, No. 16-cv-02084-JAH-KSC, </w:t>
      </w:r>
      <w:r>
        <w:rPr>
          <w:rFonts w:ascii="Times New Roman" w:cs="Times New Roman" w:eastAsia="Times New Roman" w:hAnsi="Times New Roman"/>
          <w:sz w:val="18"/>
          <w:szCs w:val="18"/>
          <w:i w:val="1"/>
          <w:iCs w:val="1"/>
          <w:color w:val="auto"/>
        </w:rPr>
        <w:t>Fruchter v. Sequenom, Inc., et al.</w:t>
      </w:r>
      <w:r>
        <w:rPr>
          <w:rFonts w:ascii="Times New Roman" w:cs="Times New Roman" w:eastAsia="Times New Roman" w:hAnsi="Times New Roman"/>
          <w:sz w:val="18"/>
          <w:szCs w:val="18"/>
          <w:color w:val="auto"/>
        </w:rPr>
        <w:t xml:space="preserve">, No. 16-cv-02101-WQH-KSC, </w:t>
      </w:r>
      <w:r>
        <w:rPr>
          <w:rFonts w:ascii="Times New Roman" w:cs="Times New Roman" w:eastAsia="Times New Roman" w:hAnsi="Times New Roman"/>
          <w:sz w:val="18"/>
          <w:szCs w:val="18"/>
          <w:i w:val="1"/>
          <w:iCs w:val="1"/>
          <w:color w:val="auto"/>
        </w:rPr>
        <w:t>Asiatrade Development Ltd. v. Sequenom, Inc., et al.</w:t>
      </w:r>
      <w:r>
        <w:rPr>
          <w:rFonts w:ascii="Times New Roman" w:cs="Times New Roman" w:eastAsia="Times New Roman" w:hAnsi="Times New Roman"/>
          <w:sz w:val="18"/>
          <w:szCs w:val="18"/>
          <w:color w:val="auto"/>
        </w:rPr>
        <w:t xml:space="preserve">, No. 16-cv-02113-AJB-JMA, </w:t>
      </w:r>
      <w:r>
        <w:rPr>
          <w:rFonts w:ascii="Times New Roman" w:cs="Times New Roman" w:eastAsia="Times New Roman" w:hAnsi="Times New Roman"/>
          <w:sz w:val="18"/>
          <w:szCs w:val="18"/>
          <w:i w:val="1"/>
          <w:iCs w:val="1"/>
          <w:color w:val="auto"/>
        </w:rPr>
        <w:t>Nunes v. Sequenom, Inc., et al.</w:t>
      </w:r>
      <w:r>
        <w:rPr>
          <w:rFonts w:ascii="Times New Roman" w:cs="Times New Roman" w:eastAsia="Times New Roman" w:hAnsi="Times New Roman"/>
          <w:sz w:val="18"/>
          <w:szCs w:val="18"/>
          <w:color w:val="auto"/>
        </w:rPr>
        <w:t xml:space="preserve">, No. 16-cv-02128-AJB-MDD, and </w:t>
      </w:r>
      <w:r>
        <w:rPr>
          <w:rFonts w:ascii="Times New Roman" w:cs="Times New Roman" w:eastAsia="Times New Roman" w:hAnsi="Times New Roman"/>
          <w:sz w:val="18"/>
          <w:szCs w:val="18"/>
          <w:i w:val="1"/>
          <w:iCs w:val="1"/>
          <w:color w:val="auto"/>
        </w:rPr>
        <w:t>Cusumano v. Sequenom, Inc., et al.</w:t>
      </w:r>
      <w:r>
        <w:rPr>
          <w:rFonts w:ascii="Times New Roman" w:cs="Times New Roman" w:eastAsia="Times New Roman" w:hAnsi="Times New Roman"/>
          <w:sz w:val="18"/>
          <w:szCs w:val="18"/>
          <w:color w:val="auto"/>
        </w:rPr>
        <w:t xml:space="preserve">, No. 16-cv-02134-LAB-JMA) in the United States District Court for the Southern District of California challenging the acquisition transaction. The complaints asserted claims against Sequenom and members of its Board of Directors (the Individual Defendants). The </w:t>
      </w:r>
      <w:r>
        <w:rPr>
          <w:rFonts w:ascii="Times New Roman" w:cs="Times New Roman" w:eastAsia="Times New Roman" w:hAnsi="Times New Roman"/>
          <w:sz w:val="18"/>
          <w:szCs w:val="18"/>
          <w:i w:val="1"/>
          <w:iCs w:val="1"/>
          <w:color w:val="auto"/>
        </w:rPr>
        <w:t>Nunes</w:t>
      </w:r>
      <w:r>
        <w:rPr>
          <w:rFonts w:ascii="Times New Roman" w:cs="Times New Roman" w:eastAsia="Times New Roman" w:hAnsi="Times New Roman"/>
          <w:sz w:val="18"/>
          <w:szCs w:val="18"/>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Times New Roman" w:cs="Times New Roman" w:eastAsia="Times New Roman" w:hAnsi="Times New Roman"/>
          <w:sz w:val="18"/>
          <w:szCs w:val="18"/>
          <w:i w:val="1"/>
          <w:iCs w:val="1"/>
          <w:color w:val="auto"/>
        </w:rPr>
        <w:t>Malkoff</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Asiatrade</w:t>
      </w:r>
      <w:r>
        <w:rPr>
          <w:rFonts w:ascii="Times New Roman" w:cs="Times New Roman" w:eastAsia="Times New Roman" w:hAnsi="Times New Roman"/>
          <w:sz w:val="18"/>
          <w:szCs w:val="18"/>
          <w:color w:val="auto"/>
        </w:rPr>
        <w:t xml:space="preserve"> action, and the </w:t>
      </w:r>
      <w:r>
        <w:rPr>
          <w:rFonts w:ascii="Times New Roman" w:cs="Times New Roman" w:eastAsia="Times New Roman" w:hAnsi="Times New Roman"/>
          <w:sz w:val="18"/>
          <w:szCs w:val="18"/>
          <w:i w:val="1"/>
          <w:iCs w:val="1"/>
          <w:color w:val="auto"/>
        </w:rPr>
        <w:t xml:space="preserve">Cusumano </w:t>
      </w:r>
      <w:r>
        <w:rPr>
          <w:rFonts w:ascii="Times New Roman" w:cs="Times New Roman" w:eastAsia="Times New Roman" w:hAnsi="Times New Roman"/>
          <w:sz w:val="18"/>
          <w:szCs w:val="18"/>
          <w:color w:val="auto"/>
        </w:rPr>
        <w:t>action alleged that the Individual Defendants breached their fiduciary duties to Sequenom shareholders. The actions sought,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injunctive relief enjoining the merger. On August 30, 2016, the parties entered into a Memorandum of Understanding (MOU) in each of the above-referenced actions. In connection with the settlement, Sequenom agreed to make certain additional disclosures to its stockholders. On September 6, 2016, the Court entered an order consolidating for all pre-trial purposes the six individual actions described above under the caption </w:t>
      </w:r>
      <w:r>
        <w:rPr>
          <w:rFonts w:ascii="Times New Roman" w:cs="Times New Roman" w:eastAsia="Times New Roman" w:hAnsi="Times New Roman"/>
          <w:sz w:val="18"/>
          <w:szCs w:val="18"/>
          <w:i w:val="1"/>
          <w:iCs w:val="1"/>
          <w:color w:val="auto"/>
        </w:rPr>
        <w:t>In re Sequenom, Inc. Shareholder Litig.</w:t>
      </w:r>
      <w:r>
        <w:rPr>
          <w:rFonts w:ascii="Times New Roman" w:cs="Times New Roman" w:eastAsia="Times New Roman" w:hAnsi="Times New Roman"/>
          <w:sz w:val="18"/>
          <w:szCs w:val="18"/>
          <w:color w:val="auto"/>
        </w:rPr>
        <w:t xml:space="preserve">, Lead Case No. 16-cv-02054-JAH-BLM, and designating the complaint from the </w:t>
      </w:r>
      <w:r>
        <w:rPr>
          <w:rFonts w:ascii="Times New Roman" w:cs="Times New Roman" w:eastAsia="Times New Roman" w:hAnsi="Times New Roman"/>
          <w:sz w:val="18"/>
          <w:szCs w:val="18"/>
          <w:i w:val="1"/>
          <w:iCs w:val="1"/>
          <w:color w:val="auto"/>
        </w:rPr>
        <w:t>Malkoff</w:t>
      </w:r>
      <w:r>
        <w:rPr>
          <w:rFonts w:ascii="Times New Roman" w:cs="Times New Roman" w:eastAsia="Times New Roman" w:hAnsi="Times New Roman"/>
          <w:sz w:val="18"/>
          <w:szCs w:val="18"/>
          <w:color w:val="auto"/>
        </w:rPr>
        <w:t xml:space="preserve"> action as the operative complaint for the consolidated action. On November 11, 2016, two competing motions were filed by two separate stockholders (James Reilly and Shikha Gupta) seeking appointment as lead plaintiff under the terms of the Private Securities Litigation Reform Act of 1995. On January 12, 2017 the Court entered an order declaring Mr. Reilly the presumptive lead plaintiff, but denying Mr. Reilly's request for immediate approval as lead plaintiff. The Company is awaiting the Court’s appointment of a permanent lead plaintiff. The parties agree that the MOU has been terminated and are awaiting further direction from the Court as to how the litigation will proceed.</w:t>
      </w:r>
    </w:p>
    <w:p>
      <w:pPr>
        <w:spacing w:after="0" w:line="22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At December 31, 2016, the Company had provided letters of credit aggregating approximately $54.5, primarily in connection with certain insurance programs. The Company’s availability under its Revolving Credit Facility is reduced by the amount of these letters of credit.</w:t>
      </w:r>
    </w:p>
    <w:p>
      <w:pPr>
        <w:spacing w:after="0" w:line="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300" w:right="2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35" w:lineRule="exact"/>
        <w:rPr>
          <w:sz w:val="20"/>
          <w:szCs w:val="20"/>
          <w:color w:val="auto"/>
        </w:rPr>
      </w:pPr>
    </w:p>
    <w:p>
      <w:pPr>
        <w:jc w:val="both"/>
        <w:ind w:firstLine="270"/>
        <w:spacing w:after="0" w:line="275" w:lineRule="auto"/>
        <w:rPr>
          <w:sz w:val="20"/>
          <w:szCs w:val="20"/>
          <w:color w:val="auto"/>
        </w:rPr>
      </w:pPr>
      <w:r>
        <w:rPr>
          <w:rFonts w:ascii="Times New Roman" w:cs="Times New Roman" w:eastAsia="Times New Roman" w:hAnsi="Times New Roman"/>
          <w:sz w:val="18"/>
          <w:szCs w:val="18"/>
          <w:color w:val="auto"/>
        </w:rPr>
        <w:t>The Company's common stock, par value $0.10 per share (Common Stock), trades on the New York Stock Exchange (NYSE) under the symbol “LH.” The following table sets forth for the calendar periods indicated the high and low sales prices for the Common Stock reported on the NYSE Composite Tape.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w:t>
            </w: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Low</w:t>
            </w:r>
          </w:p>
        </w:tc>
      </w:tr>
      <w:tr>
        <w:trPr>
          <w:trHeight w:val="34"/>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131.19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108.73</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116.00</w:t>
            </w:r>
          </w:p>
        </w:tc>
      </w:tr>
      <w:tr>
        <w:trPr>
          <w:trHeight w:val="243"/>
        </w:trPr>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105.77</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107.30</w:t>
            </w:r>
          </w:p>
        </w:tc>
      </w:tr>
      <w:tr>
        <w:trPr>
          <w:trHeight w:val="243"/>
        </w:trPr>
        <w:tc>
          <w:tcPr>
            <w:tcW w:w="8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97.79</w:t>
            </w:r>
          </w:p>
        </w:tc>
      </w:tr>
      <w:tr>
        <w:trPr>
          <w:trHeight w:val="243"/>
        </w:trPr>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131.99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115.98</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129.68</w:t>
            </w:r>
          </w:p>
        </w:tc>
      </w:tr>
      <w:tr>
        <w:trPr>
          <w:trHeight w:val="243"/>
        </w:trPr>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119.51</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February 22, 2017, there were approximately 2,400 holders of record of the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35"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has not historically paid dividends on its Common Stock and does not presently anticipate paying any dividends on its Common Stock in the foreseeable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Performance</w:t>
      </w:r>
    </w:p>
    <w:p>
      <w:pPr>
        <w:spacing w:after="0" w:line="13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Company’s common stock is traded on the NYSE. The graph below shows the cumulative total return assuming an investment of $100 on December 31, 2011 in each of the Company’s common stock, the Standard &amp; Poor’s (S&amp;P) Composite-500 Stock Index and the S&amp;P 500 healthcare Index (Peer Group) and assuming that all dividends were reinvested.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12/2012</w:t>
            </w:r>
          </w:p>
        </w:tc>
        <w:tc>
          <w:tcPr>
            <w:tcW w:w="3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12/2013</w:t>
            </w:r>
          </w:p>
        </w:tc>
        <w:tc>
          <w:tcPr>
            <w:tcW w:w="3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12/2014</w:t>
            </w:r>
          </w:p>
        </w:tc>
        <w:tc>
          <w:tcPr>
            <w:tcW w:w="3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12/2015</w:t>
            </w:r>
          </w:p>
        </w:tc>
        <w:tc>
          <w:tcPr>
            <w:tcW w:w="2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12/2016</w:t>
            </w:r>
          </w:p>
        </w:tc>
      </w:tr>
      <w:tr>
        <w:trPr>
          <w:trHeight w:val="34"/>
        </w:trPr>
        <w:tc>
          <w:tcPr>
            <w:tcW w:w="40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Laboratory Corporation of America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125.51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149.33</w:t>
            </w:r>
          </w:p>
        </w:tc>
      </w:tr>
      <w:tr>
        <w:trPr>
          <w:trHeight w:val="243"/>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174.60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198.18</w:t>
            </w:r>
          </w:p>
        </w:tc>
      </w:tr>
      <w:tr>
        <w:trPr>
          <w:trHeight w:val="27"/>
        </w:trPr>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Index</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117.89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166.76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209.02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217.41</w:t>
            </w:r>
          </w:p>
        </w:tc>
      </w:tr>
      <w:tr>
        <w:trPr>
          <w:trHeight w:val="27"/>
        </w:trPr>
        <w:tc>
          <w:tcPr>
            <w:tcW w:w="7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34290</wp:posOffset>
            </wp:positionV>
            <wp:extent cx="5257165" cy="3190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purchases of shares of the Company’s Common Stock made during the quarter ended December 31, 2016, by or on behalf of the Company (dollar amounts in millions):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Index</w:t>
              </w:r>
            </w:hyperlink>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839"/>
        </w:trPr>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Maximum Dollar Value</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Repurchased as</w:t>
            </w:r>
          </w:p>
        </w:tc>
        <w:tc>
          <w:tcPr>
            <w:tcW w:w="1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of Shares that May Yet</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 of Publicly</w:t>
            </w:r>
          </w:p>
        </w:tc>
        <w:tc>
          <w:tcPr>
            <w:tcW w:w="1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Be Repurchased Under</w:t>
            </w:r>
          </w:p>
        </w:tc>
      </w:tr>
      <w:tr>
        <w:trPr>
          <w:trHeight w:val="234"/>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Repurchased</w:t>
            </w:r>
          </w:p>
        </w:tc>
        <w:tc>
          <w:tcPr>
            <w:tcW w:w="400" w:type="dxa"/>
            <w:vAlign w:val="bottom"/>
          </w:tcPr>
          <w:p>
            <w:pPr>
              <w:spacing w:after="0"/>
              <w:rPr>
                <w:sz w:val="20"/>
                <w:szCs w:val="20"/>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Announced Program</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the Program</w:t>
            </w:r>
          </w:p>
        </w:tc>
      </w:tr>
      <w:tr>
        <w:trPr>
          <w:trHeight w:val="34"/>
        </w:trPr>
        <w:tc>
          <w:tcPr>
            <w:tcW w:w="16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789.5</w:t>
            </w:r>
          </w:p>
        </w:tc>
      </w:tr>
      <w:tr>
        <w:trPr>
          <w:trHeight w:val="243"/>
        </w:trPr>
        <w:tc>
          <w:tcPr>
            <w:tcW w:w="16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789.5</w:t>
            </w:r>
          </w:p>
        </w:tc>
      </w:tr>
      <w:tr>
        <w:trPr>
          <w:trHeight w:val="27"/>
        </w:trPr>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160" w:type="dxa"/>
            <w:vAlign w:val="bottom"/>
          </w:tcPr>
          <w:p>
            <w:pPr>
              <w:spacing w:after="0"/>
              <w:rPr>
                <w:sz w:val="24"/>
                <w:szCs w:val="24"/>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128.31</w:t>
            </w:r>
          </w:p>
        </w:tc>
        <w:tc>
          <w:tcPr>
            <w:tcW w:w="12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745.5</w:t>
            </w:r>
          </w:p>
        </w:tc>
      </w:tr>
      <w:tr>
        <w:trPr>
          <w:trHeight w:val="243"/>
        </w:trPr>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128.31</w:t>
            </w:r>
          </w:p>
        </w:tc>
        <w:tc>
          <w:tcPr>
            <w:tcW w:w="12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Board of Directors has authorized the repurchase of specified amounts of the Company's common stock since 2007, including the Board of Directors' authorization on February 10, 2012 to purchase up to $500.0 million of additional shares of the Company's common stock. The Company also initiated purchases of $6.0 million which settled directly after December 31, 2016. At the end of 2016, including unsettled purchase commitments, $739.5 million of repurchase authorization remained under the Company's share repurchase program. The repurchase authorization has no expiration date.</w:t>
      </w:r>
    </w:p>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35"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8"/>
          <w:szCs w:val="18"/>
          <w:color w:val="auto"/>
        </w:rPr>
        <w:t>The selected financial data presented below under the captions “Statement of Operations Data” and “Balance Sheet Data” as of and for the five-year period ended December 31, 2016 are derived from consolidated financial statements of the Company, which have been audited by an independent registered public accounting firm. This data should be read in conjunction with the accompanying notes, the Company's consolidated financial statements and the related notes thereto, and “Management's Discussion and Analysis of Financial Condition and Results of Operations,” all included elsewhere in this annual report.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w:t>
            </w:r>
          </w:p>
        </w:tc>
        <w:tc>
          <w:tcPr>
            <w:tcW w:w="3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w:t>
            </w:r>
          </w:p>
        </w:tc>
        <w:tc>
          <w:tcPr>
            <w:tcW w:w="380" w:type="dxa"/>
            <w:vAlign w:val="bottom"/>
          </w:tcPr>
          <w:p>
            <w:pPr>
              <w:spacing w:after="0"/>
              <w:rPr>
                <w:sz w:val="19"/>
                <w:szCs w:val="19"/>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460" w:type="dxa"/>
            <w:vAlign w:val="bottom"/>
          </w:tcPr>
          <w:p>
            <w:pPr>
              <w:spacing w:after="0"/>
              <w:rPr>
                <w:sz w:val="19"/>
                <w:szCs w:val="19"/>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w:t>
            </w:r>
          </w:p>
        </w:tc>
        <w:tc>
          <w:tcPr>
            <w:tcW w:w="3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38"/>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4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34"/>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amounts)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9,437.2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8,505.7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6,011.6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5,808.3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5,671.4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3,180.5</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2,903.3</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2,203.1</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2,223.2</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2,249.7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996.8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Laboratory</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 of America Holdings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732.1</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common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716.4</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404.0</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 net (h)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9,824.9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9,526.6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4,575.2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4,594.8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4,569.4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(f)</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14,247.0</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14,104.7</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7,262.8</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6,939.8</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6,774.4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obligations (f) (g)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5,849.5</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6,364.2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2,990.8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2,974.3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5,505.8</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4,945.1</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2,820.5</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2,491.3</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2,717.4</w:t>
            </w:r>
          </w:p>
        </w:tc>
      </w:tr>
    </w:tbl>
    <w:p>
      <w:pPr>
        <w:spacing w:after="0" w:line="225" w:lineRule="exact"/>
        <w:rPr>
          <w:sz w:val="20"/>
          <w:szCs w:val="20"/>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2016, the Company recorded net restructuring charges of $58.4. The charges were comprised of $30.9 in severance and other personnel costs and $33.8 in facility-related costs primarily associated with facility closures and general integration initiatives. These charges were offset by the reversal of previously established reserves of $2.8 in unused severance and $3.5 in unused facility-related costs.</w:t>
      </w:r>
    </w:p>
    <w:p>
      <w:pPr>
        <w:spacing w:after="0" w:line="8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2015, the Company recorded net restructuring charges of $113.9. The charges were comprised of $59.2 in severance and other personnel costs and $55.8 in facility-related costs primarily associated with facility closures and general integration initiatives. These charges were offset by the reversal of previously established reserves of $1.1 in unused facility-related costs.</w:t>
      </w:r>
    </w:p>
    <w:p>
      <w:pPr>
        <w:sectPr>
          <w:pgSz w:w="11900" w:h="16838" w:orient="portrait"/>
          <w:cols w:equalWidth="0" w:num="1">
            <w:col w:w="11420"/>
          </w:cols>
          <w:pgMar w:left="240" w:top="108"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08"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2014, the Company recorded net restructuring charges of $17.8. The charges were comprised of $10.5 in severance and other personnel costs and $8.4 in facility-related costs primarily associated with facility closures and general integration initiatives. These charges were offset by the reversal of previously established reserves of $0.4 in unused severance and $0.7 in unused facility-related costs.</w:t>
      </w:r>
    </w:p>
    <w:p>
      <w:pPr>
        <w:spacing w:after="0" w:line="8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2013, the Company recorded net restructuring charges of $21.8. The charges were comprised of $15.4 in severance and other personnel costs and $9.5 in facility-related costs primarily associated with facility closures and general integration initiatives. These charges were offset by the reversal of previously established reserves of $0.7 in unused severance and $2.4 in unused facility-related costs.</w:t>
      </w:r>
    </w:p>
    <w:p>
      <w:pPr>
        <w:spacing w:after="0" w:line="8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2012, the Company recorded net restructuring charges of $25.3. The charges were comprised of $16.2 in severance and other personnel costs and $19.6 in facility-related costs primarily associated with the ongoing integration activities of Cellmark Forensics, Inc. (formerly Orchid Cellmark, Inc.) and the Integrated Genetics business (formerly Genzyme Genetics) and costs associated with the termination of an executive vice president. These charges were offset by the reversal of previously established reserves of $6.3 in unused severance and $4.2 in unused facility-related costs. As part of the Clearstone integration, the Company also recorded a $6.9 loss on the disposal of one of its European subsidiaries in Other, net under Other income (expenses) during 2012. In addition, the Company recorded $6.2 in accelerated amortization relating to the termination of a licensing agreement.</w:t>
      </w:r>
    </w:p>
    <w:p>
      <w:pPr>
        <w:spacing w:after="0" w:line="95" w:lineRule="exact"/>
        <w:rPr>
          <w:sz w:val="20"/>
          <w:szCs w:val="20"/>
          <w:color w:val="auto"/>
        </w:rPr>
      </w:pPr>
    </w:p>
    <w:p>
      <w:pPr>
        <w:jc w:val="both"/>
        <w:ind w:left="840" w:hanging="836"/>
        <w:spacing w:after="0" w:line="261" w:lineRule="auto"/>
        <w:rPr>
          <w:sz w:val="20"/>
          <w:szCs w:val="20"/>
          <w:color w:val="auto"/>
        </w:rPr>
      </w:pPr>
      <w:r>
        <w:rPr>
          <w:rFonts w:ascii="Times New Roman" w:cs="Times New Roman" w:eastAsia="Times New Roman" w:hAnsi="Times New Roman"/>
          <w:sz w:val="18"/>
          <w:szCs w:val="18"/>
          <w:color w:val="auto"/>
        </w:rPr>
        <w:t>(f)During the first quarter of 2016, the Company adopted Accounting Standards Update (ASU) 2015-03, Interest-Imputation of Interest: Simplifying the Presentation of Debt Issuance Costs. In accordance with this guidance, unamortized debt issuance costs of $52.8, $39.0, $26.1 and $20.6 associated with the senior notes and loan obligations have been reclassified from total assets to long-term obligations for fiscal 2015, 2014, 2013, 2012, respectively, in the table above.</w:t>
      </w:r>
    </w:p>
    <w:p>
      <w:pPr>
        <w:spacing w:after="0" w:line="86" w:lineRule="exact"/>
        <w:rPr>
          <w:sz w:val="20"/>
          <w:szCs w:val="20"/>
          <w:color w:val="auto"/>
        </w:rPr>
      </w:pPr>
    </w:p>
    <w:p>
      <w:pPr>
        <w:jc w:val="both"/>
        <w:ind w:left="660" w:hanging="652"/>
        <w:spacing w:after="0" w:line="25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obligations primarily include the Company’s zero-coupon convertible subordinated notes, 5.50% Senior Notes due 2013, 5.625% Senior Notes due 2015, 3.125% Senior Notes due 2016, 2.20% Senior Notes due 2017, 2.50% Senior Notes due 2018, 4.625% Senior Notes due 2020, 2.625% Senior Notes due 2020, 3.75% Senior Notes due 2022, 3.20% Senior Notes due 2022, 4.00% Senior Notes due 2023, 3.60% Senior Notes due 2025, 4.70% Senior Notes due 2045, term loan, revolving credit facility and other long-term obligations. The accreted balance of the zero-coupon convertible subordinated notes was $42.4, $94.5, $93.9, $110.8, and $130.0 at December 31, 2016, 2015, 2014, 2013, and 2012, respectively. The balance of the 5.50% Senior Notes, including principal and the unamortized portion of a deferred gain on an interest rate swap agreement, was $0.0 at December 31, 2016, 2015, 2014, 2013, and 2012 respectively. The principal balance of the 5.625% Senior Notes was $0.0 at December 31, 2016 and 2015 and $250.0 at December 31, 2014, 2013, and 2012. The principal balance of the 3.125% Senior Notes was $0.0 at December 31, 2016 and $325.0 at December 31, 2015, 2014, 2013, and 2012. The principal balance of the 4.625% Senior Notes was $600.0 at December 31, 2016, 2015, 2014, 2013, and 2012. The aggregate fair value of the fixed-to-variable interest rate swap on the 4.625% Senior Notes was $14.6 at December 31, 2016, $21.6 at December 31, 2015, $18.5 at December 31, 2014, and $0.0 for all other years presented. The principal balance of the 2.625% Senior Notes was $500.0 at December 31, 2016, and December 31, 2015, and was $0.0 for the years 2014, 2013, and 2012. The principal balances of the 2.20% Senior Notes and 3.75% Senior Notes were $500.0 each at December 31, 2016, 2015, 2014, 2013 and 2012. The principal balance for the 3.20% Senior Notes was $500.0 at December 31, 2016 and December 31, 2015 and was $0.0 for the years 2014, 2013, and 2012. The principal balances of the 2.50% Senior and 4.00% Senior Notes Due 2023 were $400.0 and $300.0, respectively, at December 31, 2016, 2015, 2014, and 2013 and $0.0 at December 31, 2012. The principal balances of the 3.60% Senior Notes and 4.70% Senior Notes were $1,000.0 and $900.0, respectively, at December 31, 2016 and 2015 and were each $0.0 for the years 2014, 2013 and 2012.The outstanding balance on the term loan was $565.0 at December 31, 2016, $715.0 at December 31, 2015, and $0.0 for all other years presented. The outstanding balance on the revolving credit facility was $0.0 at December 31, 2016, 2015, 2014, 2013, and 2012. The remainder of other long-term obligations consisted primarily of capital leases and mortgages payable with balances of $71.8, $60.9, $42.4, $14.6, and $0.0 at December 31, 2016, 2015, 2014, 2013, and 2012, respectively. Long-term obligations exclude amounts due to affiliates.</w:t>
      </w:r>
    </w:p>
    <w:p>
      <w:pPr>
        <w:spacing w:after="0" w:line="9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2016, the Company revised the final purchase price allocation for Covance Inc. As a result, an out of period adjustment of $25.6 was recorded to reduce goodwill and increase a deferred tax asset as of December 31, 2015. The Company concluded that the impact of this adjustment was not material to the current or prior periods.</w:t>
      </w:r>
    </w:p>
    <w:p>
      <w:pPr>
        <w:spacing w:after="0" w:line="8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changed its financial statement classification for certain gross receipts taxes in 2016, removing these taxes from its provision for income taxes and moving this expense into selling, general and administrative expenses. Certain gross receipts taxes of $6.1, $6.1, $7.6 and $7.5 were reclassified in 2015, 2014, 2013 and 2012,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jc w:val="both"/>
        <w:ind w:left="1300" w:right="2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(in millions)</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revenues increased 11.0% in comparison to 2015 primarily due to the inclusion of Covance's financial results for the entire year as well as solid organic growth and acquisitions, partially offset by the negative impact of foreign currency translation.</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completed several acquisitions in the fourth quarter of 2016. The Company expects these acquisitions along with the acquisitions that were announced in 2017, prior to the filing of this Form 10-K, to increase net revenues by less than 2%, with a comparable increase in operating income.</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remains on pace to achieve annual cost synergies in excess of $100.0 by December 31, 2017. The Company also resumed its share repurchase program in the fourth quarter of 2016. The Company is committed to maintaining its investment grade credit rating and plans to use its operating cash flows to meet its annual capital expenditure requirements and to continue building long-term shareholder value through strategic acquisitions, debt reduction and the return of capital to shareholders.</w:t>
      </w:r>
    </w:p>
    <w:p>
      <w:pPr>
        <w:spacing w:after="0" w:line="8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notes that changes to, or repeal of, the Affordable Care Act may continue to affect coverage, reimbursement and utilization of laboratory services, as well as administrative requirements, in ways that are currently unpredictable. Further, structural reforms of Medicare that could occur under the 115th Congress and the new administration, such as imposition of uniform co-insurance and combination of the Medicare Part A and Part B deductibles, could adversely affect laboratory reimbursement under Medicare.</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seen increases in the amount of its patient accounts receivable. A significant portion of the Company’s bad debt expense is related to LabCorp Diagnostics segment accounts receivable from patients. The Company believes its current allowance for doubtful accounts is sufficient to properly record its accounts receivable at their estimated net realizable value. Should the shift towards increased patient responsibility continue, the Company may need to increase its allowance for doubtful accounts and bad debt expense in future periods.</w:t>
      </w:r>
    </w:p>
    <w:p>
      <w:pPr>
        <w:spacing w:after="0" w:line="207"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Prior to the first quarter of 2015, the chief operating decision maker (CODM) managed the operating results of the Company as two segments: commercial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 Company's consolidated financial statements has been conformed to present segments on this revised basis for all prior periods. Under the new organizational structure, the CODM manages the Company under two reportable segments: LabCorp Diagnostics (LCD) and Covance Drug Development (CDD). LCD includes the Company's legacy LabCorp business, and the Company's nutritional chemistry and food safety business, which was previously part of Covance, but excludes LabCorp’s legacy clinical trials testing business, which is now part of CDD. CDD includes the Covance legacy business, and LabCorp’s legacy clinical trials testing business, but excludes the Company's nutritional chemistry and food safety business, which is now part of LCD.</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Seasonality and External Factors</w:t>
      </w:r>
    </w:p>
    <w:p>
      <w:pPr>
        <w:spacing w:after="0" w:line="25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experiences seasonality in both segments of its business. For example, testing volume generally declines during the year-end holiday period and other major holidays and can also decline due to inclement weather, reducing net revenues, operating margins and cash flows. Operations are also impacted by changes in the global economy, exchange rate fluctuations, political and regulatory changes, the progress of ongoing studies and the startup of new studies, as well as the level of expenditures made by the biopharmaceutical industry in R&amp;D. The results of both segments are impacted by exchange rate fluctuations. Given the seasonality of the business, comparison of the results for successive quarters may not accurately reflect trends or results for the full year.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2016, 2015, and 2014</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99"/>
        </w:trPr>
        <w:tc>
          <w:tcPr>
            <w:tcW w:w="10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Pr>
          <w:p>
            <w:pPr>
              <w:spacing w:after="0"/>
              <w:rPr>
                <w:sz w:val="24"/>
                <w:szCs w:val="24"/>
                <w:color w:val="auto"/>
              </w:rPr>
            </w:pPr>
          </w:p>
        </w:tc>
      </w:tr>
      <w:tr>
        <w:trPr>
          <w:trHeight w:val="34"/>
        </w:trPr>
        <w:tc>
          <w:tcPr>
            <w:tcW w:w="1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0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10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LCD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CDD</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r>
      <w:tr>
        <w:trPr>
          <w:trHeight w:val="27"/>
        </w:trPr>
        <w:tc>
          <w:tcPr>
            <w:tcW w:w="1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9,437.2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8,505.7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6,011.6</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54"/>
        </w:trPr>
        <w:tc>
          <w:tcPr>
            <w:tcW w:w="10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increase in net revenues for the year ended December 31, 2016 was driven primarily by the inclusion of Covance's financial results for the entire year as well as solid organic growth and acquisitions, partially offset by the negative impact of foreign currency translation.</w:t>
      </w:r>
    </w:p>
    <w:p>
      <w:pPr>
        <w:spacing w:after="0" w:line="6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LCD net revenues for the year ended December 31, 2016 were $6,593.9, an increase of 6.4% over net revenues of $6,199.3 in the corresponding period in 2015. The increase in net revenues was driven by organic volume growth, measured by requisitions, of 1.2%. Beacon LBS, the Company's technology-enabled solution providing point-of-care decision support, contributed 0.3%. The increase in net revenues was unfavorably impacted by 0.3% of currency fluctuations. Revenue per requisition favorably impacted revenue by 2.7%. In addition, acquisitions added 2.5% to net revenues.</w:t>
      </w:r>
    </w:p>
    <w:p>
      <w:pPr>
        <w:spacing w:after="0" w:line="8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CDD net revenues for the year ended December 31, 2016 were $2,844.1, an increase of 23.3% over net revenues of $2,306.4 in the corresponding period in 2015. The increase in revenue is due to the inclusion of a full year of Covance revenue for 2016 as compared to the period from the close of the Acquisition on February 19, 2015 through December 31, 2015, as well as demand and mix. This increase was partially offset by the expiration on October 31, 2015 of a minimum volume service contract and an unfavorable currency impact of approximately 160 basis points. Approximately 50.9% of CDD's net revenues are billed in currencies other than the U.S. dollar, with the Swiss franc, British pound, and the Euro representing approximately 32.3% of CDD's total currency exposure.</w:t>
      </w:r>
    </w:p>
    <w:p>
      <w:pPr>
        <w:spacing w:after="0" w:line="93"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increase in net revenues for the year ended December 31, 2015 was driven primarily by the Acquisition along with strong organic volume growth in LCD and tuck-in acquisitions, price, and mix, partially offset by currency.</w:t>
      </w:r>
    </w:p>
    <w:p>
      <w:pPr>
        <w:spacing w:after="0" w:line="6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LCD net revenues for the year ended December 31, 2015 were $6,199.3, an increase of 6.2% over net revenues of $5,838.0 in the corresponding period in 2014. The increase in net revenues was driven by organic volume growth, measured by requisitions, of 3.2%. Beacon LBS contributed 0.9%. The increase in net revenues was unfavorably impacted by 0.8% of currency. Revenue per requisition favorably impacted revenue by 0.4%. In addition, acquisitions added 2.5% to net revenues.</w:t>
      </w:r>
    </w:p>
    <w:p>
      <w:pPr>
        <w:spacing w:after="0" w:line="8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CDD net revenues for the year ended December 31, 2015 were $2,306.4, an increase of 1,228.6% over net revenues of $173.6 in the corresponding period in 2014. The increase in net revenues was due to the Acquisition. Approximately 52.1% of CDD's net revenues are billed in currencies other than the U.S. dollar, with the Swiss franc, British pound, and the Euro representing approximately 66.8% of CDD's total currency exposure. The 2014 CDD net revenue amount represents LabCorp’s legacy clinical trials testing business.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Cost of Revenues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164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Pr>
          <w:p>
            <w:pPr>
              <w:spacing w:after="0"/>
              <w:rPr>
                <w:sz w:val="24"/>
                <w:szCs w:val="24"/>
                <w:color w:val="auto"/>
              </w:rPr>
            </w:pPr>
          </w:p>
        </w:tc>
      </w:tr>
      <w:tr>
        <w:trPr>
          <w:trHeight w:val="34"/>
        </w:trPr>
        <w:tc>
          <w:tcPr>
            <w:tcW w:w="1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1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16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cost of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43"/>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revenues as a % of net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1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Net cost of revenues (primarily laboratory, labor and distribution costs) increased 11.7% in 2016 as compared with 2015 primarily due to increased volume, measured by requisitions, and test mix changes. The increase in net cost of revenues as a percentage of net revenues in 2016 as compared to 2015 was due to the inclusion of CDD operations, which carry higher personnel costs as a percentage of revenue, for the entire year along with overall growth in the Company's operations. The increase in net cost of revenues in 2016 was negatively impacted by a net increase of 0.6% due to currency fluctuations.</w:t>
      </w:r>
    </w:p>
    <w:p>
      <w:pPr>
        <w:spacing w:after="0" w:line="8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Labor and testing supplies for the year ended December 31, 2016 comprise over 75.4% of the Company’s net cost of revenues. Net cost of revenues has increased over the three-year period ended December 31, 2016 primarily due to the impact of acquisitions, overall growth in the Company's volume and increases in labor costs.</w:t>
      </w:r>
    </w:p>
    <w:p>
      <w:pPr>
        <w:spacing w:after="0" w:line="8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Net cost of revenues (primarily laboratory and distribution costs) increased 47.1% in 2015 as compared with 2014 primarily due to the Acquisition. Excluding acquisitions, net cost of revenues increased approximately 4.2% due to increased volume, measured by requisitions, and test mix changes. The increase in net cost of revenues in 2015 was favorably impacted by a net reduction of 0.8% due to currency fluctuations. Labor and testing supplies for the year ended December 31, 2015, comprise over 75.5% of the Company’s net cost of revenues.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3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SG&amp;A as a % of net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1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revenues decreased to 17.3% in 2016 compared to 19.1% in 2015. The decrease in selling, general and administrative expenses as a percentage of net revenues is primarily due to the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integration synergies, and the impact of LaunchPad, LCD's comprehensive, enterprise-wide business process improvement initiative. Bad debt expense as a percentage of net revenues for LCD remained constant at 4.3% for that segment during 2016 and 2015. The increase in selling, general and administrative expenses in 2016 was impacted by a net increase of 0.5% due to currency fluctuations.</w:t>
      </w:r>
    </w:p>
    <w:p>
      <w:pPr>
        <w:spacing w:after="0" w:line="8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During 2016, the Company incurred additional legal and other costs of $4.6 relating to the wind-down of two operations used to service minimum volume service contract operations. On February 9, 2016, the Company reached an agreement for the sale of assets and business of one of these sites. As required by U.K. law, substantially all of the employees were transferred with the business. On November 21, 2016, following the wind-down of the business, the Company reached an agreement for the sale of the property and assets of the other site. In addition, the Company incurred $8.0 in acquisition fees and expenses. The Company also recorded $6.9 in consulting expenses relating to fees incurred as part of its Acquisition integration costs and compensation analysis, along with $2.5 in short-term equity retention arrangements relating to the Acquisition and $8.9 of accelerated equity compensation relating to executive transition (all recorded in selling, general and administrative expenses). In addition, the Company incurred $9.0 of non-capitalized costs associated with the implementation of a major system as part of LaunchPad.</w:t>
      </w:r>
    </w:p>
    <w:p>
      <w:pPr>
        <w:spacing w:after="0" w:line="9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revenues decreased to 19.1% in 2015 compared to 20.0% in 2014. The decrease in selling, general and administrative expenses as a percentage of net revenues is primarily due to the Acquisition and the impact of LaunchPad and integration synergies. In addition, bad debt expense as a percentage of net revenues for LCD decreased to 4.3% of net revenues for that segment compared to 4.6% during 2014. This improvement in LCD's bad debt expense is a result of the segment's focus on improved cash collections and other related LaunchPad initiatives. As discussed in Restructuring and Other Special Charges, the Company incurred $164.5 in fees and expenses in 2015. The increase in selling, general and administrative expenses in 2015 was impacted by a net reduction of 0.8% due to currency fluctuations.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2015, the Company incurred additional legal and other costs of $5.7 relating to the wind-down of two operations used to service minimum volume contract operations. The Company also recorded $25.6 in consulting expenses relating to fees incurred as part of LaunchPad as well as Covance integration costs and employee compensation studies, along with $5.4 in short-term equity retention arrangements relating to the acquisition of Covance and $0.3 of accelerated equity compensation relating to the previously disclosed retirement of a Company executive (all recorded in selling, general and administrative expenses). During the fourth quarter, the Company paid $12.2 in settlement costs and litigation expenses related to the resolution of a U.S. federal court putative class action lawsuit. In addition, the Company incurred $3.0 of non-capitalized costs associated with the implementation of a major system as part of LaunchPad.</w:t>
      </w:r>
    </w:p>
    <w:p>
      <w:pPr>
        <w:spacing w:after="0" w:line="9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2014, the Company recorded $18.6 in consulting expenses relating to fees incurred as part of its business process improvement initiative as well as CFO transition costs. The Company also recorded $10.8 of costs related to the Covance acquisition, of which $4.8 is included in selling, general and administrative expenses and $6.0 is included in interest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172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Pr>
          <w:p>
            <w:pPr>
              <w:spacing w:after="0"/>
              <w:rPr>
                <w:sz w:val="24"/>
                <w:szCs w:val="24"/>
                <w:color w:val="auto"/>
              </w:rPr>
            </w:pPr>
          </w:p>
        </w:tc>
      </w:tr>
      <w:tr>
        <w:trPr>
          <w:trHeight w:val="34"/>
        </w:trPr>
        <w:tc>
          <w:tcPr>
            <w:tcW w:w="1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7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17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LCD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84"/>
        </w:trPr>
        <w:tc>
          <w:tcPr>
            <w:tcW w:w="4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CDD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6,741.7%</w:t>
            </w:r>
          </w:p>
        </w:tc>
      </w:tr>
      <w:tr>
        <w:trPr>
          <w:trHeight w:val="257"/>
        </w:trPr>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0"/>
        </w:trPr>
        <w:tc>
          <w:tcPr>
            <w:tcW w:w="1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from 2014-2016 primarily reflects the impact of the Acquisition and tuck-in acquisitions offset by the impact of working capital and earnout adjustments. The increase in amortization for CDD in 2016 is due to currency fluctuations and the inclusion of their results for a full twelve months in 2016.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Special Charges</w:t>
      </w:r>
    </w:p>
    <w:p>
      <w:pPr>
        <w:spacing w:after="0" w:line="17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70" w:lineRule="exact"/>
        <w:rPr>
          <w:sz w:val="20"/>
          <w:szCs w:val="20"/>
          <w:color w:val="auto"/>
        </w:rPr>
      </w:pPr>
    </w:p>
    <w:p>
      <w:pPr>
        <w:ind w:left="7880"/>
        <w:spacing w:after="0"/>
        <w:tabs>
          <w:tab w:leader="none" w:pos="9220" w:val="left"/>
          <w:tab w:leader="none" w:pos="1060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7440" w:val="left"/>
          <w:tab w:leader="none" w:pos="8240" w:val="left"/>
          <w:tab w:leader="none" w:pos="8800" w:val="left"/>
          <w:tab w:leader="none" w:pos="9520" w:val="left"/>
          <w:tab w:leader="none" w:pos="10180" w:val="left"/>
          <w:tab w:leader="none" w:pos="10980" w:val="left"/>
        </w:tabs>
        <w:rPr>
          <w:sz w:val="20"/>
          <w:szCs w:val="20"/>
          <w:color w:val="auto"/>
        </w:rPr>
      </w:pPr>
      <w:r>
        <w:rPr>
          <w:rFonts w:ascii="Times New Roman" w:cs="Times New Roman" w:eastAsia="Times New Roman" w:hAnsi="Times New Roman"/>
          <w:sz w:val="18"/>
          <w:szCs w:val="18"/>
          <w:color w:val="auto"/>
        </w:rPr>
        <w:t>Restructuring and other special charges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58.4</w:t>
        <w:tab/>
        <w:t>$</w:t>
      </w:r>
      <w:r>
        <w:rPr>
          <w:sz w:val="20"/>
          <w:szCs w:val="20"/>
          <w:color w:val="auto"/>
        </w:rPr>
        <w:tab/>
      </w:r>
      <w:r>
        <w:rPr>
          <w:rFonts w:ascii="Times New Roman" w:cs="Times New Roman" w:eastAsia="Times New Roman" w:hAnsi="Times New Roman"/>
          <w:sz w:val="18"/>
          <w:szCs w:val="18"/>
          <w:color w:val="auto"/>
        </w:rPr>
        <w:t>113.9</w:t>
        <w:tab/>
        <w:t>$</w:t>
      </w:r>
      <w:r>
        <w:rPr>
          <w:sz w:val="20"/>
          <w:szCs w:val="20"/>
          <w:color w:val="auto"/>
        </w:rPr>
        <w:tab/>
      </w:r>
      <w:r>
        <w:rPr>
          <w:rFonts w:ascii="Times New Roman" w:cs="Times New Roman" w:eastAsia="Times New Roman" w:hAnsi="Times New Roman"/>
          <w:sz w:val="18"/>
          <w:szCs w:val="18"/>
          <w:color w:val="auto"/>
        </w:rPr>
        <w:t>17.8</w:t>
      </w:r>
    </w:p>
    <w:p>
      <w:pPr>
        <w:spacing w:after="0" w:line="360"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During 2016, the Company recorded net restructuring and other special charges of $58.4; $15.8 within LCD and $42.6 within CDD. The charges were comprised of $30.9 related to severance and other personnel costs along with $33.8 in costs associated with facility closures. A substantial portion of these costs relate to the planned closure of duplicative data center operations and other facilities. These charges were offset by the reversal of previously established reserves of $2.8 in unused severance and $3.5 in unused facility-related costs, as the result of selling one of its minimum volume service contract facilities to a third party.</w:t>
      </w:r>
    </w:p>
    <w:p>
      <w:pPr>
        <w:spacing w:after="0" w:line="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2015, the Company recorded net restructuring and other special charges of $113.9; $39.2 within LCD and $74.7 within CDD. The charges were comprised of $59.2 related to severance and other personnel costs along with $55.8 in costs associated with facility closures and general integration initiatives. A substantial portion of these costs relate to the planned closure of two</w:t>
      </w:r>
    </w:p>
    <w:p>
      <w:pPr>
        <w:sectPr>
          <w:pgSz w:w="11900" w:h="16838" w:orient="portrait"/>
          <w:cols w:equalWidth="0" w:num="1">
            <w:col w:w="11420"/>
          </w:cols>
          <w:pgMar w:left="240" w:top="12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CDD operations that serviced a minimum volume contract that expired on October 31, 2015. These charges were offset by the reversal of previously established reserves of $1.1 in unused facility-related costs. Included within the facility-related charges noted above is a $26.7 asset impairment charge relating to CDD lab and customer service applications that will no longer be used.</w:t>
      </w:r>
    </w:p>
    <w:p>
      <w:pPr>
        <w:spacing w:after="0" w:line="8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2014, the Company recorded net restructuring charges of $17.8. The charges were comprised of $10.5 in severance and other personnel costs and $8.4 in facility-related costs primarily associated with general integration activities. These charges were offset by the reversal of previously established reserves of $0.4 in unused severance and $0.7 in unused facility-related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7"/>
        </w:trPr>
        <w:tc>
          <w:tcPr>
            <w:tcW w:w="12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decrease in interest expense for 2016 as compared with the corresponding period in 2015 is primarily due to the reduction of the term loan balance, Acquisition-related expenses including a $37.4 make-whole payment that was required in connection with the prepayment of the $250.0 Covance senior notes and $15.2 of deferred financing costs associated with the Company's previous credit agreement and the bridge financing facilities used to complete the Acquisition. In addition, the Company repaid the 3.125% Senior Notes in May 2016. These decreases were offset by $5.6 of interest expense relating to the early retirement of subsidiary indebtedness and the timing of Acquisition-related debt.</w:t>
      </w:r>
    </w:p>
    <w:p>
      <w:pPr>
        <w:spacing w:after="0" w:line="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for 2015 as compared with 2014 was primarily due to the issuance of $3,900 in debt and other financing costs in connection with the Acquisition. Another component of the increase was the $37.4 make-whole payment in connection with the prepayment of Covance senior notes and the $15.2 relating to the deferred financing cost associated with the Company's previous credit agreement and the bridge financing facility. The bridge facility was repaid in March 2015.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Income, Net</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99"/>
        </w:trPr>
        <w:tc>
          <w:tcPr>
            <w:tcW w:w="214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Change</w:t>
            </w:r>
          </w:p>
        </w:tc>
        <w:tc>
          <w:tcPr>
            <w:tcW w:w="1000" w:type="dxa"/>
            <w:vAlign w:val="bottom"/>
          </w:tcPr>
          <w:p>
            <w:pPr>
              <w:spacing w:after="0"/>
              <w:rPr>
                <w:sz w:val="24"/>
                <w:szCs w:val="24"/>
                <w:color w:val="auto"/>
              </w:rPr>
            </w:pPr>
          </w:p>
        </w:tc>
      </w:tr>
      <w:tr>
        <w:trPr>
          <w:trHeight w:val="34"/>
        </w:trPr>
        <w:tc>
          <w:tcPr>
            <w:tcW w:w="2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1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21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income, net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21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Equity method income, net represents the Company's ownership share in joint venture partnerships along with equity investments in other companies in the healthcare industry. All of these partnerships reside within LCD. The decrease in income in 2016 and 2015 was primarily due to liquidation of the Company's interest in one of the partnerships effective June 30, 2015.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8"/>
              </w:rPr>
              <w:t>Other, net</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7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980" w:type="dxa"/>
            <w:vAlign w:val="bottom"/>
          </w:tcPr>
          <w:p>
            <w:pPr>
              <w:spacing w:after="0"/>
              <w:rPr>
                <w:sz w:val="24"/>
                <w:szCs w:val="24"/>
                <w:color w:val="auto"/>
              </w:rPr>
            </w:pPr>
          </w:p>
        </w:tc>
      </w:tr>
      <w:tr>
        <w:trPr>
          <w:trHeight w:val="34"/>
        </w:trPr>
        <w:tc>
          <w:tcPr>
            <w:tcW w:w="7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7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jc w:val="center"/>
              <w:ind w:right="3800"/>
              <w:spacing w:after="0"/>
              <w:rPr>
                <w:sz w:val="20"/>
                <w:szCs w:val="20"/>
                <w:color w:val="auto"/>
              </w:rPr>
            </w:pPr>
            <w:r>
              <w:rPr>
                <w:rFonts w:ascii="Times New Roman" w:cs="Times New Roman" w:eastAsia="Times New Roman" w:hAnsi="Times New Roman"/>
                <w:sz w:val="18"/>
                <w:szCs w:val="18"/>
                <w:color w:val="auto"/>
                <w:w w:val="97"/>
              </w:rPr>
              <w:t>Other, net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7"/>
        </w:trPr>
        <w:tc>
          <w:tcPr>
            <w:tcW w:w="78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increase in other, net for the year ended December 31, 2016, is primarily due to a net gain of $9.7 on the sale of investment securities from the Company's venture fund offset by net realized foreign currency translation losses and a non-cash loss of $2.3 upon the dissolution of one of the Company's equity investments in 2015.</w:t>
      </w:r>
    </w:p>
    <w:p>
      <w:pPr>
        <w:spacing w:after="0" w:line="82"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decrease in other, net for the year ended December 31, 2015 was due to the dissolution of one of the Company's equity investments as compared to a gain on the sale of investment of an equity investment of $14.7 in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Years Ended December 31,</w:t>
            </w:r>
          </w:p>
        </w:tc>
        <w:tc>
          <w:tcPr>
            <w:tcW w:w="98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16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308.0</w:t>
            </w:r>
          </w:p>
        </w:tc>
      </w:tr>
      <w:tr>
        <w:trPr>
          <w:trHeight w:val="243"/>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 as a % of income before tax</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bl>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2016 and 2015, the Company's effective rate was favorably impacted by foreign earnings taxed at lower rates than the U.S. statutory tax rate and, for 2016 specifically, by a reduction in certain foreign rates. The 2016 rate also benefited from the early adoption of share-based payment accounting and the reversal of uncertain tax position reserves. The Company considers substantially all of its foreign earnings to be permanently reinvested overseas.</w:t>
      </w:r>
    </w:p>
    <w:p>
      <w:pPr>
        <w:spacing w:after="0" w:line="203"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effective rate for 2015 was unfavorably impacted by restructuring and acquisition items, the recording of additional uncertain tax reserves and a decrease in the benefit recorded from releasing uncertain tax reserves.</w:t>
      </w:r>
    </w:p>
    <w:p>
      <w:pPr>
        <w:sectPr>
          <w:pgSz w:w="11900" w:h="16838" w:orient="portrait"/>
          <w:cols w:equalWidth="0" w:num="1">
            <w:col w:w="11420"/>
          </w:cols>
          <w:pgMar w:left="240" w:top="121"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effective rate for 2014 was unfavorably impacted by the recording of a full valuation allowance for the write-down of two of the Company's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13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11 (Debt) to the Company's Consolidated Financial Statements.</w:t>
      </w:r>
    </w:p>
    <w:p>
      <w:pPr>
        <w:spacing w:after="0" w:line="8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summary the Company's cash flows were as follows: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800" w:type="dxa"/>
            <w:vAlign w:val="bottom"/>
          </w:tcPr>
          <w:p>
            <w:pPr>
              <w:spacing w:after="0"/>
              <w:rPr>
                <w:sz w:val="24"/>
                <w:szCs w:val="24"/>
                <w:color w:val="auto"/>
              </w:rPr>
            </w:pPr>
          </w:p>
        </w:tc>
      </w:tr>
      <w:tr>
        <w:trPr>
          <w:trHeight w:val="34"/>
        </w:trPr>
        <w:tc>
          <w:tcPr>
            <w:tcW w:w="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2014</w:t>
            </w:r>
          </w:p>
        </w:tc>
      </w:tr>
      <w:tr>
        <w:trPr>
          <w:trHeight w:val="34"/>
        </w:trPr>
        <w:tc>
          <w:tcPr>
            <w:tcW w:w="36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739.0</w:t>
            </w:r>
          </w:p>
        </w:tc>
      </w:tr>
      <w:tr>
        <w:trPr>
          <w:trHeight w:val="243"/>
        </w:trPr>
        <w:tc>
          <w:tcPr>
            <w:tcW w:w="36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7"/>
        </w:trPr>
        <w:tc>
          <w:tcPr>
            <w:tcW w:w="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43"/>
        </w:trPr>
        <w:tc>
          <w:tcPr>
            <w:tcW w:w="36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36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w:t>
            </w:r>
          </w:p>
        </w:tc>
      </w:tr>
      <w:tr>
        <w:trPr>
          <w:trHeight w:val="20"/>
        </w:trPr>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Cash and cash equivalents at December 31, 2016, 2015 and 2014 totaled $433.6, $716.4, and $580.0, respectively. Cash and cash equivalents consist of highly liquid instruments, such as commercial paper, time deposits and other money market investments, substantially all of which have original maturities of three months or less.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3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2016, the Company's operations provided $1,175.9 of cash as compared to $982.4 in 2015. The $193.5 increase in cash provided from operations in 2016 as compared with the corresponding 2015 period was primarily due to higher net earnings in 2016. The Company’s 2016 earnings were impacted by $58.4 of restructuring and special items compared to an impact of $113.9 during the same period in 2015, primarily in connection with the Acquisition.</w:t>
      </w:r>
    </w:p>
    <w:p>
      <w:pPr>
        <w:spacing w:after="0" w:line="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2015 was $982.4 compared to $739.0 for the year ended December 31, 2014. The $243.4 increase in cash provided by operations was due primarily to additional cash generated by CDD operations following the Acquisition, as well as improved working capital. While there were lower net earnings due to the Acquisition, this included a number of non-cash charges. The Company’s earnings were impacted by restructuring and special items of $113.9 during 2015, compared to an impact of $17.8 during the same period in 2014. During 2015, the Company's operating cash flows were reduced by $153.5 of cash payments in connection with the Acquisition.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3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2016 was $795.7 as compared to $3,994.9 for the year ended December 31, 2015. The $3,184.3 decrease in cash used in investing activities for the year ended December 31, 2016 was primarily due to cash paid for the Acquisition in the first quarter of 2015. In addition, the Company had proceeds of $30.8 from the sale of assets during 2016 in comparison to $0.6 during 2015. Capital expenditures were $278.9 and $255.8 for the years ended December 31, 2016 and 2015, respectively. Capital expenditures in 2016 were 3.0% of net revenues primarily in connection with projects to support growth in the Company's core businesses, projects related to LaunchPad and further Covance integration initiatives. The Company intends to continue to pursue acquisitions to fund growth and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w:t>
      </w:r>
    </w:p>
    <w:p>
      <w:pPr>
        <w:spacing w:after="0" w:line="9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2015 was $3,994.9 as compared to $350.1 for the year ended December 31, 2014. The $199.2 increase in cash used in investing activities was primarily due to net cash paid for the Acquisition of $3,607.4, ($4,388.2 cash paid, net of cash acquired of $780.8). Capital expenditures were $255.8 and $203.5 for the years ended December 31, 2015 and 2014,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2016 was $649.8 compared to $3,184.6 net cash provided by financing activities for the year ended December 31, 2015. This movement in cash within financing activities for 2016, as compared to 2015, was primarily a result of $3,113.7 of net financing proceeds in 2015 compared to $658.4 in debt repayments combined with $43.9 for the re-initiation of the Company's share repurchase program in 2016.</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2015 was $3,184.6 compared to $200.6 net cash used in financing activities for the year ended December 31, 2014. The $3,385.2 increase in the cash provided by financing activities for 2015, as compared to the prior year, was primarily a result of $4,360.0 of financing proceeds for the Acquisition offset by debt repayments and debt issue costs of $781.7. The Company also repaid $500.0 of senior notes (including $250.0 of Covance senior notes) in 2015. The remainder of the period-over-period increase was primarily due to the suspension of share repurchases following the Acquisition, compared to $269.0 share repurchases for 2014.</w:t>
      </w:r>
    </w:p>
    <w:p>
      <w:pPr>
        <w:spacing w:after="0" w:line="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December 19, 2014, the Company entered into a five-year term loan facility in the principal amount of $1,000.0 for the purpose of financing a portion of the cash consideration and the fees and expenses in connection with the Acquisition. The term loan facility may be prepaid without penalty. The term loan balance was $565.0 and $715.0 at December 31, 2016 and 2015, respectively.</w:t>
      </w:r>
    </w:p>
    <w:p>
      <w:pPr>
        <w:spacing w:after="0" w:line="19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revolving credit facility also provides for a subfacility of up to $100.0 for swing line borrowings and a subfacility of up to $125.0 for issuances of letters of credit. The revolving credit facility is permitted to be used for general corporate purposes, including working capital, capital expenditures, funding of share repurchases and certain other payments, and acquisitions and other investments.</w:t>
      </w:r>
    </w:p>
    <w:p>
      <w:pPr>
        <w:spacing w:after="0" w:line="9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Also as part of its financing of the Acquisition,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w:t>
      </w:r>
    </w:p>
    <w:p>
      <w:pPr>
        <w:spacing w:after="0" w:line="20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Acquisition. The 60-day cash bridge term loan credit facility was advanced in full on the Acquisition Date, and was repaid in March 2015.</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its term loan credit facility and its revolving credit facility, the Company is subject to negative covenants limiting subsidiary indebtedness and certain other covenants typical for investment grade-rated borrowers and the Company is required to maintain a variable leverage ratio. From and after the Acquisition Date, the leverage ratio was required to be no greater than 4.75 to 1.00 with respect to the last day of each of the first four fiscal quarters ending on or after the closing date, 4.25 to 1.00 with respect to the last day of each of the fifth through eighth fiscal quarters ending after the closing date, and 3.75 to 1.00 with respect to the last day of each fiscal quarter ending thereafter. The Company was in compliance with all covenants under the credit facilities at December 31, 2016 and 2015. As of December 31, 2016, the ratio of total debt to consolidated EBITDA was 3.1 to 1.0.</w:t>
      </w:r>
    </w:p>
    <w:p>
      <w:pPr>
        <w:spacing w:after="0" w:line="2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0.125% to 0.40%. The interest margin applicable to the credit facilities, and the facility fee and letter of credit fees payable under the revolving credit facility, are based on the Company’s senior credit ratings as determined by Standard &amp; Poor’s and Moody’s, which are currently BBB and Baa2, respectively.</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2016, the effective interest rate on the revolving credit facility was 1.9% and the effective interest rate on the term loan was 2.0%.</w:t>
      </w:r>
    </w:p>
    <w:p>
      <w:pPr>
        <w:spacing w:after="0" w:line="13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was no outstanding balance on the Company's revolving credit facility at December 31, 2016 or 2015. As of December 31, 2016, the Company provided letters of credit aggregating $54.5, primarily in connection with certain insurance programs. Letters of credit provided by the Company are issued under the Company's revolving credit facility and are renewed annually.</w:t>
      </w:r>
    </w:p>
    <w:p>
      <w:pPr>
        <w:spacing w:after="0" w:line="8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resumed its share repurchase program in the fourth quarter of 2016, repurchasing 0.3 shares for $43.9, based on settled trades as of December 31, 2016, at an average price of approximately $128.00. The Company also initiated purchases of $6.1 which settled directly after December 31, 2016. At the end of 2016, including unsettled purchase commitments, $739.5 of repurchase authorization remained under the Company's share repurchase program.</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had a $28.3 and $36.9 reserve for unrecognized income tax benefits, including interest and penalties as of December 31, 2016 and December 31, 2015, respectively. Substantially all of these tax reserves are classified in other long-term liabilities in the Company's Consolidated Balance Sheets at December 31, 2016 and 2015.</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2016 and 2015, the Company settled notices to convert $59.4 and $1.5 aggregate principal amount at maturity of its zero-coupon subordinated notes with a conversion value of $53.7 and $1.3, respectively. The total cash used for these settlements was $53.7 and $1.3 and the Company also issued 0.4 and 0.0 additional shares of common stock, respectively. As a result of these conversions in 2016 and 2015, the Company also reversed approximately $4.9 and $0.4, respectively, of deferred tax liability to reflect the tax benefit realized upon issuance of the shares.</w:t>
      </w:r>
    </w:p>
    <w:p>
      <w:pPr>
        <w:spacing w:after="0" w:line="8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September 12, 2016, the Company announced that for the period of September 12, 2016 to March 10, 2017, the zero-coupon subordinated notes will accrue contingent cash interest at a rate of no less than 0.125% of the average market price of a zero-coupon subordinated note for the five trading days ended September 9, 2016, in addition to the continued accrual of the original issue discount.</w:t>
      </w:r>
    </w:p>
    <w:p>
      <w:pPr>
        <w:spacing w:after="0" w:line="8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January 3, 2017, the Company announced that its zero-coupon subordinated notes may be converted into cash and common stock at the conversion rate of 13.4108 per $1,000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January 1, 2017, through the close of business on the last business day of the calendar quarter, which is 5:00 p.m., New York City time, on Friday, March 31, 2017. If notices of conversion are received, the Company plans to settle the cash portion of the conversion obligation with cash on hand and/or borrowings under the revolving credit facility.</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Company’s debt ratings of Baa2 from Moody’s and BBB from S&amp;P contribute to its ability to access capital markets.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Contractual Cash Obligations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43"/>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0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Payments Due by Period</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4"/>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 and</w:t>
            </w:r>
          </w:p>
        </w:tc>
      </w:tr>
      <w:tr>
        <w:trPr>
          <w:trHeight w:val="270"/>
        </w:trPr>
        <w:tc>
          <w:tcPr>
            <w:tcW w:w="4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thereafter</w:t>
            </w:r>
          </w:p>
        </w:tc>
      </w:tr>
      <w:tr>
        <w:trPr>
          <w:trHeight w:val="34"/>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future licensing payments (a)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Minimum royalty payments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Scheduled interest payments on senior notes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Scheduled interest payments on Term Loan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Long-term debt, other than revolving credit facility</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5,765.0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1,665.0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3,200.0</w:t>
            </w: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 (b) (c)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4,494.7</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future licensing payments will be made if certain events take place, such as the launch of a specific test, the transfer of certain technology, and the achievement specified revenue milestones.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include obligations under the Company’s pension and postretirement benefit plans, which are included in “Note 16 to Consolidated Financial Statements.” Benefits under the Company's postretirement medical plan are made when claims are submitted for payment, the timing of which is not practicable to estimate.</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include the Company’s reserves for unrecognized tax benefits. The Company had a $28.3 and $36.9 reserve for unrecognized tax benefits, including interest and penalties, at December 31, 2016 and 2015, respectively, which is included in “Note 13 to Consolidated Financial Statements.” Substantially all of these tax reserves are classified in other long-term liabilities in the Company’s Consolidated Balance Sheets at December 31, 2016 and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35"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The Company does not have transactions or relationships with “special purpose” entities, and the Company does not have any off-balance sheet financing other than normal operating leases and letters of credit.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3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provided letters of credit aggregating approximately $54.5, primarily in connection with certain insurance programs. Letters of credit provided by the Company are secured by the Company’s revolving credit facility and are renewed annually.</w:t>
      </w:r>
    </w:p>
    <w:p>
      <w:pPr>
        <w:spacing w:after="0" w:line="6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contractual value of the noncontrolling interest put in the Company's Ontario subsidiary totaled $15.2 and $14.9 at December 31, 2016 and 2015, respectively, and has been classified as mezzanine equity in the Company's consolidated balance sheet.</w:t>
      </w:r>
    </w:p>
    <w:p>
      <w:pPr>
        <w:spacing w:after="0" w:line="67"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3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 allowance for doubtful accounts;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expense;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self-insurance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indefinite-lived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Allowance for Doubtful Accounts</w:t>
      </w:r>
    </w:p>
    <w:p>
      <w:pPr>
        <w:spacing w:after="0" w:line="135"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LCD recognizes revenue for services rendered when the testing process is complete and test results are reported to the ordering physician. The sales are generally billed to three types of payers – customers, patients and third parties such as MCOs, Medicare and Medicaid. For customers, sales are recorded on a fee-for-service basis at the Company’s customer list price, less any negotiated discount. Patient sales are recorded at the Company’s patient fee schedule, net of any discounts negotiated with physicians on behalf of their patients, or fees made available through charity care or an uninsured patient program. LCD bills third-party payers in two ways: fee-for-service and capitated agreements. Fee-for-service third-party payers are billed at the Company's patient fee schedule amount, and third-party revenue is recorded net of contractual discounts. These discounts are recorded at the transaction level at the time of sale based on a fee schedule that is maintained for each third-party payer. The majority of the Company’s third-party sales are recorded using an actual or contracted fee schedule at the time of sale. For the remaining third-party sales, estimated fee schedules are maintained for each payer. Adjustments to the estimated payment amounts are recorded at the time of final collection and settlement of each transaction as an adjustment to revenue. These adjustments are not material to the Company’s results of operations in any period presented. The Company periodically adjusts these estimated fee schedules based upon historical payment trends. Under capitated agreements with MCOs, the Company recognizes revenue based on a negotiated monthly contractual rate for each member of the managed care plan regardless of the number or cost of the tests performed.</w:t>
      </w:r>
    </w:p>
    <w:p>
      <w:pPr>
        <w:spacing w:after="0" w:line="9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Occasionally, CDD also has committed minimum volume arrangements with certain customers. Under these types of arrangements, if the annual minimum dollar value of service commitment is not reached, the customer is required to pay CDD for the shortfall. Annual minimum commitment shortfalls are not included in net revenues until the amount has been determined and agreed to by the customer.</w:t>
      </w:r>
    </w:p>
    <w:p>
      <w:pPr>
        <w:spacing w:after="0" w:line="8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 Examples of output measures in preclinical services include, among others, the number of slides read, or specimens prepared. Examples of output measures in the clinical trials services include, among others, the number of investigators enrolled, the number of sites initiated, the number of trial subjects enrolled and the number of monitoring visits completed, or the number of dosings for clinical pharmacology.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customer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93"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Billing schedules and payment terms are generally negotiated on a contract-by-contract basis. In some cases, CDD bills the customer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98"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8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other cases, services may be provided and revenue recognized before the customer is invoiced. In these cases, revenue recognized will exceed amounts billed, and the difference, representing an unbilled receivable, is recorded for the amount that is currently not billable to the customer pursuant to contractual terms. Once the customer is invoiced, the unbilled services are reduced for the amount billed, and a corresponding account receivable is recorded. All unbilled services are billable to customers within one year from the respective balance sheet date.</w:t>
      </w:r>
    </w:p>
    <w:p>
      <w:pPr>
        <w:spacing w:after="0" w:line="8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realization is assured. In connection with the management of multi-site clinical trials, CDD pays on behalf of its customers fees to investigators, clinical trial subjects and certain out-of-pocket costs, for which it is reimbursed at cost, without mark-up or profit. Investigator fees are not reflected in net revenues or expenses where CDD acts in the capacity of an agent on behalf of the biopharmaceutical company sponsor, passing through these costs without markup or profit. All other out-of-pocket costs are included in total revenues and expenses.</w:t>
      </w:r>
    </w:p>
    <w:p>
      <w:pPr>
        <w:spacing w:after="0" w:line="95"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LCD has a formal process to estimate and review the collectibility of its receivables based on the period of time they have been outstanding. Bad debt expense is recorded within selling, general and administrative expenses as a percentage of sales considered necessary to maintain the allowance for doubtful accounts at an appropriate level. LCD’s process for determining the appropriate level of the allowance for doubtful accounts involves judgment and considers such factors as the age of the underlying receivables, historical and projected collection experience, and other external factors that could affect the collectibility of its receivables. Accounts are written off against the allowance for doubtful accounts based on LCD’s write-off policy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 they are deemed to be uncollectible). In the determination of the appropriate level of the allowance, accounts are progressively reserved based on the historical timing of cash collections relative to their respective aging categories within LCD’s receivables. These collection and reserve processes, along with the close monitoring of the billing process, help reduce the risks of material revisions to reserve estimates resulting from adverse changes in collection or reimbursement experience.</w:t>
      </w:r>
    </w:p>
    <w:p>
      <w:pPr>
        <w:spacing w:after="0" w:line="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presents the percentage of LCD’s net accounts receivable outstanding by aging category at December 31, 2016 and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Days Outstanding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34"/>
        </w:trPr>
        <w:tc>
          <w:tcPr>
            <w:tcW w:w="4360" w:type="dxa"/>
            <w:vAlign w:val="bottom"/>
            <w:tcBorders>
              <w:bottom w:val="single" w:sz="8" w:color="CCEEFF"/>
            </w:tcBorders>
            <w:gridSpan w:val="2"/>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 – 30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46.8%</w:t>
            </w:r>
          </w:p>
        </w:tc>
      </w:tr>
      <w:tr>
        <w:trPr>
          <w:trHeight w:val="243"/>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17.3%</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4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91 – 120</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7.4%</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43"/>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180</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r>
      <w:tr>
        <w:trPr>
          <w:trHeight w:val="27"/>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270</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7.1%</w:t>
            </w:r>
          </w:p>
        </w:tc>
      </w:tr>
      <w:tr>
        <w:trPr>
          <w:trHeight w:val="243"/>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360</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r>
      <w:tr>
        <w:trPr>
          <w:trHeight w:val="27"/>
        </w:trPr>
        <w:tc>
          <w:tcPr>
            <w:tcW w:w="436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4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360</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r>
      <w:tr>
        <w:trPr>
          <w:trHeight w:val="27"/>
        </w:trPr>
        <w:tc>
          <w:tcPr>
            <w:tcW w:w="2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3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above table excludes the percentage of net accounts receivable outstanding by aging category for certain foreign operations, BeaconLBS, and the nutritional chemistry and food safety businesses. Combined these net accounts receivable balances comprise less than 11.1% of LCD's total net accounts receivable balances. The Company believes that including the agings of the accounts receivable for these businesses would not be representative of the majority of accounts receivable by aging category for LCD. The majority of the accounts receivable for the foreign operations, BeaconLBS, and the nutritional chemistry and food safety business are generally paid within 30 to 60 days of billing.</w:t>
      </w:r>
    </w:p>
    <w:p>
      <w:pPr>
        <w:spacing w:after="0" w:line="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CDD endeavors to assess and monitor the creditworthiness of its customers to which it grants credit terms in the ordinary course of business. CDD maintains a provision for doubtful accounts relating to amounts due that may not be collected. This bad debt provision is monitored on a monthly basis and adjusted as circumstances warrant. Since the recorded bad debt provision is based upon management's judgment, actual bad debt write-offs may be greater or less than the amount recorded. Historically, bad debt write-offs have not been material. The allowance for doubtful accounts amounted to $2.8 and $3.4 at December 31, 2016 and 2015,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Expense</w:t>
      </w:r>
    </w:p>
    <w:p>
      <w:pPr>
        <w:spacing w:after="0" w:line="13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has a defined benefit retirement plan (Company Plan) and a non-qualified supplemental retirement plan (PEP). In October 2009, the Company received approval from its Board of Directors to freeze any additional service-based credits for any years of service after December 31, 2009 on the Company Plan and the PEP. Both plans have been closed to new participants. Employees participating in the Company Plan and the PEP no longer earn service-based credits, but continue to earn interest credits. In addition, effective January 1, 2010, all employees eligible for the defined contribution retirement plan (401K Plan) receive a minimum 3% non-elective contribution (NEC) concurrent with each payroll period. The 401K Plan also permits discretionary contributions by the Company of up to 1% and up to 3% of pay for eligible employees, based on service.</w:t>
      </w:r>
    </w:p>
    <w:p>
      <w:pPr>
        <w:spacing w:after="0" w:line="9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Plan covers substantially all employees employed by the Company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PEP covers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9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 addition, as a result of the Acquisition, the Company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 of the participating employees. As a result of the Acquisition, the Company also sponsors two defined benefit pension plans for the benefit of its employees at two U.K. subsidiaries (U.K. Plans) and one defined benefit pension plan for the benefit of its employees at a German subsidiary (German Plan), all of which are legacy plans of previously acquired companies and are closed to new entrants. Benefit amounts for all three plans are based upon years of service and compensation. The German Plan is unfunded while the U.K. Plans are funded. The Company’s funding policy for the U.K. Plans has been to contribute annually amounts at least equal to the local statutory funding requirements.</w:t>
      </w:r>
    </w:p>
    <w:p>
      <w:pPr>
        <w:spacing w:after="0" w:line="9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 benefit retirement plans were a 4.1% discount rate and a 6.8% expected long-term rate of return on plan assets for the Company Plan, a 4.2% discount rate for the PEP, a 3.8% discount rate for the SERP, a 1.7% discount rate and a 2.0% expected salary increase for the German plan and a 2.7% discount rate and a 3.8% expected salary increase for the U.K. Plans as of December 31, 2016.</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3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evaluates several approaches toward setting the discount rate assumption that is used to value the benefit obligations of its retirement plans. At year-end, priority was given to use of the Towers Watson Bond:Link model, which simulates the purchase of investment-grade corporate bonds at current market yields with principal amounts and maturity dates closely matching the Company's projected cash disbursements from its plans. This completed model represents the yields to maturity at which the Company could theoretically settle its plan obligations at year end. The weighted-average yield on the modeled bond portfolio is then used to form the discount rate assumption used for each retirement plan. A one percentage point decrease or increase in the discount rate would have resulted in a respective increase or decrease in 2016 retirement plan expense of $1.7 for the Company Plan and PEP. A one percentage point decrease or increase in the discount rate would have resulted in a respective increase or decrease in 2016 retirement plan expense of $2.0 for the U.K. Plans.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 on Plan Assets</w:t>
      </w:r>
    </w:p>
    <w:p>
      <w:pPr>
        <w:spacing w:after="0" w:line="13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2016 pension expense of $2.4 for the Company Plan. A one percentage point increase or decrease in the expected return on plan assets would have resulted in a corresponding change in 2016 pension expense of $1.9 for the U.K. Plans.</w:t>
      </w:r>
    </w:p>
    <w:p>
      <w:pPr>
        <w:spacing w:after="0" w:line="8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Net pension cost for 2016 was $14.9 as compared with $12.0 in 2015 and $8.1 in 2014. The increase in pension expense was due to increases in the amount of net amortization and deferral as a result of lower discount rates. Pension expense for the Company Plan and the PEP is expected to increase to $15.3 in 2017 as a result of a lower assumed discount rate and changes in participant mortality tables. Pension expense for the SERP is expected to decrease to $0.3 in 2017 as the 2016 expense included settlement accounting charges due to a change in control benefit enhancement provided to one additional executive. Pension expense for the Germany Plan and the U.K. Plans is expected to increase to $2.7 in 2017 as a result of a lower assumed discount rate and changes in participant mortality tables.</w:t>
      </w:r>
    </w:p>
    <w:p>
      <w:pPr>
        <w:spacing w:after="0" w:line="93" w:lineRule="exact"/>
        <w:rPr>
          <w:sz w:val="20"/>
          <w:szCs w:val="20"/>
          <w:color w:val="auto"/>
        </w:rPr>
      </w:pPr>
    </w:p>
    <w:p>
      <w:pPr>
        <w:ind w:right="1440" w:firstLine="270"/>
        <w:spacing w:after="0" w:line="391" w:lineRule="auto"/>
        <w:rPr>
          <w:sz w:val="20"/>
          <w:szCs w:val="20"/>
          <w:color w:val="auto"/>
        </w:rPr>
      </w:pPr>
      <w:r>
        <w:rPr>
          <w:rFonts w:ascii="Times New Roman" w:cs="Times New Roman" w:eastAsia="Times New Roman" w:hAnsi="Times New Roman"/>
          <w:sz w:val="18"/>
          <w:szCs w:val="18"/>
          <w:color w:val="auto"/>
        </w:rPr>
        <w:t xml:space="preserve">Further information on the Company’s defined benefit retirement plans is provided in Note 16 to the consolidated financial statements. </w:t>
      </w:r>
      <w:r>
        <w:rPr>
          <w:rFonts w:ascii="Times New Roman" w:cs="Times New Roman" w:eastAsia="Times New Roman" w:hAnsi="Times New Roman"/>
          <w:sz w:val="18"/>
          <w:szCs w:val="18"/>
          <w:b w:val="1"/>
          <w:bCs w:val="1"/>
          <w:i w:val="1"/>
          <w:iCs w:val="1"/>
          <w:color w:val="auto"/>
        </w:rPr>
        <w:t>Accruals for Self-Insurance Reserves</w:t>
      </w:r>
    </w:p>
    <w:p>
      <w:pPr>
        <w:spacing w:after="0" w:line="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82" w:lineRule="exact"/>
        <w:rPr>
          <w:sz w:val="20"/>
          <w:szCs w:val="20"/>
          <w:color w:val="auto"/>
        </w:rPr>
      </w:pPr>
    </w:p>
    <w:p>
      <w:pPr>
        <w:jc w:val="both"/>
        <w:ind w:firstLine="238"/>
        <w:spacing w:after="0" w:line="261" w:lineRule="auto"/>
        <w:rPr>
          <w:sz w:val="20"/>
          <w:szCs w:val="20"/>
          <w:color w:val="auto"/>
        </w:rPr>
      </w:pPr>
      <w:r>
        <w:rPr>
          <w:rFonts w:ascii="Times New Roman" w:cs="Times New Roman" w:eastAsia="Times New Roman" w:hAnsi="Times New Roman"/>
          <w:sz w:val="18"/>
          <w:szCs w:val="18"/>
          <w:color w:val="auto"/>
        </w:rPr>
        <w:t>The Company is self-insured (up to certain limits) for professional liability claims arising in the normal course of business, generally related to the testing and reporting of laboratory test results. The Company maintains excess insurance which limits the Company’s maximum exposure on individual claims.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86" w:lineRule="exact"/>
        <w:rPr>
          <w:sz w:val="20"/>
          <w:szCs w:val="20"/>
          <w:color w:val="auto"/>
        </w:rPr>
      </w:pPr>
    </w:p>
    <w:p>
      <w:pPr>
        <w:ind w:right="380" w:firstLine="216"/>
        <w:spacing w:after="0" w:line="391" w:lineRule="auto"/>
        <w:rPr>
          <w:sz w:val="20"/>
          <w:szCs w:val="20"/>
          <w:color w:val="auto"/>
        </w:rPr>
      </w:pPr>
      <w:r>
        <w:rPr>
          <w:rFonts w:ascii="Times New Roman" w:cs="Times New Roman" w:eastAsia="Times New Roman" w:hAnsi="Times New Roman"/>
          <w:sz w:val="18"/>
          <w:szCs w:val="18"/>
          <w:color w:val="auto"/>
        </w:rPr>
        <w:t xml:space="preserve">If actual trends differ from these estimates, the financial results could be impacted. Historical trends have not differed materially from these estimates. </w:t>
      </w:r>
      <w:r>
        <w:rPr>
          <w:rFonts w:ascii="Times New Roman" w:cs="Times New Roman" w:eastAsia="Times New Roman" w:hAnsi="Times New Roman"/>
          <w:sz w:val="18"/>
          <w:szCs w:val="18"/>
          <w:b w:val="1"/>
          <w:bCs w:val="1"/>
          <w:i w:val="1"/>
          <w:iCs w:val="1"/>
          <w:color w:val="auto"/>
        </w:rPr>
        <w:t>Income Taxes</w:t>
      </w:r>
    </w:p>
    <w:p>
      <w:pPr>
        <w:spacing w:after="0" w:line="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Assets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Following the Acquisition, the Company changed the timing of its annual impairment testing to the beginning of the fourth quarter. In accordance with updates to the FASB's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first step of the two-step assessment. Similarly, a company can proceed directly to a quantitative assessment in the case of impairment testing for indefinite-lived intangible assets as well.</w:t>
      </w:r>
    </w:p>
    <w:p>
      <w:pPr>
        <w:spacing w:after="0" w:line="9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Step One of the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However, if the estimated fair value is less than the carrying value, the Company performs the second step of the goodwill impairment test to measure the amount of the impairment, if any. The second step involves a hypothetical allocation of the estimated fair value of the reporting unit to its tangible and intangible assets (excluding goodwill) and liabilities as if the reporting unit were newly acquired, which results in an implied fair value of the goodwill. The amount of the impairment charge is the excess of the recorded goodwill, if any, over the implied fair value of the goodwill.</w:t>
      </w:r>
    </w:p>
    <w:p>
      <w:pPr>
        <w:spacing w:after="0" w:line="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89"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flows, on a debt-free basis, arising from future revenues and profitability, changes in working capital, capital spending and income taxes for at least a five-year forecast period.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concluded that no triggering events occurred during 2016 related to goodwill and indefinite-lived intangible assets. As such, management performed its annual goodwill and intangible asset impairment testing as of the beginning of the fourth quarter of 2016. The Company elected to perform the qualitative assessment for goodwill and intangible assets for all reporting units except two of the CDD reporting units and the indefinite-lived Canadian licenses for which the quantitative assessment was used.</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qualitative assessment, the Company concluded that it was not more likely than not that the carrying values of the goodwill and intangible assets were greater than their fair values, and that further quantitative testing was not necessary.</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2016, the Company utilized an income approach to determine the fair value of two of the CDD reporting units, with $460.7 million and $223.9 million of goodwill as of September 30, 2016. Based upon the results of the quantitative assessment, the Company concluded that the fair value of these reporting units was greater than the carrying value.</w:t>
      </w:r>
    </w:p>
    <w:p>
      <w:pPr>
        <w:spacing w:after="0" w:line="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2016, the Company also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2016 will prove to be accurate predictions of the future, if, for example, (i) the businesses do not perform as projected, (ii) overall economic conditions in 2017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The Company will particularly monitor the financial performance of and assumptions for two of the CDD reporting units for which an income approach was performed in 2016.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has made in this report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Item 1A Risk Factors, and in the Company’s other public filings:</w:t>
      </w:r>
    </w:p>
    <w:p>
      <w:pPr>
        <w:spacing w:after="0" w:line="203" w:lineRule="exact"/>
        <w:rPr>
          <w:sz w:val="20"/>
          <w:szCs w:val="20"/>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 party payer regulations or coverage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w:t>
      </w:r>
    </w:p>
    <w:p>
      <w:pPr>
        <w:spacing w:after="0" w:line="6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fines, penalties, assessments, refunds, repayments, unanticipated compliance expenditures and/or exclusion from government programs, among other adverse consequences, resulting from the Company's violation of laws and regulations,including, but not limited to, anti-fraud and abuse laws and regulations; or related to new interpretations of or changes to such laws and regulations by government agencies or investigations, audits, regulatory examinations, information requests and other inquiries by state or U.S. government agencies;</w:t>
      </w:r>
    </w:p>
    <w:p>
      <w:pPr>
        <w:spacing w:after="0" w:line="7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U.S. and international privacy and security laws and regulations, including the Health Insurance Portability and Accountability Act of 1996, the Health Information Technology for Economic and Clinical Health Act, U.S. state laws and regulations, and international laws and regulations including, but not limited to, those of the European Union and countries outside of the European Union;</w:t>
      </w:r>
    </w:p>
    <w:p>
      <w:pPr>
        <w:spacing w:after="0" w:line="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a fine or penalties under, or future changes in, or interpretations of applicable national, state or local licensing laws or regulations, including, but not limited to the Clinical Laboratory Improvement Act of 1967, the Clinical Laboratory Improvement Amendments of 1988 and applicable regulations in other countries where the Company operates laboratories;</w:t>
      </w:r>
    </w:p>
    <w:p>
      <w:pPr>
        <w:spacing w:after="0" w:line="6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the U.S. Occupational Safety and Health Administration requirements and the U.S. Needlestick Safety and Prevention Act, or similar laws and regulations of U.S., state, local or international agencies;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injunctions, or criminal prosecution arising from failure to maintain compliance with cGMP regulations and other applicable requirements of various regulatory agencies;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similar international laws and regulations;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utilization of laboratory tests;</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policies, including regulations and policies of the U.S. Food and Drug Administration, the U.S. Department of Agriculture, the Medicine and Healthcare products Regulatory Agency in the U.K., the China Food and Drug Administration, the Pharmaceutical and Medical Devices Agency in Japan, the European Medicines Agency or other U.S., state, local or international agencies, affecting the approval, availability of, and the selling and marketing of diagnostic tests or drugs or the conduct of drug development trials;</w:t>
      </w:r>
    </w:p>
    <w:p>
      <w:pPr>
        <w:spacing w:after="0" w:line="7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biopharmaceutical industry, changes in reimbursement of biopharmaceutical products or reduced spending on research and development by biopharmaceutical customers;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inability to comply with corporate governance requirements;</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and consumerism, competitive bidding and/or changes or reductions to fee schedules and competition from companies that do not comply with existing laws or regulations or otherwise disregard compliance standards in the industry;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including insurance carrier participation in health insurance exchanges, an increase in capitated reimbursement mechanisms, the impact of a shift to consumer-driven health plans or plans carrying an increased level of member cost-sharing, and adverse changes in payer reimbursement or payer coverage policies (implemented directly or through a third party utilization management organization) related to specific diagnostic tests, categories of testing or testing methodologies;</w:t>
      </w:r>
    </w:p>
    <w:p>
      <w:pPr>
        <w:spacing w:after="0" w:line="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managed care organization (MCO) business as a result of changes in business models, including new risk based or network approaches, out-sourced Laboratory Network Management or Utilization Management companies, or other changes in strategy or business models by MCOs;</w:t>
      </w:r>
    </w:p>
    <w:p>
      <w:pPr>
        <w:spacing w:after="0" w:line="6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w:t>
      </w:r>
    </w:p>
    <w:p>
      <w:pPr>
        <w:spacing w:after="0" w:line="5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MCOs, biopharmaceutical companies, health systems, large physician organizations and other customers, potentially causing material shifts in insourcing, utilization, pricing and reimbursements, including full and partial risk based models;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deploy new systems, system modifications or enhancements required in response to evolving market and business needs;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newly acquired businesses;</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 acquired businesses, and impact on the Company's cash position, levels of indebtedness and stock price;</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contract research services or other contractual arrangements;</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obtain, maintain and enforce intellectual property rights and defend against challenges to the Company’s intellectual property rights;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services or supplies provided by third parties, including transportation;</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extremists or potential harm and/or liability arising from animal research activities or the provision of animal research products;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experienced and qualified personnel;</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and mobile health technologies, or potential use of new technologies by customers and/or consumers to perform their own tests;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adequate patent and other proprietary rights for protection of the Company's products and services and successfully enforce the Company's proprietary rights;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or other impact on the business due to adverse weather, fires and/or other natural disasters, acts of war, terrorism or other criminal acts, and/or widespread outbreak of influenza or other pandemic illness;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or the failure to maintain the security of business information or systems or to protect against cyber security attacks,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deadlines, or the failure to meet future regulatory or customer information technology, data security and connectivity requirements;</w:t>
      </w:r>
    </w:p>
    <w:p>
      <w:pPr>
        <w:spacing w:after="0" w:line="131" w:lineRule="exact"/>
        <w:rPr>
          <w:sz w:val="20"/>
          <w:szCs w:val="20"/>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and/or bad debt expense levels including a negative impact on the Company's reimbursement, cash collections and profitability arising from unfavorable changes in third-party payer policies in connection with the implementation of the ICD-10-CM Code Set and continued shift by third party payers to plans with higher patient out-of-pocket costs;</w:t>
      </w:r>
    </w:p>
    <w:p>
      <w:pPr>
        <w:spacing w:after="0" w:line="6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 cash collections and the availability of credit for general liquidity or other financing needs arising from a significant deterioration in the economy or financial markets or in the Company's credit ratings by S&amp;P and/or Moody's;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net revenues;</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Foreign Corrupt Practices Act, the U.K. Bribery Act, trade sanction laws and regulations, and laws and regulations that differ from those of the U.S., and economic, political, legal and other operational risks associated with foreign markets;</w:t>
      </w:r>
    </w:p>
    <w:p>
      <w:pPr>
        <w:spacing w:after="0" w:line="6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and savings in connection with the Company's business process improvement initiatives;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 and</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government and regulatory changes, including, but not limited to the United Kingdom's announced intention to exit from the European Union.</w:t>
      </w:r>
    </w:p>
    <w:p>
      <w:pPr>
        <w:spacing w:after="0" w:line="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 (in millions)</w:t>
      </w:r>
    </w:p>
    <w:p>
      <w:pPr>
        <w:spacing w:after="0" w:line="25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Approximately 10.3% of the Company's net revenues for the year ended December 31, 2016 and approximately 11.0% of those for the year ended 2015 were denominated in currencies other than the U.S. Dollar. The Company's financial statements are reported in U.S. Dollars and, accordingly, fluctuations in exchange rates will affect the translation of revenues and expenses denominated in foreign currencies into U.S. Dollars for purposes of reporting the Company's consolidated financial results. In both 2016 and 2015,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 Dollars would have impacted income before income taxes for 2016 by approximately $6.1. Gross accumulated currency translation adjustments recorded as a separate component of shareholders’ equity were $(250.0) and $(370.7) at December 31, 2016 and 2015, respectively. The Company does not have significant operations in countries in which the economy is considered to be highly inflationary.</w:t>
      </w:r>
    </w:p>
    <w:p>
      <w:pPr>
        <w:spacing w:after="0" w:line="21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2016, the Company had five open foreign exchange forward contracts relating to service contracts with various amounts maturing monthly through January 2017 with a notional value totaling approximately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$167.9 million. At December 31, 2015, the Company had four open foreign exchange forward contracts relating to service contracts with various amounts maturing monthly through January 2016 with a notional value totaling approximately $93.1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2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Borrowings under the Company's term loan credit facility and revolving credit facility are subject to variable interest rates, unless fixed through interest rate swaps or other agreements. As of December 31, 2016 and 2015, the Company had approximately $565.0 and $715.0 of unhedged variable rate debt under the term loan credit facility.</w:t>
      </w:r>
    </w:p>
    <w:p>
      <w:pPr>
        <w:spacing w:after="0" w:line="20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the third quarter of 2013, the Company entered into two fixed-to-variable interest rate swap agreements for its 4.625% Senior Notes due 2020 with an aggregate notional amount of $600.0 and variable interest rates based on one-month LIBOR plus 2.298% to hedge against changes in the fair value of a portion of the Company's long-term debt.</w:t>
      </w:r>
    </w:p>
    <w:p>
      <w:pPr>
        <w:spacing w:after="0" w:line="203"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89" w:lineRule="exact"/>
        <w:rPr>
          <w:sz w:val="20"/>
          <w:szCs w:val="20"/>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surrender zero-coupon subordinated notes for conversion during any period in which the rating assigned to the zero-coupon subordinated notes by S&amp;P Ratings Services is BB- or lower.</w:t>
      </w:r>
    </w:p>
    <w:p>
      <w:pPr>
        <w:spacing w:after="0" w:line="18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Each quarter-point increase or decrease in the variable rate would result in the Company's interest expense changing by approximately $1.4 per year for the Company's unhedged variable rate debt.</w:t>
      </w:r>
    </w:p>
    <w:p>
      <w:pPr>
        <w:spacing w:after="0" w:line="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Information required by this item is incorporated to the </w:t>
      </w:r>
      <w:r>
        <w:rPr>
          <w:rFonts w:ascii="Times New Roman" w:cs="Times New Roman" w:eastAsia="Times New Roman" w:hAnsi="Times New Roman"/>
          <w:sz w:val="18"/>
          <w:szCs w:val="18"/>
          <w:i w:val="1"/>
          <w:iCs w:val="1"/>
          <w:color w:val="auto"/>
        </w:rPr>
        <w:t>Report of Independent Registered Public Accounting Firm</w:t>
      </w:r>
      <w:r>
        <w:rPr>
          <w:rFonts w:ascii="Times New Roman" w:cs="Times New Roman" w:eastAsia="Times New Roman" w:hAnsi="Times New Roman"/>
          <w:sz w:val="18"/>
          <w:szCs w:val="18"/>
          <w:color w:val="auto"/>
        </w:rPr>
        <w:t xml:space="preserve"> and from the consolidated financial statements, related notes and supplementary data. See the Index on Page F-1.</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Rules 13a-15(f) and 15d-15(f)) during the fiscal year ended December 31, 2016 that have materially affected, or are reasonably likely to materially affect, the Company’s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Management on Internal Control Over Financial Reporting</w:t>
      </w:r>
    </w:p>
    <w:p>
      <w:pPr>
        <w:spacing w:after="0" w:line="256"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1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ectPr>
          <w:pgSz w:w="11900" w:h="16838" w:orient="portrait"/>
          <w:cols w:equalWidth="0" w:num="1">
            <w:col w:w="11420"/>
          </w:cols>
          <w:pgMar w:left="240" w:top="121" w:right="239" w:bottom="738"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738"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ind w:left="660" w:right="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of the Company are being made only in accordance with authorization of management and directors of the Company; and</w:t>
      </w: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w:t>
      </w:r>
    </w:p>
    <w:p>
      <w:pPr>
        <w:spacing w:after="0" w:line="252"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2016.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2016, the Company maintained effective internal control over financial reporting. Management reviewed the results of its assessment with the Audit Committee of the Company’s Board of Directors.</w:t>
      </w:r>
    </w:p>
    <w:p>
      <w:pPr>
        <w:spacing w:after="0" w:line="21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2016 as stated in its report, which is included herein immediately preceding the Company’s audited financial statements.</w:t>
      </w:r>
    </w:p>
    <w:p>
      <w:pPr>
        <w:spacing w:after="0" w:line="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P. King </w:t>
      </w:r>
      <w:r>
        <w:rPr>
          <w:rFonts w:ascii="Times New Roman" w:cs="Times New Roman" w:eastAsia="Times New Roman" w:hAnsi="Times New Roman"/>
          <w:sz w:val="18"/>
          <w:szCs w:val="18"/>
          <w:color w:val="auto"/>
        </w:rPr>
        <w:t>- Mr. King (60) has served as Chairman of the Board, President, and Chief Executive Officer of the Company since May 6, 2009; prior to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he served as a director, President and Chief Executive Officer of the Company since January 1, 2007. Mr. King served as Executive Vice President and Chief Operating Officer from December 2005 to January 2007, as Executive Vice President of Strategic Planning and Corporate Development from January 2004 to December 2005 and was hired in September 2001 as Senior Vice President, General Counsel and Chief Compliance Officer. Prior to joining the Company, he was a partner with Hogan &amp; Hartson LLP (now Hogan Lovells US LLP) in Baltimore, Maryland from 1992 to 2001. Mr. King was appointed to the board of directors of Cardinal Health, Inc. in 2011 and chairs its Human Resources and Compensation Committee. He also sits on the Boards of Directors of the Seattle Science Foundation, PATH, Inc., and the American Clinical Laboratory Association, and on the Board of Trustees of Elon University and Durham Academy. Mr. King has over 10 years’ experience with the Company in a variety of roles of increasing responsibility in corporate operations, strategic planning, and corporate administration. Mr. King has a deep understanding of the commercial laboratory industry, business strategy, sales and marketing and executive management of the Company and its operations.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Kerrii B. Anderson</w:t>
      </w:r>
      <w:r>
        <w:rPr>
          <w:rFonts w:ascii="Times New Roman" w:cs="Times New Roman" w:eastAsia="Times New Roman" w:hAnsi="Times New Roman"/>
          <w:sz w:val="25"/>
          <w:szCs w:val="25"/>
          <w:color w:val="auto"/>
          <w:vertAlign w:val="superscript"/>
        </w:rPr>
        <w:t>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Mrs. Anderson (59) has served as a director of the Company since May 17, 2006. Ms. Anderson was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Wendy’s International, Inc., a restaurant operating and franchising company, from April 2006 until September 2008, when the company was merged with Triarc. Ms. Anderson served as Executive Vice President and Chief Financial Officer of Wendy’s International from 2000 to 2006. Prior to this position, she was Chief Financial Officer, Senior Vice President of M/I Schottenstein Homes, Inc. from 1987 to 2000. Ms. Anderson served as the Chairwoman of the Board of Chiquita Brands International Inc. from October 2012 until the Company was sold on January 6, 2015, and was the Chairwoman of the Nominating and Corporate Governance Committee and a Member of the Audit Committee. She is also a director and a member of the Compensation Committee and Audit Committee of Worthington Industries, Inc. Ms. Anderson serves on the financial committee of Columbus Foundation, on the Board of Ohio Health and chairs the Finance and Audit Committee, is the Chairman of the Board of Trustees for Elon University, and a member of the Audit Committee for Elon. She also was a director of PF Chang’s China Bistro, Inc. from 2010 until June 2012 and Wendy’s International from 2006 until September 30, 2008. She has a strong record of leadership in operations and strategy. Ms. Anderson is also an audit committee financial expert as a result of her experience as CEO and CFO of Wendy’s International, Inc. Through her service on other public company boards, Ms. Anderson brings extensive financial, corporate governance and executive compensation experience to the Company’s Board.</w:t>
      </w:r>
    </w:p>
    <w:p>
      <w:pPr>
        <w:spacing w:after="0" w:line="218"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b w:val="1"/>
          <w:bCs w:val="1"/>
          <w:color w:val="auto"/>
        </w:rPr>
        <w:t>Jean-Luc Bélingard</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Mr. Bélingard (68) has served as a director of the Company since April 28, 1995. Since 2011, Mr. Bélingard has been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bioMérieux, the worldwide leader of the IVD microbiology segment. Mr. Bélingard also served as Chief</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Executive Officer of bioMérieux from July 2011 to April 2014. Mr. Bélingard retired as Chairman and Chief Executive Officer of Ipsen SA, a diversified French healthcare holding company, on November 22, 2010. He had served in that position since 2002. Prior to this position, Mr. Bélingard was Chief Executive Officer from 1999 to 2001 of bioMérieux-Pierre Fabre, a diversified French healthcare holding company, where his responsibilities included the management of that company’s worldwide pharmaceutical and cosmetic business. From 1990 to 1999, Mr. Bélingard was CEO of Roche Diagnostics and a member of the Hoffman La Roche group Executive Committee. Mr. Bélingard is a director of three non-US public companies: Stallergenes Greer (U.K.) since 2011, of Laboratoire Pierre Fabre (France) since 2013, and Lupin Limited (India) since October 27, 2015. Mr. Bélingard holds directorships at various Institut Mérieux Group companies, in particular at Institut Mérieux, the Group’s parent company, and at Transgene SA. Mr. Bélingard is a member of the Bill and Melinda Gates Foundation CEO Roundtable. Mr. Bélingard has been Chairman of “FEFIS”, the French Federation of Health Industries (Fédération Française des Industries de Santé) since 2016, and, since January 2017, he has been a member of the Conseil National de l’Industrie (C.N.I.) chaired by the French government. Mr. Bélingard’s long tenure at Roche, Ipsen and bioMérieux demonstrates his valuable business, leadership and management experience, including leading a large organization with global operations. He brings a strong strategic and operational background to the Company’s Board. He also brings an important international perspective to the Board’s deliberations. Mr. Bélingard has extensive corporate governance experience through his service on other public company boards.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D. Gary Gilliland, M.D., Ph.D.</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Dr. Gilliland (62) has served as a director of the Company since April 1, 2014. Since January 2, 2015, Dr. Gilliland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President and Director of the NCI-designated Fred Hutchinson Cancer Research Center in Seattle, WA. Prior to that, he was the inaugural Vice Dean and Vice President for Precision Medicine at the University of Pennsylvania Perelman School of Medicine, where he was responsible for synthesizing research and clinical-care initiatives across all medical disciplines including cancer, heart and vascular medicine, neurosciences, genetics and pathology, in order to create a national model for the delivery of precise, personalized medicine. From 2009 until he joined Penn Medicine in October 2013, Dr. Gilliland was Senior Vice President of Merck Research Laboratories and Oncology Franchise Head. At Merck, Dr. Gilliland oversaw first-in-human studies, proof-of-concept trials, and Phase II/III registration trials, and managed all preclinical and clinical oncology licensing activities. Prior to joining Merck, Dr. Gilliland was a member of the faculty at Harvard Medical School for nearly 20 years, where he served as Professor of Medicine and a Professor of Stem Cell and Regenerative Biology. He was also an Investigator of the Howard Hughes Medical Institute from 1996 to 2009, Director of the Leukemia Program at the Dana-Farber/Harvard Cancer Center from 2002 to 2009, and Director of the Cancer Stem Cell Program of the Harvard Stem Cell Institute from 2004 to 2009. Dr. Gilliland has a Ph.D. in Microbiology from UCLA and an M.D. from UCSF. He is board-certified in Internal Medicine and had his Fellowship training in Hematology and Oncology, all at Harvard Medical School. Dr. Gilliland’s expertise in cancer genetics and his experience working within medical communities ranging from academia to the pharmaceutical industry position him to provide a practical and balanced perspective to the Board.</w:t>
      </w: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Garheng Kong, M.D., Ph.D.</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Dr. Kong (41) has served as a director of the Company since December 1, 2013. Dr. Kong is the Managing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HealthQuest Capital, a healthcare focused investment firm, and was previously a general partner at Sofinnova Ventures, a position he held from 2010 to 2013. Before joining Sofinnova, Dr. Kong was a general partner from 2000 to 2010 at Intersouth Partners, a venture capital firm where he was a founding investor or board member for various life science ventures, several of which were acquired by large pharmaceutical companies. Prior to his investing career, Dr. Kong was employed by GlaxoSmithKline, McKinsey &amp; Company, and TherOx. Dr. Kong has served on the board of directors of Histogenics Corporation, a public biotechnology company where he also serves as the Chairman of the Board, since 2012. Since November 2008, Dr. Kong has been the Chairman of the Board of Cempra Pharmaceuticals, where he has been a board member since September 2006. Dr. Kong has been on the board of Alimera Sciences since October 2012, Stonebridge Biopharma since September 2015, and sits on the Duke University Medical Center Board of Visitors. Dr. Kong holds an M.D., Ph.D. in Biomedical Engineering and an M.B.A. from Duke University. Dr. Kong brings to the Board knowledge and experience in both the healthcare and finance fields based on his medical background and his work in life science-related venture capital.</w:t>
      </w:r>
    </w:p>
    <w:p>
      <w:pPr>
        <w:spacing w:after="0" w:line="2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Robert E. Mittelstaedt, Jr</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Mr. Mittelstaedt, Jr. (73) has served as a director of the Company since November 1996. Mr. Mittelstaedt is Dean Emeritus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 P. Carey School of Business at Arizona State University where he served as Dean and Professor of Management from 2004 to 2013. Prior to June 30, 2004, he was Vice Dean, Executive Education of the Wharton School, University of Pennsylvania. Mr. Mittelstaedt had served with the Wharton School since 1973, except for the period from 1985 to 1989 when he founded, served as Chief Executive Officer, and subsequently sold Intellego, Inc., a company engaged in practice management, systems development, and service bureau billing operations in the medical industry. Mr. Mittelstaedt also serves as a director and Nominating and Governance Committee chair of Innovative Solutions &amp; Support, Inc. He served on the Board and was the Compensation Committee chair of W.P. Carey, Inc. until his retirement on September 21, 2016. Mr. Mittelstaedt brings to the Board experience as a recognized expert in business strategy, corporate governance and executive compensation issues. Mr. Mittelstaedt serves as the Board’s Lead Independent Director and brings a deep understanding of the role of the Board and its oversight of corporate governance and business strategy.</w:t>
      </w:r>
    </w:p>
    <w:p>
      <w:pPr>
        <w:spacing w:after="0" w:line="22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color w:val="auto"/>
        </w:rPr>
        <w:t>Peter M. Neupert</w:t>
      </w:r>
      <w:r>
        <w:rPr>
          <w:rFonts w:ascii="Times New Roman" w:cs="Times New Roman" w:eastAsia="Times New Roman" w:hAnsi="Times New Roman"/>
          <w:sz w:val="25"/>
          <w:szCs w:val="25"/>
          <w:color w:val="auto"/>
          <w:vertAlign w:val="superscript"/>
        </w:rPr>
        <w:t>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Mr. Neupert (60) has served as a director of the Company since January 2013. Mr. Neupert was an Operating Partner at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Evolution Partners, a health only, middle market private equity firm, from January 2012 until June 2015. Prior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that, Mr. Neupert served as Corporate Vice President of the Microsoft Health Solutions Group from its formation in 2005 to January 2012. Mr. Neupert served on the President’s Information Technology Advisory Committee (PITAC), co-chairing the Health Information Technology subcommittee and helping to drive the “Revolutionizing Health Care Through Information Technology” report, published in June 2004. Mr. Neupert served as the founding President and Chief Executive Officer of drugstore.com from 1998 to 2001 and as Chairman of the board of directors through September 2004. Mr. Neupert is also a director of Clinithink Ltd, Adaptive Biotechnologies, Inc. and higi LLC. He served on the board of directors of QSI from August 2013 to January 2014 and Freedom Innovations LLC, from March 2013 to April 2016. He serves as a trustee for the Fred Hutchinson Cancer Research Center and was an active member of the Institute of Medicine’s Roundtable on Value &amp; Science-Driven Healthcare from 2007 to 2011. Mr. Neupert brings to the Board experience as a recognized expert in health information technology and perspective on how to grow shareholder value leveraging business strategies with technology. Mr. Neupert is an audit committee financial expert as a result of his experience, including his experience as CEO and Chairman of drugstore.com. His prior experience as a public company CEO and board member of both private and public companies brings practical insight to the Board with respect to business strategy, corporate governance and emerging trends in healthcare. Mr. Neupert’s previous business experience also enables him to provide the Board with an understanding of businesses and services adjacent to the diagnostic testing industry.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Richelle Parham - </w:t>
      </w:r>
      <w:r>
        <w:rPr>
          <w:rFonts w:ascii="Times New Roman" w:cs="Times New Roman" w:eastAsia="Times New Roman" w:hAnsi="Times New Roman"/>
          <w:sz w:val="18"/>
          <w:szCs w:val="18"/>
          <w:color w:val="auto"/>
        </w:rPr>
        <w:t>Ms. Parham (49) has served as a director of the Company since February 8, 2016. In October 2016, Ms. Parham joined Camden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private equity firm, as a General Partner focusing on investments in growth stage global consumer companies. Prior to Camden Partners, Ms. Parham served as Vice President, Chief Marketing Officer of eBay from November 2010 to March 2015. Ms. Parham was responsible, globally, for eBay brand strategy and brand marketing, to reach 108+ million active eBay users, Internet marketing and CRM. Prior to joining eBay, Ms. Parham served as head of Global Marketing Innovation and Initiatives and head of Global Marketing Services at Visa, Inc. from 2008 to 2010. Her experience also includes 13 years at Digitas, Inc., a leading marketing agency, where she held a variety of senior leadership roles, including Senior Vice President and General Manager of the agency's Chicago office. An advocate of empowering female leaders through STEM programs, Ms. Parham is on the advisory board for Girls Who Code. She serves on the board of directors for Scripps Network Interactive Inc. (NYSE:SNI), a position she has held since 2012. Ms. Parham holds double Bachelor of Science degrees in Business Administration and Design Arts from Drexel University. She became a member of the Drexel University Board of Trustees in 2014. Ms. Parham brings to the Board extensive senior-level executive experience and more than 20 years of global strategy and marketing experience, as well as expertise in understanding consumers and the consumer decision journey.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Adam H. Schechter</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Mr. Schechter (52) has served as a director of the Company since April 1, 2013. Mr. Schechter is an Executive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Merck &amp; Co., Inc. and since 2010 has been President of Merck’s Global Human Health Division, which includes the company’s worldwide pharmaceutical and vaccine businesses. He is a member of Merck’s executive committee and pharmaceutical and vaccines operating committee. Prior to becoming President, Global Human Health, Mr. Schechter served as President, Global Pharmaceutical Business from 2007 to 2010. Mr. Schechter’s extensive experience at Merck includes global and U.S.-focused leadership roles spanning sales, marketing, and managed markets, as well as business and product development. Mr. Schechter serves on the board of directors for the European Federation of Pharmaceutical Industries and Associations. He is a Board Member for Water.org and an Executive Board Member for the National Alliance for Hispanic Health. Mr. Schechter brings to the Board global business acumen and general management experience, as well as demonstrated success in leading large, innovation-focused organizations. Mr. Schechter’s deep knowledge of the pharmaceutical and healthcare industries and extensive experience collaborating with many of its key stakeholders to achieve patient-focused outcomes brings practical insight to the Board with respect to business strategies to service the changing healthcare environment.</w:t>
      </w:r>
    </w:p>
    <w:p>
      <w:pPr>
        <w:spacing w:after="0" w:line="2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R. Sanders Williams, M.D</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Dr. Williams, M.D. (67) has served as a director of the Company since May 16, 2007. Dr. Williams is President of The 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David Gladstone Institutes and Professor of Medicine at the University of California San Francisco. Prior to this appointment, Dr. Williams served Duke University between 2001 and 2010 as Dean of the School of Medicine, Senior Vice Chancellor, Senior Advisor for International Strategy, and founding Dean of the Duke-NUS Graduate Medical School Singapore. He has served previously as President of the Association of University Cardiologists, Chairman of the Research Committee of the American Heart Association, on the editorial boards of leading biomedical journals, on the Advisory Committee to the Director of the National Institutes of Health and on the Board of External Advisors of the National Heart, Lung and Blood Institute. Dr. Williams was a director of Bristol-Meyers Squibb Company from 2006 until May 2013 and has been a director of Amgen since October 2014. Dr. Williams is a member of the National Academy of Medicine, and a Fellow of the American Association for the Advancement of Science. His experience as a physician, biomedical scientist, and executive leader brings important perspective to his service to the Company as a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Committees:</w:t>
      </w:r>
    </w:p>
    <w:p>
      <w:pPr>
        <w:spacing w:after="0" w:line="78" w:lineRule="exact"/>
        <w:rPr>
          <w:sz w:val="20"/>
          <w:szCs w:val="20"/>
          <w:color w:val="auto"/>
        </w:rPr>
      </w:pPr>
    </w:p>
    <w:p>
      <w:pPr>
        <w:ind w:left="100" w:hanging="92"/>
        <w:spacing w:after="0"/>
        <w:tabs>
          <w:tab w:leader="none" w:pos="10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Audit</w:t>
      </w:r>
    </w:p>
    <w:p>
      <w:pPr>
        <w:ind w:left="100" w:hanging="92"/>
        <w:spacing w:after="0" w:line="187" w:lineRule="auto"/>
        <w:tabs>
          <w:tab w:leader="none" w:pos="10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Compensation</w:t>
      </w:r>
    </w:p>
    <w:p>
      <w:pPr>
        <w:ind w:left="100" w:hanging="92"/>
        <w:spacing w:after="0" w:line="180" w:lineRule="auto"/>
        <w:tabs>
          <w:tab w:leader="none" w:pos="1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Quality and Compliance</w:t>
      </w:r>
    </w:p>
    <w:p>
      <w:pPr>
        <w:ind w:left="100" w:hanging="92"/>
        <w:spacing w:after="0" w:line="188" w:lineRule="auto"/>
        <w:tabs>
          <w:tab w:leader="none" w:pos="10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Nominating and Corporate Governance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David P. King </w:t>
      </w:r>
      <w:r>
        <w:rPr>
          <w:rFonts w:ascii="Times New Roman" w:cs="Times New Roman" w:eastAsia="Times New Roman" w:hAnsi="Times New Roman"/>
          <w:sz w:val="18"/>
          <w:szCs w:val="18"/>
          <w:color w:val="auto"/>
        </w:rPr>
        <w:t>- Mr. King (60) serves as Chairman of the Board, President, and Chief Executive Officer. Refer to the biography above in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section.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Glenn A. Eisenberg - </w:t>
      </w:r>
      <w:r>
        <w:rPr>
          <w:rFonts w:ascii="Times New Roman" w:cs="Times New Roman" w:eastAsia="Times New Roman" w:hAnsi="Times New Roman"/>
          <w:sz w:val="18"/>
          <w:szCs w:val="18"/>
          <w:color w:val="auto"/>
        </w:rPr>
        <w:t>Mr. Eisenberg (55) has served as Executive Vice President, Chief Financial Officer since June 2014. Mr. Eisenberg received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Bachelors of Arts degree from Tulane University in 1982 and his Master of Business Administration from Georgia State University in 1988. From 2002 until he joined the Company, he served as the Executive Vice President, Finance and Administration and Chief Financial Officer at The Timken Company, a $4.3 billion leading global manufacturer of highly engineered bearings and alloy steels and related products and services. Previously, he served as President and Chief Operating Officer of United Dominion Industries, now a subsidiary of SPX Corporation after working in several roles in finance, including Executive Vice President and Chief Financial Officer of United Dominion. Mr. Eisenberg served on the boards of directors of Family Dollar Stores Inc. until July 2015, where he chaired the Audit Committee, and Alpha Natural Resources Inc. until May 2015, where he was the lead independent director and chaired the Nominating and Corporate Governance Committee.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D. Ratliff - </w:t>
      </w:r>
      <w:r>
        <w:rPr>
          <w:rFonts w:ascii="Times New Roman" w:cs="Times New Roman" w:eastAsia="Times New Roman" w:hAnsi="Times New Roman"/>
          <w:sz w:val="18"/>
          <w:szCs w:val="18"/>
          <w:color w:val="auto"/>
        </w:rPr>
        <w:t>Mr. Ratliff (57) is CEO of Covance Drug Development. Mr. Ratliff is a highly respected biopharmaceutical leader, with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increasingly important roles in the industry. Most recently, he served as president and CEO of HUYA Bioscience International, a leader in globalizing biopharma innovation. Mr. Ratliff’s experience in biopharma also includes nearly 10 years at Quintiles, joining as chief financial officer in 2004, becoming chief operating officer in 2006, and president and COO in 2010. He led Quintiles’ global services organization, with its clinical research, commercial, consulting, and lab operations, and was a member of the company’s board of directors. Previous roles throughout his career also include serving as chief financial officer at Acterna, a provider of communications test solutions for telecommunications and cable network operators; and in positions of increasing responsibility during his 19-year tenure at IBM. Mr. Ratliff holds a bachelor’s degree in industrial and systems engineering, summa cum laude, from the Georgia Institute of Technology in Atlanta and a master’s degree in business administration from Duke University in Durham, North Carolina.</w:t>
      </w:r>
    </w:p>
    <w:p>
      <w:pPr>
        <w:spacing w:after="0" w:line="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Lance V. Berberian - </w:t>
      </w:r>
      <w:r>
        <w:rPr>
          <w:rFonts w:ascii="Times New Roman" w:cs="Times New Roman" w:eastAsia="Times New Roman" w:hAnsi="Times New Roman"/>
          <w:sz w:val="18"/>
          <w:szCs w:val="18"/>
          <w:color w:val="auto"/>
        </w:rPr>
        <w:t>Mr. Berberian (54) has served as Senior Vice President, Chief Information Officer since February 2014. Prior to that,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Information Officer at IDEXX Laboratories, a global leader in diagnostics and IT solutions for animal health and food and water quality, from May 2007 to January 2014. Mr. Berberian served as Chief Information Officer and President of Kellstrom Aerospace Defense, a fully integrated supply chain firm, from January 2000 to April 2007. He also served as Chief Information Officer of Interim Healthcare from September 1997 to January 2000.</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Edward T. Dodson - </w:t>
      </w:r>
      <w:r>
        <w:rPr>
          <w:rFonts w:ascii="Times New Roman" w:cs="Times New Roman" w:eastAsia="Times New Roman" w:hAnsi="Times New Roman"/>
          <w:sz w:val="18"/>
          <w:szCs w:val="18"/>
          <w:color w:val="auto"/>
        </w:rPr>
        <w:t>Mr. Dodson (63) has served as Senior Vice President, Chief Accounting Officer since June 2005. He also has served as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Officer since December 2014. Mr. Dodson, who has been a Certified Public Accountant for 33 years, joined the Company in August 1997 as Vice President and Corporate Controller and became Senior Vice President in June 2001. Prior to joining the Company in 1997, Mr. Dodson was a senior manager in the audit and consulting practice of KPMG, LLP., where he worked for 17 years in that firm's Greensboro, NC and Brussels, Belgium offices.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 Samuel Eberts III - </w:t>
      </w:r>
      <w:r>
        <w:rPr>
          <w:rFonts w:ascii="Times New Roman" w:cs="Times New Roman" w:eastAsia="Times New Roman" w:hAnsi="Times New Roman"/>
          <w:sz w:val="18"/>
          <w:szCs w:val="18"/>
          <w:color w:val="auto"/>
        </w:rPr>
        <w:t>Mr. Eberts (57) has served as Senior Vice President, Chief Legal Officer, Secretary and Chief Compliance Officer since January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2009. Prior to that time he served as Senior Vice President, General Counsel since August 2004. Prior to joining the Company, he was Vice President, Secretary, and General Counsel of Stepan Company. Before joining Stepan Company, he was Assistant General Counsel for Cardinal Health, Inc. from 1998 to 2001 and Associate General Counsel for Allegiance Healthcare Corporation (Allegiance Healthcare Corporation was purchased by Cardinal Health in 1998). Prior to that time, he was Chief Counsel of the Biotech North America division of Baxter International Inc.</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Lisa J. Uthgenannt - </w:t>
      </w:r>
      <w:r>
        <w:rPr>
          <w:rFonts w:ascii="Times New Roman" w:cs="Times New Roman" w:eastAsia="Times New Roman" w:hAnsi="Times New Roman"/>
          <w:sz w:val="18"/>
          <w:szCs w:val="18"/>
          <w:color w:val="auto"/>
        </w:rPr>
        <w:t>Mrs. Uthgenannt (56) has served as Chief Human Resources Officer since March 2015. Prior to that she served as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Human Resources for Covance since November 2010. Prior to joining Covance, Ms. Uthgenannt held numerous leadership positions at Johnson &amp; Johnson, in both medical devices and pharmaceutical businesses since 2000. In her last role as Vice President, Human Resources for the Comprehensive Care sector, she served as a key advisor and executive coach to the Worldwide Chairman, helping to define the initial strategies and plans to advance the corporation’s comprehensive approach to chronic disease management. She also led the organization in designing and implementing a streamlined business model to increase product pipeline performance and accelerated growth opportunities.</w:t>
      </w:r>
    </w:p>
    <w:p>
      <w:pPr>
        <w:spacing w:after="0" w:line="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2017 Proxy Statement under the captions “Executive Compensation” and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1300" w:right="24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See “Note 14 to the Consolidated Financial Statements” for a discussion of the Company’s Stock Compensation Plans. Except for the above referenced footnote, the information called for by this item is incorporated by reference to information in the 2017 Proxy Statement under the captions “Security Ownership of Certain Beneficial Holders and Management,” “Compensation Discussion and Analysis” and “Executive Compensation.”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2017 Proxy Statement under the captions “Board Independence” and “Related Party Transactions.”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information in the 2017 Proxy Statement under the caption “Fees to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171" w:lineRule="exact"/>
        <w:rPr>
          <w:rFonts w:ascii="Times New Roman" w:cs="Times New Roman" w:eastAsia="Times New Roman" w:hAnsi="Times New Roman"/>
          <w:sz w:val="18"/>
          <w:szCs w:val="18"/>
          <w:color w:val="auto"/>
        </w:rPr>
      </w:pPr>
    </w:p>
    <w:p>
      <w:pPr>
        <w:ind w:left="640" w:right="1299" w:hanging="605"/>
        <w:spacing w:after="0" w:line="454" w:lineRule="auto"/>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 Report of Independent Registered Public Accounting Firm included herein: See Index on page F-1</w:t>
      </w:r>
    </w:p>
    <w:p>
      <w:pPr>
        <w:ind w:left="640" w:right="7319" w:hanging="605"/>
        <w:spacing w:after="0" w:line="480" w:lineRule="auto"/>
        <w:tabs>
          <w:tab w:leader="none" w:pos="6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See Index on page F-1</w:t>
      </w:r>
    </w:p>
    <w:p>
      <w:pPr>
        <w:spacing w:after="0" w:line="1" w:lineRule="exact"/>
        <w:rPr>
          <w:rFonts w:ascii="Times New Roman" w:cs="Times New Roman" w:eastAsia="Times New Roman" w:hAnsi="Times New Roman"/>
          <w:sz w:val="17"/>
          <w:szCs w:val="17"/>
          <w:color w:val="auto"/>
        </w:rPr>
      </w:pPr>
    </w:p>
    <w:p>
      <w:pPr>
        <w:ind w:left="640" w:right="239"/>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All other schedules are omitted as they are inapplicable or the required information is furnished in the Consolidated Financial Statements or notes thereto.</w:t>
      </w:r>
    </w:p>
    <w:p>
      <w:pPr>
        <w:spacing w:after="0" w:line="121" w:lineRule="exact"/>
        <w:rPr>
          <w:rFonts w:ascii="Times New Roman" w:cs="Times New Roman" w:eastAsia="Times New Roman" w:hAnsi="Times New Roman"/>
          <w:sz w:val="17"/>
          <w:szCs w:val="17"/>
          <w:color w:val="auto"/>
        </w:rPr>
      </w:pPr>
    </w:p>
    <w:p>
      <w:pPr>
        <w:ind w:left="640" w:hanging="605"/>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and List of Exhibits</w:t>
      </w:r>
    </w:p>
    <w:p>
      <w:pPr>
        <w:spacing w:after="0" w:line="374" w:lineRule="exact"/>
        <w:rPr>
          <w:sz w:val="20"/>
          <w:szCs w:val="20"/>
          <w:color w:val="auto"/>
        </w:rPr>
      </w:pPr>
    </w:p>
    <w:p>
      <w:pPr>
        <w:ind w:left="5620" w:right="1839" w:hanging="5615"/>
        <w:spacing w:after="0" w:line="564" w:lineRule="auto"/>
        <w:rPr>
          <w:sz w:val="20"/>
          <w:szCs w:val="20"/>
          <w:color w:val="auto"/>
        </w:rPr>
      </w:pPr>
      <w:r>
        <w:rPr>
          <w:rFonts w:ascii="Times New Roman" w:cs="Times New Roman" w:eastAsia="Times New Roman" w:hAnsi="Times New Roman"/>
          <w:sz w:val="18"/>
          <w:szCs w:val="18"/>
          <w:color w:val="auto"/>
        </w:rPr>
        <w:t>Exhibits 10.1 through 10.32 and 10.38 and 10.39 are management contracts or compensatory plans or arrangements. 70</w:t>
      </w:r>
    </w:p>
    <w:p>
      <w:pPr>
        <w:sectPr>
          <w:pgSz w:w="11900" w:h="16838" w:orient="portrait"/>
          <w:cols w:equalWidth="0" w:num="1">
            <w:col w:w="10219"/>
          </w:cols>
          <w:pgMar w:left="240" w:top="121" w:right="1440"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 Purchase Agreement, dated as of September 13, 2010, between the Company and Genzyme Corporation (incorporated herein by</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2.1 to the Company's Current Report on Form 8-K filed on September 16, 2010).</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Agreement and Plan of Merger, dated as of November 2, 2014, among the Company, Covance, Inc. and Neon Merger Sub, Inc. (incorporated</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herein by reference to Exhibit 2.1 to the Company's Current Report on Form 8-K filed on November 3, 2014).</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Company dated May 24, 2001 (incorporated herein by reference to Exhibit 3.1 to</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Registration Statement on Form S-3, filed with the Commission on October 19, 2001, File No. 333-71896).</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By-Laws of the Company dated January 4, 2017. *</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Specimen of the Company's Common Stock Certificate (incorporated herein by reference to Exhibit 4.1 to the Company's Annual Report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10-K for the fiscal year ended December 31, 2001).</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 dated as of January 28, 2003 between the Company and the Initial Purchasers (incorporated herein by</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with the Commission on February 3, 2003).</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Indenture, dated as of January 31, 2003 between the Company and Wachovia Bank, National Association, as trustee (incorporated herein by</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4.1 to the Company's Current Report on Form 8-K, filed with the Commission on February 3, 2003).</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Indenture dated as of December 5, 2005, between the Company and The Bank of New York Trust Company, N.A., as trustee (Senior Debt</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Securities) (incorporated herein by reference to Exhibit 4.1 to the Company's Current Report on Form 8-K filed on December 14, 2005).</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Indenture, dated as of October 23, 2006, between the Company and The Bank of New York, as trustee, including the Form of Global Note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attached as Exhibit A thereto (incorporated herein by reference to Exhibit 4.1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October 24, 2006).</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Indenture, dated as of November 19, 2010, between the Company and U.S. Bank National Association, as trustee (incorporated herein by</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4.1 to the Company's Current Report on Form 8-K filed on November 19, 2010).</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 Supplemental Indenture, dated as of November 19, 2010,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2016 Notes (incorporated herein by reference to Exhibit 4.2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November 19, 2010).</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Second Supplemental Indenture, dated as of November 19, 2010,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2020 Notes (incorporated herein by reference to Exhibit 4.3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November 19, 2010).</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Third Supplemental Indenture, dated as of August 23, 2012, between the Company and U.S. Bank National Association, as trustee, including</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form of the 2017 Notes (incorporated herein by reference to Exhibit 4.2 to the Company's Current Report on Form 8-K filed on August</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 2012).</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Fourth Supplemental Indenture, dated as of August 23, 2012,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2022 Notes (incorporated herein by reference to Exhibit 4.3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August 23, 2012).</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Fifth Supplemental Indenture, dated as of November 1, 2013,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2018 Notes (incorporated herein by reference to Exhibit 4.2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November 1, 2013).</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Sixth Supplemental Indenture, dated as of November 1, 2013,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2023 Notes (incorporated herein by reference to Exhibit 4.3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November 1, 2013).</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Seventh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2020 Notes (incorporated herein by reference to Exhibit 4.2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30, 2015).</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Eighth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2022 Notes (incorporated herein by reference to Exhibit 4.3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30, 2015).</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2025 Notes (incorporated herein by reference to Exhibit 4.4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30, 2015).</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Tenth Supplemental Indenture, dated as of January 30, 2015, between the Company and U.S. Bank National Association, as trustee,</w:t>
            </w:r>
          </w:p>
        </w:tc>
      </w:tr>
      <w:tr>
        <w:trPr>
          <w:trHeight w:val="216"/>
        </w:trPr>
        <w:tc>
          <w:tcPr>
            <w:tcW w:w="72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including the form of the 2045 Notes (incorporated herein by reference to Exhibit 4.5 to the Company's Current Report on Form 8-K filed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30, 2015).</w:t>
            </w:r>
          </w:p>
        </w:tc>
      </w:tr>
      <w:tr>
        <w:trPr>
          <w:trHeight w:val="25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National Health Laboratories Incorporated Pension Equalization Plan (incorporated herein by reference to the Company's Annual Report on</w:t>
            </w:r>
          </w:p>
        </w:tc>
      </w:tr>
      <w:tr>
        <w:trPr>
          <w:trHeight w:val="234"/>
        </w:trPr>
        <w:tc>
          <w:tcPr>
            <w:tcW w:w="720" w:type="dxa"/>
            <w:vAlign w:val="bottom"/>
          </w:tcPr>
          <w:p>
            <w:pPr>
              <w:spacing w:after="0"/>
              <w:rPr>
                <w:sz w:val="20"/>
                <w:szCs w:val="20"/>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10-K for the fiscal year ended December 31, 1992).</w:t>
            </w: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60"/>
          </w:cols>
          <w:pgMar w:left="240" w:top="121" w:right="29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86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Index</w:t>
              </w:r>
            </w:hyperlink>
          </w:p>
        </w:tc>
        <w:tc>
          <w:tcPr>
            <w:tcW w:w="10540" w:type="dxa"/>
            <w:vAlign w:val="bottom"/>
          </w:tcPr>
          <w:p>
            <w:pPr>
              <w:spacing w:after="0"/>
              <w:rPr>
                <w:sz w:val="17"/>
                <w:szCs w:val="17"/>
                <w:color w:val="auto"/>
              </w:rPr>
            </w:pPr>
          </w:p>
        </w:tc>
      </w:tr>
      <w:tr>
        <w:trPr>
          <w:trHeight w:val="840"/>
        </w:trPr>
        <w:tc>
          <w:tcPr>
            <w:tcW w:w="42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Laboratory Corporation of America Holdings amended and restated new Pension Equalization Plan (incorporated herein by reference to</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for the period ended September 30, 2004).</w:t>
            </w: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1"/>
                <w:szCs w:val="21"/>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Amendment to the Laboratory Corporation of America Holdings amended and restated new Pension Equalization Plan (incorporated</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herein by reference to Exhibit 10.2 to the Company's Quarterly Report on Form 10-Q for the period ended September 30, 2004).</w:t>
            </w: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1"/>
                <w:szCs w:val="21"/>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Amendment to the Laboratory Corporation of America Holdings amended and restated new Pension Equalization Plan.</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herein by reference to Exhibit 10.4 to the Company's Annual Report on Form 10-K for the fiscal year ended December 31,</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2004).</w:t>
            </w: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1"/>
                <w:szCs w:val="21"/>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National Health Laboratories 1988 Stock Option Plan, as amended (incorporated herein by reference to the Company's Registration</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Statement on Form S-1, filed with the Commission on July 9, 1990, File No. 33-35782).</w:t>
            </w: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1"/>
                <w:szCs w:val="21"/>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National Health Laboratories 1994 Stock Option Plan (incorporated herein by reference to Exhibit 4.1 to the Company's Registration</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Statement on Form S-8, filed with the Commission on August 12, 1994, File No. 33-55065).</w:t>
            </w: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1"/>
                <w:szCs w:val="21"/>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Laboratory Corporation of America Holdings Senior Executive Transition Policy (incorporated herein by reference to Exhibit 10.1 to the</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Company's Quarterly Report on Form 10-Q for the period ended June 30, 2004).</w:t>
            </w: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1"/>
                <w:szCs w:val="21"/>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Laboratory Corporation of America Holdings 1995 Stock Plan for Non-Employee Directors (incorporated herein by reference Exhibit 4.c to</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Company's Registration Statement on Form S-8, filed with the Commission on September 26, 1995, File No. 33-62913).</w:t>
            </w: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21"/>
                <w:szCs w:val="21"/>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Amendment to Laboratory Corporation of America Holdings 1995 Stock Plan for Non-Employee Directors (incorporated herein by</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Annex II to the Company's Definitive Proxy Statement on Schedule 14A, filed with the Commission on June 6, 1997).</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Second Amendment to the Laboratory Corporation of America Holdings 1995 Stock Plan for Non-Employee Directors (incorporated herein</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 reference to Annex I of the Company's Definitive Proxy Statement on Schedule 14A, filed with the Commission on April 25, 2001).</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Laboratory Corporation of America Holdings Amended and Restated 1999 Stock Incentive Plan (incorporated herein by reference to Annex</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 to the Company's Definitive Proxy Statement on Schedule 14A filed with the Commission on May 3, 1999).</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Laboratory Corporation of America Holdings 2000 Stock Incentive Plan (incorporated herein by reference to Exhibit 4.3 to the Company's</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Statement on Form S-8, filed with the Commission on June 5, 2000, File No. 333-38608).</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Laboratory Corporation of America Holdings 2000 Stock Incentive Plan as Amended and Restated April 3, 2002, (incorporated herein by</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Exhibit 4.1 to the Company's Registration Statement on Form S-8, filed with the Commission on June 19, 2002, File No. 333-</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90764).</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Dynacare Inc., Amended and Restated Employee Stock Option Plan (incorporated herein by reference to Exhibit 10.1 to the Company's</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Statement on Form S-8, filed with the Commission on August 7, 2002, File No. 333-97745).</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DIANON Systems, Inc. 1996 Stock Incentive Plan (incorporated herein by reference to Exhibit 10.1 the Company's Registration Statement</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Form S-8, filed with the Commission on January 21, 2003, File No. 333-102602).</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DIANON Systems, Inc. 1999 Stock Incentive Plan (incorporated herein by reference to Exhibit 10.2 the Company's Registration Statement</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Form S-8, filed with the Commission on January 21, 2003, File No. 333-102602).</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DIANON Systems, Inc. 2000 Stock Incentive Plan(incorporated herein by reference to Exhibit 10.3 to the Company's Registration</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Statement on Form S-8, filed with the Commission on January 21, 2003, File No. 333-102602).</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DIANON Systems, Inc. 2001 Stock Incentive Plan (incorporated herein by reference Exhibit 10.4 to the Company's Registration Statement</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Form S-8, filed with the Commission on January 21, 2003, File No. 333-102602).</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UroCor, Inc. Second Amended and Restated 1992 Stock Option Plan (incorporated herein by reference Exhibit 10.5 to the Company's</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Statement on Form S-8, filed with the Commission on January 21, 2003, File No. 333-102602).</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Laboratory Corporation of America Holdings Deferred Compensation Plan (incorporated herein by reference to Exhibit 10.22 the</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Company's Annual Report on Form 10-K for the fiscal year ended December 31, 2004).</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Amendment to the Laboratory Corporation of America Holdings Deferred Compensation Plan (incorporated herein by reference to</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10.23 to the Company's Annual Report on Form 10-K for the fiscal year ended December 31, 2004).</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Amendment to the Laboratory Corporation of America Holdings Deferred Compensation Plan (incorporated herein by reference to</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10.8 to the Company's Quarterly Report on Form 10-Q for the period ended June 30, 2005).</w:t>
            </w:r>
          </w:p>
        </w:tc>
      </w:tr>
      <w:tr>
        <w:trPr>
          <w:trHeight w:val="252"/>
        </w:trPr>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Third Amendment to the Laboratory Corporation of America Amended and Restated New Pension Equalization Plan (incorporated herein</w:t>
            </w:r>
          </w:p>
        </w:tc>
      </w:tr>
      <w:tr>
        <w:trPr>
          <w:trHeight w:val="234"/>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 reference Exhibit 10 to the Company's Quarterly Report on Form 10-K for the period ended June 30, 2005).</w:t>
            </w:r>
          </w:p>
        </w:tc>
      </w:tr>
      <w:tr>
        <w:trPr>
          <w:trHeight w:val="486"/>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54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72</w:t>
            </w:r>
          </w:p>
        </w:tc>
      </w:tr>
    </w:tbl>
    <w:p>
      <w:pPr>
        <w:sectPr>
          <w:pgSz w:w="11900" w:h="16838" w:orient="portrait"/>
          <w:cols w:equalWidth="0" w:num="1">
            <w:col w:w="11400"/>
          </w:cols>
          <w:pgMar w:left="240" w:top="108" w:right="25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Index</w:t>
              </w:r>
            </w:hyperlink>
          </w:p>
        </w:tc>
        <w:tc>
          <w:tcPr>
            <w:tcW w:w="620" w:type="dxa"/>
            <w:vAlign w:val="bottom"/>
          </w:tcPr>
          <w:p>
            <w:pPr>
              <w:spacing w:after="0"/>
              <w:rPr>
                <w:sz w:val="17"/>
                <w:szCs w:val="17"/>
                <w:color w:val="auto"/>
              </w:rPr>
            </w:pPr>
          </w:p>
        </w:tc>
        <w:tc>
          <w:tcPr>
            <w:tcW w:w="10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10.28 to the Company's Annual Report on Form 10-K for the fiscal year ended December 31, 2006).</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Fourth Amendment to the Laboratory Corporation of America Holdings Deferred Compensation Plan (incorporated herein by reference to</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 10.34 to the Company's Annual Report on Form 10-K for the fiscal year ended December 31, 2007).</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Corporation of America Holdings 2008 Stock Incentive Plan (incorporated herein by reference to Annex III to the Company's</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Definitive Proxy Statement on Schedule 14A filed on March 25, 2008).</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Amendment to Laboratory Corporation of America Holdings 2008 Stock Incentive Plan (incorporated herein by reference to Exhibit 10.2 to</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Company's Current Report on Form 8-K filed on May 7, 2008).</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Corporation of America Holdings Amended and Restated Master Senior Executive Severance Plan (incorporated herein by</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10.1 to the Company's Quarterly Report on Form 10-Q for the period ended March 31, 2009).</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Corporation of America Holdings Master Senior Executive Change in Control Severance Plan (incorporated herein by reference</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Exhibit 10.2 to the Company's Quarterly Report on Form 10-Q for the period ended March 31, 2009).</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 Amendment to the Laboratory Corporation of America Holdings Master Senior Executive Change in Control Severance Plan</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 to Exhibit 10.1 to the Company's Quarterly Report on Form 10-Q for the period ended March 31, 2010).</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Second Amendment to the Laboratory Corporation of America Holdings Master Senior Executive Change in Control Severance Plan</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 to Exhibit 10.2 to the Company's Quarterly Report on Form 10-Q for the period ended March 31, 2010).</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03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Laboratory Corporation of America Holdings 2012 Omnibus Incentive Plan (incorporated herein by reference to Exhibit 10.1 to the</w:t>
            </w:r>
          </w:p>
        </w:tc>
        <w:tc>
          <w:tcPr>
            <w:tcW w:w="0" w:type="dxa"/>
            <w:vAlign w:val="bottom"/>
          </w:tcPr>
          <w:p>
            <w:pPr>
              <w:spacing w:after="0"/>
              <w:rPr>
                <w:sz w:val="1"/>
                <w:szCs w:val="1"/>
                <w:color w:val="auto"/>
              </w:rPr>
            </w:pPr>
          </w:p>
        </w:tc>
      </w:tr>
      <w:tr>
        <w:trPr>
          <w:trHeight w:val="63"/>
        </w:trPr>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Current Report on Form 8-K filed on May, 2, 2012).</w:t>
            </w:r>
          </w:p>
        </w:tc>
        <w:tc>
          <w:tcPr>
            <w:tcW w:w="0" w:type="dxa"/>
            <w:vAlign w:val="bottom"/>
          </w:tcPr>
          <w:p>
            <w:pPr>
              <w:spacing w:after="0"/>
              <w:rPr>
                <w:sz w:val="1"/>
                <w:szCs w:val="1"/>
                <w:color w:val="auto"/>
              </w:rPr>
            </w:pPr>
          </w:p>
        </w:tc>
      </w:tr>
      <w:tr>
        <w:trPr>
          <w:trHeight w:val="35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03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Amended and Restated Credit Agreement, dated as of December 19, 2014, (originally dated as of December 21, 2011) among the</w:t>
            </w:r>
          </w:p>
        </w:tc>
        <w:tc>
          <w:tcPr>
            <w:tcW w:w="0" w:type="dxa"/>
            <w:vAlign w:val="bottom"/>
          </w:tcPr>
          <w:p>
            <w:pPr>
              <w:spacing w:after="0"/>
              <w:rPr>
                <w:sz w:val="1"/>
                <w:szCs w:val="1"/>
                <w:color w:val="auto"/>
              </w:rPr>
            </w:pPr>
          </w:p>
        </w:tc>
      </w:tr>
      <w:tr>
        <w:trPr>
          <w:trHeight w:val="63"/>
        </w:trPr>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Bank of America, N.A. as Administrative Agent, Swing Line Lender and L/C Issuer, Wells Fargo Bank, National Association as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Syndication Agent and L/C Issuer, Credit Suisse AG, Cayman Islands Branch as Documentation Agent and L/C Issuer, the Bank of Tokyo-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Mitsubishi UFJ, LTD., Barclays Bank PLC, Credit Suisse AG, Cayman Island Branch, KeyBank National Association, PNC Bank, National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Association, TD Bank, N.A., and U.S. Bank National Association, as Documentation Agents, Merrill Lynch, Pierce, Fenner &amp; Smith</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Wells Fargo Securities, LLC and Credit Suisse Securities (USA) LLC as Joint Lead Arrangers and Joint Book Managers, 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lenders named therein (incorporated herein by reference to Exhibit 10.39 to the Company's Annual Report on Form 10-K filed on</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26, 2015).</w:t>
            </w:r>
          </w:p>
        </w:tc>
        <w:tc>
          <w:tcPr>
            <w:tcW w:w="0" w:type="dxa"/>
            <w:vAlign w:val="bottom"/>
          </w:tcPr>
          <w:p>
            <w:pPr>
              <w:spacing w:after="0"/>
              <w:rPr>
                <w:sz w:val="1"/>
                <w:szCs w:val="1"/>
                <w:color w:val="auto"/>
              </w:rPr>
            </w:pPr>
          </w:p>
        </w:tc>
      </w:tr>
      <w:tr>
        <w:trPr>
          <w:trHeight w:val="333"/>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1, dated as of July 13, 2016 to Amended and Restated Credit Agreement dated as of December 19, 2014, with Bank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America, N.A. (incorporated herein by reference to Exhibit 10.2 to the Company's Quarterly Report on Form 10-Q filed on October 28,</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 Loan Credit Agreement, dated as of December 19, 2014, among the Company, Bank of America, N.A., as Administrative Agent,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Wells Fargo Bank, National Association, as Syndication Agent, the Bank of Tokyo-Mitsubishi UFJ, LTD., Barclays Bank PLC, Credit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Suisse AG, Cayman Islands Branch, KeyBank National Association, PNC Bank, National Association, TD Bank, N.A. and U.S. Bank</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National Association, as Documentation Agents, Merrill Lynch, Pierce, Fenner &amp; Smith Incorporated, Wells Fargo Securities, LLC 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 Suisse Securities (USA) LLC as Joint Lead Arrangers and Joint Book Managers, and the lenders named therein (incorporated herein</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 reference to Exhibit 10.40 to the Company's Annual Report on Form 10-K filed on February 26, 2015).</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1, dated as of March 5, 2015, to the Term Loan Credit Agreement dated as of December 19, 2014, with Bank of America,</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 (incorporated herein by reference to Exhibit 10.6 to the Company's Quarterly Report on Form 10-Q filed on May 4, 2015).</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10.37</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No. 2, dated as of July 13, 2016 to the Term Loan Credit Agreement dated as of December 19, 2014, with Bank of America,</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 (incorporated herein by reference to Exhibit 10.1 to the Company's Quarterly Report on Form 10-Q filed on October 28, 2016).</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10.38</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Corporation of America Holdings 2016 Omnibus Incentive Plan (incorporated by reference herein to Exhibit 10.1 to the</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Current Report on Form 8-K filed on May 16, 2016)</w:t>
            </w:r>
          </w:p>
        </w:tc>
        <w:tc>
          <w:tcPr>
            <w:tcW w:w="0" w:type="dxa"/>
            <w:vAlign w:val="bottom"/>
          </w:tcPr>
          <w:p>
            <w:pPr>
              <w:spacing w:after="0"/>
              <w:rPr>
                <w:sz w:val="1"/>
                <w:szCs w:val="1"/>
                <w:color w:val="auto"/>
              </w:rPr>
            </w:pPr>
          </w:p>
        </w:tc>
      </w:tr>
      <w:tr>
        <w:trPr>
          <w:trHeight w:val="252"/>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Corporation of America Holdings 2016 Employee Stock Purchase Plan (incorporated by reference herein to Exhibit 10.2 to the</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Current Report on Form 8-K filed on May 16, 2016)</w:t>
            </w:r>
          </w:p>
        </w:tc>
        <w:tc>
          <w:tcPr>
            <w:tcW w:w="0" w:type="dxa"/>
            <w:vAlign w:val="bottom"/>
          </w:tcPr>
          <w:p>
            <w:pPr>
              <w:spacing w:after="0"/>
              <w:rPr>
                <w:sz w:val="1"/>
                <w:szCs w:val="1"/>
                <w:color w:val="auto"/>
              </w:rPr>
            </w:pPr>
          </w:p>
        </w:tc>
      </w:tr>
      <w:tr>
        <w:trPr>
          <w:trHeight w:val="405"/>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3"/>
                <w:szCs w:val="23"/>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List of Subsidiaries of the Company</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PricewaterhouseCoopers LLP, an independent registered public accounting firm</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Kerrii B. Anderson</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Jean-Luc Bélingard</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24.3*</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D. Gary Gilliland, M.D., Ph.D.</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24.4*</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Garheng Kong, M.D., Ph.D.</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24.5*</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Robert E. Mittelstaedt, Jr.</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24.6*</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Peter M. Neupert</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24.7*</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Richelle Parham</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24.8*</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Adam H. Schechter</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24.9*</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of R. Sanders Williams, M.D.</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Rule 13a-14(a) or Rule 15d-14(a)</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by the Chief Financial Officer pursuant to Rule 13a-14(a) or Rule 15d-14(a)</w:t>
            </w:r>
          </w:p>
        </w:tc>
        <w:tc>
          <w:tcPr>
            <w:tcW w:w="0" w:type="dxa"/>
            <w:vAlign w:val="bottom"/>
          </w:tcPr>
          <w:p>
            <w:pPr>
              <w:spacing w:after="0"/>
              <w:rPr>
                <w:sz w:val="1"/>
                <w:szCs w:val="1"/>
                <w:color w:val="auto"/>
              </w:rPr>
            </w:pPr>
          </w:p>
        </w:tc>
      </w:tr>
      <w:tr>
        <w:trPr>
          <w:trHeight w:val="252"/>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1"/>
                <w:szCs w:val="21"/>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 pursuant to Section 906 of the Sarbanes-Oxley Act of 2002 (18</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U.S.C. Section 1350)</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0" w:gutter="0" w:footer="0" w:header="0"/>
        </w:sectPr>
      </w:pPr>
    </w:p>
    <w:bookmarkStart w:id="73" w:name="page74"/>
    <w:bookmarkEnd w:id="73"/>
    <w:p>
      <w:pPr>
        <w:ind w:left="5"/>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101.LAB*</w:t>
      </w:r>
    </w:p>
    <w:p>
      <w:pPr>
        <w:spacing w:after="0" w:line="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p>
      <w:pPr>
        <w:spacing w:after="0" w:line="211" w:lineRule="exact"/>
        <w:rPr>
          <w:sz w:val="20"/>
          <w:szCs w:val="20"/>
          <w:color w:val="auto"/>
        </w:rPr>
      </w:pPr>
    </w:p>
    <w:p>
      <w:pPr>
        <w:sectPr>
          <w:pgSz w:w="11900" w:h="16838" w:orient="portrait"/>
          <w:cols w:equalWidth="0" w:num="2">
            <w:col w:w="765" w:space="500"/>
            <w:col w:w="8919"/>
          </w:cols>
          <w:pgMar w:left="275" w:top="121" w:right="1440" w:bottom="1440" w:gutter="0" w:footer="0" w:header="0"/>
        </w:sectPr>
      </w:pPr>
    </w:p>
    <w:p>
      <w:pPr>
        <w:spacing w:after="0" w:line="133" w:lineRule="exact"/>
        <w:rPr>
          <w:sz w:val="20"/>
          <w:szCs w:val="20"/>
          <w:color w:val="auto"/>
        </w:rPr>
      </w:pPr>
    </w:p>
    <w:p>
      <w:pPr>
        <w:ind w:left="1265" w:hanging="1265"/>
        <w:spacing w:after="0"/>
        <w:tabs>
          <w:tab w:leader="none" w:pos="1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184"/>
          </w:cols>
          <w:pgMar w:left="275" w:top="121" w:right="1440"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219"/>
          </w:cols>
          <w:pgMar w:left="240" w:top="121" w:right="1440"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LABORATORY CORPORATION OF AMERICA HOLDINGS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85" w:lineRule="exact"/>
        <w:rPr>
          <w:sz w:val="20"/>
          <w:szCs w:val="20"/>
          <w:color w:val="auto"/>
        </w:rPr>
      </w:pPr>
    </w:p>
    <w:p>
      <w:pPr>
        <w:ind w:left="57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Chairman of the Board, President</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Dated: February 27, 2017</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on February 27, 2017 in the capacities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2460" w:type="dxa"/>
            <w:vAlign w:val="bottom"/>
          </w:tcPr>
          <w:p>
            <w:pPr>
              <w:spacing w:after="0"/>
              <w:rPr>
                <w:sz w:val="17"/>
                <w:szCs w:val="17"/>
                <w:color w:val="auto"/>
              </w:rPr>
            </w:pPr>
          </w:p>
        </w:tc>
        <w:tc>
          <w:tcPr>
            <w:tcW w:w="4340" w:type="dxa"/>
            <w:vAlign w:val="bottom"/>
            <w:gridSpan w:val="3"/>
          </w:tcPr>
          <w:p>
            <w:pPr>
              <w:ind w:left="28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P. KING</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President and Chief</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Executive Officer (Principal Executive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P. King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GLENN A. EISENBERG</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Officer and Treasurer (Principal Financial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Glenn A. Eisenberg</w:t>
            </w:r>
          </w:p>
        </w:tc>
        <w:tc>
          <w:tcPr>
            <w:tcW w:w="43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EDWARD T. DODSON</w:t>
            </w: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Chief Accounting Officer (Principal Accounting Officer)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Edward T. Dodson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Kerrii B. Anderson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Jean-Luc Bélingard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 Gary Gilliland,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Garheng Kong,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Robert E. Mittelstaedt, Jr.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Peter M. Neupert</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Richelle Parham</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Adam H. Schechter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 Sanders Williams, M.D.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firstLine="8"/>
        <w:spacing w:after="0" w:line="282" w:lineRule="auto"/>
        <w:tabs>
          <w:tab w:leader="none" w:pos="2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Samuel Eberts III, by his signing his name hereto, does hereby sign this report on behalf of the directors of the Registrant after whose typed names asterisks appear, pursuant to powers of attorney duly executed by such directors and filed with the Securities and Exchange Commission.</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 SAMUEL EBERTS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 Samuel Eberts III</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028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Index</w:t>
              </w:r>
            </w:hyperlink>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73"/>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920" w:type="dxa"/>
            <w:vAlign w:val="bottom"/>
            <w:gridSpan w:val="8"/>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00" w:type="dxa"/>
            <w:vAlign w:val="bottom"/>
            <w:gridSpan w:val="5"/>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4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AND SCHEDULE</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4"/>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Report of Independent Registered Public Accounting Firm</w:t>
              </w:r>
            </w:hyperlink>
          </w:p>
        </w:tc>
        <w:tc>
          <w:tcPr>
            <w:tcW w:w="60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F-2</w:t>
              </w:r>
            </w:hyperlink>
          </w:p>
        </w:tc>
        <w:tc>
          <w:tcPr>
            <w:tcW w:w="440" w:type="dxa"/>
            <w:vAlign w:val="bottom"/>
            <w:gridSpan w:val="2"/>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0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Consolidated Balance Sheets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F-3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Consolidated Statements of Operations</w:t>
              </w:r>
            </w:hyperlink>
          </w:p>
        </w:tc>
        <w:tc>
          <w:tcPr>
            <w:tcW w:w="718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F-4</w:t>
              </w:r>
            </w:hyperlink>
          </w:p>
        </w:tc>
        <w:tc>
          <w:tcPr>
            <w:tcW w:w="440" w:type="dxa"/>
            <w:vAlign w:val="bottom"/>
            <w:gridSpan w:val="2"/>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Consolidated Statements of Comprehensive Earnings</w:t>
              </w:r>
            </w:hyperlink>
          </w:p>
        </w:tc>
        <w:tc>
          <w:tcPr>
            <w:tcW w:w="61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F-5</w:t>
              </w:r>
            </w:hyperlink>
          </w:p>
        </w:tc>
        <w:tc>
          <w:tcPr>
            <w:tcW w:w="440" w:type="dxa"/>
            <w:vAlign w:val="bottom"/>
            <w:gridSpan w:val="2"/>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Statements of Changes in Shareholders' Equity</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F-6</w:t>
              </w:r>
            </w:hyperlink>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Cash Flows</w:t>
              </w:r>
            </w:hyperlink>
          </w:p>
        </w:tc>
        <w:tc>
          <w:tcPr>
            <w:tcW w:w="5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F-7</w:t>
              </w:r>
            </w:hyperlink>
          </w:p>
        </w:tc>
        <w:tc>
          <w:tcPr>
            <w:tcW w:w="440" w:type="dxa"/>
            <w:vAlign w:val="bottom"/>
            <w:gridSpan w:val="2"/>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240" w:type="dxa"/>
            <w:vAlign w:val="bottom"/>
            <w:gridSpan w:val="11"/>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Notes to Consolidated Financial Statements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F-8</w:t>
              </w:r>
            </w:hyperlink>
          </w:p>
        </w:tc>
      </w:tr>
      <w:tr>
        <w:trPr>
          <w:trHeight w:val="561"/>
        </w:trPr>
        <w:tc>
          <w:tcPr>
            <w:tcW w:w="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71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II - Valuation and Qualifying Accounts and Reserves</w:t>
              </w:r>
            </w:hyperlink>
          </w:p>
        </w:tc>
        <w:tc>
          <w:tcPr>
            <w:tcW w:w="1140" w:type="dxa"/>
            <w:vAlign w:val="bottom"/>
            <w:gridSpan w:val="5"/>
          </w:tcPr>
          <w:p>
            <w:pPr>
              <w:jc w:val="center"/>
              <w:spacing w:after="0"/>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F-46</w:t>
              </w:r>
            </w:hyperlink>
          </w:p>
        </w:tc>
      </w:tr>
      <w:tr>
        <w:trPr>
          <w:trHeight w:val="50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Laboratory Corporation of America Holdings:</w:t>
      </w:r>
    </w:p>
    <w:p>
      <w:pPr>
        <w:spacing w:after="0" w:line="200" w:lineRule="exact"/>
        <w:rPr>
          <w:sz w:val="20"/>
          <w:szCs w:val="20"/>
          <w:color w:val="auto"/>
        </w:rPr>
      </w:pPr>
    </w:p>
    <w:p>
      <w:pPr>
        <w:spacing w:after="0" w:line="223"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listed in the accompanying index present fairly, in all material respects, the financial position of Laboratory Corporation of America Holdings and its subsidiaries at December 31, 2016 and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Information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716.4</w:t>
            </w:r>
          </w:p>
        </w:tc>
        <w:tc>
          <w:tcPr>
            <w:tcW w:w="0" w:type="dxa"/>
            <w:vAlign w:val="bottom"/>
          </w:tcPr>
          <w:p>
            <w:pPr>
              <w:spacing w:after="0"/>
              <w:rPr>
                <w:sz w:val="1"/>
                <w:szCs w:val="1"/>
                <w:color w:val="auto"/>
              </w:rPr>
            </w:pPr>
          </w:p>
        </w:tc>
      </w:tr>
      <w:tr>
        <w:trPr>
          <w:trHeight w:val="225"/>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$235.6 and $217.0 at December 31, 2016</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2015, respectively</w:t>
            </w: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Supplies inventories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1,747.4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14,247.0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14,104.7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5,940.3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8,726.0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9,144.7</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102.7 and 101.3 shares outstanding at December 31, 2016 and 2015, respectively</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1,974.5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common stock held in treasury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71"/>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4,945.1</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14,247.0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14,104.7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121"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3"/>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6,011.6</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Reimbursable out-of-pocket expenses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6,011.6</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cost of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3,808.5</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out-of-pocket expenses</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6,461.3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5,776.8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3,808.5</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2,203.1</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1,204.3</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Restructuring and other special charges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904.3</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Equity method income, net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820.6</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 Holdings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511.2</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108"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3"/>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8380" w:type="dxa"/>
            <w:vAlign w:val="bottom"/>
            <w:gridSpan w:val="4"/>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EARNINGS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84"/>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adjustments</w:t>
            </w: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4"/>
        </w:trPr>
        <w:tc>
          <w:tcPr>
            <w:tcW w:w="74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271"/>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earnings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435.9</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4"/>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comprehensive earnings attributable to Laboratory Corporation of America Holdings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434.5</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08"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CONSOLIDATED STATEMENTS OF CHANGES IN SHAREHOLDERS’ EQUITY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Common</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Income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2,491.3</w:t>
            </w:r>
          </w:p>
        </w:tc>
        <w:tc>
          <w:tcPr>
            <w:tcW w:w="0" w:type="dxa"/>
            <w:vAlign w:val="bottom"/>
          </w:tcPr>
          <w:p>
            <w:pPr>
              <w:spacing w:after="0"/>
              <w:rPr>
                <w:sz w:val="1"/>
                <w:szCs w:val="1"/>
                <w:color w:val="auto"/>
              </w:rPr>
            </w:pPr>
          </w:p>
        </w:tc>
      </w:tr>
      <w:tr>
        <w:trPr>
          <w:trHeight w:val="153"/>
        </w:trPr>
        <w:tc>
          <w:tcPr>
            <w:tcW w:w="4460" w:type="dxa"/>
            <w:vAlign w:val="bottom"/>
          </w:tcPr>
          <w:p>
            <w:pPr>
              <w:ind w:left="400"/>
              <w:spacing w:after="0" w:line="153" w:lineRule="exact"/>
              <w:rPr>
                <w:sz w:val="20"/>
                <w:szCs w:val="20"/>
                <w:color w:val="auto"/>
              </w:rPr>
            </w:pPr>
            <w:r>
              <w:rPr>
                <w:rFonts w:ascii="Times New Roman" w:cs="Times New Roman" w:eastAsia="Times New Roman" w:hAnsi="Times New Roman"/>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511.2</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Surrender of restricted stock and performance share awards</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Conversion of zero-coupon convertible debt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benefit from stock options exercised</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82"/>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0" w:type="dxa"/>
            <w:vAlign w:val="bottom"/>
          </w:tcPr>
          <w:p>
            <w:pPr>
              <w:spacing w:after="0"/>
              <w:rPr>
                <w:sz w:val="1"/>
                <w:szCs w:val="1"/>
                <w:color w:val="auto"/>
              </w:rPr>
            </w:pPr>
          </w:p>
        </w:tc>
      </w:tr>
      <w:tr>
        <w:trPr>
          <w:trHeight w:val="239"/>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2014</w:t>
            </w:r>
          </w:p>
        </w:tc>
        <w:tc>
          <w:tcPr>
            <w:tcW w:w="18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3,786.1</w:t>
            </w:r>
          </w:p>
        </w:tc>
        <w:tc>
          <w:tcPr>
            <w:tcW w:w="10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2,820.5</w:t>
            </w:r>
          </w:p>
        </w:tc>
        <w:tc>
          <w:tcPr>
            <w:tcW w:w="0" w:type="dxa"/>
            <w:vAlign w:val="bottom"/>
          </w:tcPr>
          <w:p>
            <w:pPr>
              <w:spacing w:after="0"/>
              <w:rPr>
                <w:sz w:val="1"/>
                <w:szCs w:val="1"/>
                <w:color w:val="auto"/>
              </w:rPr>
            </w:pPr>
          </w:p>
        </w:tc>
      </w:tr>
      <w:tr>
        <w:trPr>
          <w:trHeight w:val="158"/>
        </w:trPr>
        <w:tc>
          <w:tcPr>
            <w:tcW w:w="4460" w:type="dxa"/>
            <w:vAlign w:val="bottom"/>
            <w:shd w:val="clear" w:color="auto" w:fill="CCEEFF"/>
          </w:tcPr>
          <w:p>
            <w:pPr>
              <w:ind w:left="400"/>
              <w:spacing w:after="0" w:line="158" w:lineRule="exact"/>
              <w:rPr>
                <w:sz w:val="20"/>
                <w:szCs w:val="20"/>
                <w:color w:val="auto"/>
              </w:rPr>
            </w:pPr>
            <w:r>
              <w:rPr>
                <w:rFonts w:ascii="Times New Roman" w:cs="Times New Roman" w:eastAsia="Times New Roman" w:hAnsi="Times New Roman"/>
                <w:sz w:val="14"/>
                <w:szCs w:val="14"/>
                <w:color w:val="auto"/>
              </w:rPr>
              <w:t>Net earnings attributable to Laboratory Corporation of America</w:t>
            </w:r>
          </w:p>
        </w:tc>
        <w:tc>
          <w:tcPr>
            <w:tcW w:w="1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437.6</w:t>
            </w: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4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for acquisition consideration</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1,762.5</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Surrender of restricted stock and performance share awards</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Conversion of zero-coupon convertible debt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benefit from stock options exercised</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2015</w:t>
            </w: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1,974.5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4,223.7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4,945.1</w:t>
            </w:r>
          </w:p>
        </w:tc>
        <w:tc>
          <w:tcPr>
            <w:tcW w:w="0" w:type="dxa"/>
            <w:vAlign w:val="bottom"/>
          </w:tcPr>
          <w:p>
            <w:pPr>
              <w:spacing w:after="0"/>
              <w:rPr>
                <w:sz w:val="1"/>
                <w:szCs w:val="1"/>
                <w:color w:val="auto"/>
              </w:rPr>
            </w:pPr>
          </w:p>
        </w:tc>
      </w:tr>
      <w:tr>
        <w:trPr>
          <w:trHeight w:val="153"/>
        </w:trPr>
        <w:tc>
          <w:tcPr>
            <w:tcW w:w="4460" w:type="dxa"/>
            <w:vAlign w:val="bottom"/>
          </w:tcPr>
          <w:p>
            <w:pPr>
              <w:ind w:left="400"/>
              <w:spacing w:after="0" w:line="153" w:lineRule="exact"/>
              <w:rPr>
                <w:sz w:val="20"/>
                <w:szCs w:val="20"/>
                <w:color w:val="auto"/>
              </w:rPr>
            </w:pPr>
            <w:r>
              <w:rPr>
                <w:rFonts w:ascii="Times New Roman" w:cs="Times New Roman" w:eastAsia="Times New Roman" w:hAnsi="Times New Roman"/>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732.1</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Surrender of restricted stock and performance share awards</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Conversion of zero-coupon convertible debt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2016</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5,505.8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34"/>
        </w:trPr>
        <w:tc>
          <w:tcPr>
            <w:tcW w:w="7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 compensation</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Accrued interest on zero-coupon subordinated notes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Cumulative earnings less than (in excess of) distributions from equity method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in accounts receivable,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in unbilled services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in 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decrease in prepaid expenses and other</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7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in unearned revenue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7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1,175.9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senior notes offerings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term loan</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term loan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bridge loan</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bridge loan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Payments on senior notes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zero-coupon subordinated notes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long-term lease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payments on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Excess tax benefits from stock based compensation</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84"/>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271"/>
        </w:trPr>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42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108" w:right="239" w:bottom="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440" w:firstLine="8"/>
        <w:spacing w:after="0" w:line="385" w:lineRule="auto"/>
        <w:tabs>
          <w:tab w:leader="none" w:pos="27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Financial Statement Presentation</w:t>
      </w:r>
    </w:p>
    <w:p>
      <w:pPr>
        <w:spacing w:after="0" w:line="2" w:lineRule="exact"/>
        <w:rPr>
          <w:sz w:val="20"/>
          <w:szCs w:val="20"/>
          <w:color w:val="auto"/>
        </w:rPr>
      </w:pPr>
    </w:p>
    <w:p>
      <w:pPr>
        <w:jc w:val="both"/>
        <w:ind w:firstLine="270"/>
        <w:spacing w:after="0"/>
        <w:rPr>
          <w:sz w:val="20"/>
          <w:szCs w:val="20"/>
          <w:color w:val="auto"/>
        </w:rPr>
      </w:pPr>
      <w:r>
        <w:rPr>
          <w:rFonts w:ascii="Times New Roman" w:cs="Times New Roman" w:eastAsia="Times New Roman" w:hAnsi="Times New Roman"/>
          <w:sz w:val="18"/>
          <w:szCs w:val="18"/>
          <w:color w:val="auto"/>
        </w:rPr>
        <w:t>Laboratory Corporation of America Holdings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together with its subsidiaries (the Company) is a world leading life sciences company that is deeply integrated in guiding patient care, providing comprehensive clinical laboratory and end-to-end drug development services. The Company’s mission is to improve health and improve lives by delivering world-class diagnostic solutions, bringing innovative medicines to patients faster and using technology to provide better care. The Company serves a broad range of customers, including managed care organizations (MCOs), biopharmaceutical companies, governmental agencies, physicians and other healthcare providers (e.g. physician assistants and nurse practitioners, generally referred to herein as physicians), hospitals and health systems, employers, patients and consumers, contract research organizations, food and nutritional companies and independent clinical laboratories. The Company believes that it generated more revenue from laboratory testing than any other company in the world in 2016.</w:t>
      </w:r>
    </w:p>
    <w:p>
      <w:pPr>
        <w:spacing w:after="0" w:line="22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20 to the Consolidated Financial Statements. In 2016, LCD and CDD contributed 69.9% and 30.1%, respectively, of net revenues to the Company, and in 2015 contributed 72.9% and 27.1%, respectively. Each of the segments' net revenues in 2015 includes the results of the Company's acquisition of Covance Inc. on February 19, 2015.</w:t>
      </w:r>
    </w:p>
    <w:p>
      <w:pPr>
        <w:spacing w:after="0" w:line="211"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21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LCD recognizes revenue on the accrual basis at the time test results are reported, which approximates when services are provided. Services are provided to certain patients covered by various third-party payer programs including various MCOs, as well as the Medicare and Medicaid programs. Billings for services under third-party payer programs are included in sales net of allowances for contractual discounts and allowances for differences between the amounts billed and estimated program payment amounts. Adjustments to the estimated payment amounts based on final settlement with the programs are recorded upon settlement as an adjustment to revenue. In 2016, 2015 and 2014, approximately 15.5%, 16.0% and 15.0%, respectively, of LCD's revenues were derived directly from the Medicare and Medicaid programs. LCD has capitated agreements with certain MCO customers and recognizes related revenue based on a predetermined monthly contractual rate for each member of the managed care plan regardless of the number of tests performed. In 2016, 2015 and 2014, approximately 3.4%, 3.5% and 3.5%, respectively, of LCD's revenues were derived from such capitated agreements.</w:t>
      </w:r>
    </w:p>
    <w:p>
      <w:pPr>
        <w:spacing w:after="0" w:line="21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CDD recognizes revenue either as services are performed or products are delivered, depending on the nature of the work contracted. Historically, a majority of CDD’s net revenues have been earned under contracts that range in duration from a few months to a few years, but can extend in duration up to five years or longer. Occasionally, CDD also has committed minimum volume arrangements with certain customers. Underlying these arrangements are individual project contracts for the specific services to be provided. These arrangements enable CDD's customers to secure its services in exchange for which they commit to purchase an annual minimum dollar value of services. Under these types of arrangements, if the annual minimum dollar value of service commitment is not reached, the customer is required to pay CDD for the shortfall. Progress towards the achievement of annual minimum dollar value of service commitments is monitored throughout the year. Annual minimum commitment shortfalls are not included in net revenues until the amount has been determined and agreed to by the customer.</w:t>
      </w:r>
    </w:p>
    <w:p>
      <w:pPr>
        <w:spacing w:after="0" w:line="212"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generally using output measures that are specific to the service provided.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Examples of output measures in preclinical services, include among others, the number of slides read, or specimens prepared. Examples of output measures in the clinical trials services, include among others, number of investigators enrolled, number of sites initiated, number of trial subjects enrolled and number of monitoring visits completed, or number of dosings for clinical pharmacology. Revenue is determined by dividing the actual units of work completed by the total units of work required under the contract and multiplying that percentage by the total contract value. The total contract value, or total contractual payments, represents the aggregate contracted price for each of the agreed upon services to be provided. CDD does not have any contractual arrangements spanning multiple accounting periods where revenue is recognized on a proportional-performance basis under which the Company has earned more than an immaterial amount of performance-based revenue (i.e., potential additional revenue tied to specific deliverables or performance). Changes in the scope of work are common, especially under long-term contracts, and generally result in a change in contract value. Once the customer has agreed to the changes in scope and renegotiated pricing terms, the contract value is amended with revenue recognized as described above. Estimates of costs to complete are made to provide, where appropriate, for losses expected on contracts. Costs are not deferred in anticipation of contracts being awarded, but instead are expensed as incurred.</w:t>
      </w:r>
    </w:p>
    <w:p>
      <w:pPr>
        <w:spacing w:after="0" w:line="22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Billing schedules and payment terms are generally negotiated on a contract-by-contract basis. In some cases, CDD bills the customer for the total contract value in progress-based installments as certain non-contingent billing milestones are reached over the contract duration, such as, but not limited to, contract signing, initial dosing, investigator site initiation, patient enrollment 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 While CDD attempts to negotiate terms that provide for billing and payment of services prior or within close proximity to the provision of services, this is not always possible, and there are fluctuations in the levels of unbilled services and unearned revenue from period to period.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22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unearned revenue on the balance sheet. As the contracted services are subsequently performed and the associated revenue is recognized, the unearned revenue balance is reduced by the amount of revenue recognized during the period.</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other cases, services may be provided and revenue recognized before the customer is invoiced. In these cases, revenue recognized will exceed amounts billed, and the difference, representing an unbilled receivable, is recorded for the amount that is currently unbillable to the customer pursuant to contractual terms. Once the customer is invoiced, the unbilled services are reduced for the amount billed, and a corresponding account receivable is recorded. All unbilled services are billable to customers within one year from the respective balance sheet date.</w:t>
      </w:r>
    </w:p>
    <w:p>
      <w:pPr>
        <w:spacing w:after="0" w:line="2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 In connection with the management of multi-site clinical trials, CDD pays on behalf of its customers fees to investigators, clinical trial subjects and certain out-of-pocket costs, for which it is reimbursed at cost, without mark-up or profit. Investigator fees are not reflected in net revenues or expenses where CDD acts in the capacity of an agent on behalf of the biopharmaceutical company sponsor, passing through these costs without markup or profit. All other out-of-pocket costs are included in total revenues and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net revenues are comprised of the following:</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Years Ended December 31,</w:t>
            </w:r>
          </w:p>
        </w:tc>
        <w:tc>
          <w:tcPr>
            <w:tcW w:w="1120" w:type="dxa"/>
            <w:vAlign w:val="bottom"/>
          </w:tcPr>
          <w:p>
            <w:pPr>
              <w:spacing w:after="0"/>
              <w:rPr>
                <w:sz w:val="24"/>
                <w:szCs w:val="24"/>
                <w:color w:val="auto"/>
              </w:rPr>
            </w:pPr>
          </w:p>
        </w:tc>
      </w:tr>
      <w:tr>
        <w:trPr>
          <w:trHeight w:val="34"/>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LCD - 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5,838.0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CDD - net revenue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CDD - reimbursable out-of-pocket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6,011.6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Reimbursable Out-of-Pocket Expenses</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 CDD excludes from revenue and expense in the consolidated statements of operations fees paid to investigators and the associated reimbursement because CDD acts as an agent on behalf of the biopharmaceutical company sponsors with regard to investigator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the allowances for doubtful accounts, deferred tax assets, fair values and amortization lives for intangible assets, and accruals for self-insurance reserves and pensions. The allowance for doubtful accounts is determined based on historical collections trends, the aging of accounts, current economic conditions and regulatory changes. Actual results could differ from those estimates.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w:t>
      </w:r>
    </w:p>
    <w:p>
      <w:pPr>
        <w:spacing w:after="0" w:line="1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total cash balances on deposit that exceeded the balances insured by the Federal Deposit Insurance Commission, were approximately $28.4 at December 31, 2016. Cash equivalents at December 31, 2016, totaled $268.8, which includes amounts invested in money market funds, time deposits, municipal, treasury and government funds.</w:t>
      </w:r>
    </w:p>
    <w:p>
      <w:pPr>
        <w:spacing w:after="0" w:line="203"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accounts receivable are with companies in the healthcare or biopharmaceutical industry and individuals. However, concentrations of credit risk are limited due to the number of the Company’s customers as well as their dispersion across many different geographic regions.</w:t>
      </w:r>
    </w:p>
    <w:p>
      <w:pPr>
        <w:spacing w:after="0" w:line="1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Although LCD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$113.0 and $112.0 at December 31, 2016 and 2015, respectively.</w:t>
      </w:r>
    </w:p>
    <w:p>
      <w:pPr>
        <w:spacing w:after="0" w:line="20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accounts receivable balances from the Ontario government sponsored healthcare plan were CAD $15.8 and CAD $21.3 at December 31, 2016 and 2015, respectively.</w:t>
      </w:r>
    </w:p>
    <w:p>
      <w:pPr>
        <w:spacing w:after="0" w:line="21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portion of the Company's accounts receivable due from patients comprises the largest portion of credit risk. At December 31, 2016 and 2015, receivables due from patients represented approximately 20.0% and 18.8% of the Company's consolidated gross accounts receivable. The Company applies assumptions and judgments including historical collection experience for assessing collectability and determining allowances for doubtful accounts for accounts receivable from patients.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Laboratory Corporation of America Holdings by the weighted average number of common shares outstanding. Diluted earnings per share is computed by dividing net earnings</w:t>
      </w:r>
    </w:p>
    <w:p>
      <w:pPr>
        <w:sectPr>
          <w:pgSz w:w="11900" w:h="16838" w:orient="portrait"/>
          <w:cols w:equalWidth="0" w:num="1">
            <w:col w:w="11420"/>
          </w:cols>
          <w:pgMar w:left="240" w:top="121"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shares issuable upon conversion of zero-coupon subordinated notes.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Per Share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Per Share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40"/>
        </w:trPr>
        <w:tc>
          <w:tcPr>
            <w:tcW w:w="33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732.1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511.2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stock awards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convertible debt, net of tax</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17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7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Plans</w:t>
      </w:r>
    </w:p>
    <w:p>
      <w:pPr>
        <w:spacing w:after="0" w:line="12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measures stock compensation cost for all equity awards at fair value on the date of grant and recognizes compensation expense over the service period for awards expected to vest. The fair value of restricted stock units and performance share awards is determined based on the number of shares granted and the quoted price of the Company’s common stock on the grant date. Such value is recognized as expense over the service period, net of estimated forfeitures. The estimation of equity awards that will ultimately vest requires judgment and the Company considers many factors when estimating expected forfeitures, including types of awards, employee class, and historical experience. The cumulative effect on current and prior periods of a change in the estimated forfeiture rate is recognized as compensation expense in earnings in the period of the revision. Actual results and future estimates may differ substantially from the Company’s current estimates.</w:t>
      </w:r>
    </w:p>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See Note 14 for assumptions used in calculating compensation expense for the Company’s stock compensation plans.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highly liquid instruments, such as commercial paper, time deposits, and other money market instruments, substantially all of which have maturities when purchased of three months or less.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Inventories, consisting primarily of purchased laboratory and customer supplies and finished goods, are stated at the lower of cost (first-in, first-out) or market. Supplies accounted for $171.7 and $157.7 and finished goods accounted for $33.5 and $33.3 of total inventory at December 31, 2016 and 2015,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p>
      <w:pPr>
        <w:spacing w:after="0" w:line="12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management of multi-site clinical trials, CDD pays on behalf of its customers certain out-of-pocket costs, for which the Company is reimbursed at cost, without markup or profit. Amounts receivable from customers in connection with such out-of-pocket pass-through costs are included in prepaid expenses and other in the accompanying consolidated balance sheets and totaled $97.1 at December 31, 2016 and $92.5 at December 31, 2015.</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Also included in prepaid expenses and other current assets are assets held for sale. The Company records long-lived assets as held for sale when a plan to sell the asset has been initiated and all other held for sale criteria have been satisfied. Assets classified as held for sale of $51.2 as of December 31, 2016 are recorded in other current assets on the consolidated balance sheet at the lower of their carrying value or fair value less cost to sell. The Company also recorded a $3.6 gain on the sale of these assets held for sale. There were $72.4 assets held for sale as of December 31,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The cost of properties held under capital leases is equal to the lower of the net present value of the minimum lease payments or the fair value of the leased property at the inception of the lease. Depreciation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121" w:right="239" w:bottom="1062"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amortization expense is computed on all classes of assets based on their estimated useful lives, as indicated below, using the straight-line method.</w:t>
      </w:r>
    </w:p>
    <w:p>
      <w:pPr>
        <w:spacing w:after="0" w:line="27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Years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bl>
    <w:p>
      <w:pPr>
        <w:spacing w:after="0" w:line="6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Leasehold improvements and assets held under capital leases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121"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capitalizes purchased software which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generally five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In 2015, the Company changed the timing of its annual impairment testing from the end of the year to the beginning of the fourth quarter. In accordance with the FASB updates to their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first step of the two-step assessment. Similarly, a company can proceed directly to a quantitative assessment in the case of impairment testing for indefinite-lived intangible assets as well.</w:t>
      </w:r>
    </w:p>
    <w:p>
      <w:pPr>
        <w:spacing w:after="0" w:line="21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Step One of the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However, if the estimated fair value is less than the carrying value, the Company performs the second step of the goodwill impairment test to measure the amount of the impairment, if any. The second step involves a hypothetical allocation of the estimated fair value of the reporting unit to its tangible and intangible assets (excluding goodwill) and liabilities as if the reporting unit were newly acquired, which results in an implied fair value of the goodwill. The amount of the impairment charge is the excess of the recorded goodwill, if any, over the implied fair value of the goodwill.</w:t>
      </w:r>
    </w:p>
    <w:p>
      <w:pPr>
        <w:spacing w:after="0" w:line="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concluded that no triggering events occurred during 2016 related to goodwill and indefinite-lived intangible assets. As such, management performed its annual goodwill and intangible asset impairment testing as of the beginning of the fourth quarter of 2016. The Company elected to perform the qualitative assessment for goodwill and intangible assets for all reporting units except two of the CDD reporting units and the indefinite-lived Canadian licenses for which the quantitative assessment was used.</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this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w:t>
      </w:r>
    </w:p>
    <w:p>
      <w:pPr>
        <w:sectPr>
          <w:pgSz w:w="11900" w:h="16838" w:orient="portrait"/>
          <w:cols w:equalWidth="0" w:num="1">
            <w:col w:w="11420"/>
          </w:cols>
          <w:pgMar w:left="240" w:top="121"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2016, the Company utilized an income approach to determine the fair value of two of the CDD reporting units, with $460.7 and $223.9 of goodwill as of September 30, 2016. Based upon the results of the quantitative assessment, the Company concluded that the fair value of these reporting units was greater than the carrying value.</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2016, the Company also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2016 will prove to be accurate predictions of the future, if, for example, (i) the businesses do not perform as projected, (ii) overall economic conditions in 2017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The Company will particularly monitor the financial performance of and assumptions for the two of the CDD reporting units for which an income approach was performed in 2016. A future impairment charge for goodwill or intangible assets could have a material effect on the Company's consolidated financial position and results of operations.</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 The Company impaired long-lived assets of $39.7, for the year ended 2015.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104"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Years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costs related to the issuance of debt are capitalized, netted against the related debt for presentation purposes and amortized to interest expense over the terms of the related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Liability</w:t>
      </w:r>
    </w:p>
    <w:p>
      <w:pPr>
        <w:spacing w:after="0" w:line="12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w:t>
      </w:r>
    </w:p>
    <w:p>
      <w:pPr>
        <w:sectPr>
          <w:pgSz w:w="11900" w:h="16838" w:orient="portrait"/>
          <w:cols w:equalWidth="0" w:num="1">
            <w:col w:w="11420"/>
          </w:cols>
          <w:pgMar w:left="240" w:top="121"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Interest rate swap agreements, which have been used by the Company from time to time in the management of interest rate exposure, are accounted for at fair value. The Company’s zero-coupon subordinated notes contain two features that are considered to be embedded derivative instruments under authoritative guidance in connection with accounting for derivative instruments and hedging activities. The Company believes these embedded derivatives had no fair value at December 31, 2016 and 2015.</w:t>
      </w:r>
    </w:p>
    <w:p>
      <w:pPr>
        <w:spacing w:after="0" w:line="20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See Note 18 for the Company’s objectives in using derivative instruments and the effect of derivative instruments and related hedged items on the Company’s financial position, financial performance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expenses R&amp;D costs as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and U.S. GAAP.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 An entity can apply the revenue standard retrospectively to each prior reporting period presented (full retrospective method) or retrospectively with the cumulative effect of initially applying the standard recognized at the date of initial application in retained earnings. As originally issued, the new revenue recognition standard would be effective for the Company beginning January 1, 2017. On July 9, 2015, the FASB approved the proposal to defer the effective date of this standard by one year. The standard will be effective for the Company beginning January 1, 2018, with early adoption permitted for annual periods beginning after December 16, 2016.</w:t>
      </w:r>
    </w:p>
    <w:p>
      <w:pPr>
        <w:spacing w:after="0" w:line="9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plans to adopt the full retrospective method effective January 1, 2018, and is continuing to evaluate the expected impact of the standard. Currently, the Company has completed the initial adoption analysis for LCD and expects this standard to impact LCD margins due to the recording of LCD bad debt expense against net revenues (versus selling, general and administrative expense) as an implicit price concession. The Company has also completed the initial adoption analysis for each of the major revenue streams within CDD and expects this standard to also impact CDD margins due to the elimination of gross-to-net reporting of reimbursable out-of-pocket expenses and the elimination of accounting for fees paid to investigators as an agent. In addition, the Company expects the timing of revenue recognition in the clinical business to accelerate, as revenue from study-related change orders and fixed price gains is recognized ratably over the service period (versus lump-sum recognition due to a change order or when studies are near completion). The detailed contract review must be completed before the Company can quantify the expected impact of the standard. The Company also anticipates an increase in the level of required financial statement disclosures.</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November 2015, the FASB issued a new accounting standard that requires deferred tax liabilities and assets to be classified as noncurrent on the consolidated balance sheet. The Company early adopted this standard on a full-retrospective basis as of March 31, 2016. The adoption of this standard did not have a material impact on the consolidated financial statements.</w:t>
      </w:r>
    </w:p>
    <w:p>
      <w:pPr>
        <w:sectPr>
          <w:pgSz w:w="11900" w:h="16838" w:orient="portrait"/>
          <w:cols w:equalWidth="0" w:num="1">
            <w:col w:w="11420"/>
          </w:cols>
          <w:pgMar w:left="240" w:top="12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 new accounting standard that addresses certain aspects of recognition, measurement, presentation and disclosure of financial instruments. A financial instrument is defined as cash, evidence of ownership interest in a company or other entity, or a contract that both: (i) imposes on one entity a contractual obligation either to deliver cash or another financial instrument to a second entity or to exchange other financial instruments on potentially unfavorable terms with the second entity and (ii) conveys to that second entity a contractual right either to receive cash or another financial instrument from the first entity or to exchange other financial instruments on potentially favorable terms with the first entity. The standard will be effective for the Company beginning January 1, 2018, with early adoption permitted. The Company is evaluating the impact that this new standard will have on the consolidated financial statements.</w:t>
      </w:r>
    </w:p>
    <w:p>
      <w:pPr>
        <w:spacing w:after="0" w:line="21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standard is effective on January 1, 2019, with early adoption permitted. The Company is evaluating the impact that this new standard will have on the consolidated financial statements.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March 2016, the FASB issued a new accounting standard intended to simplify aspects of share-based payment accounting. The standard changes how companies account for certain aspects of share-based payment awards to employees, including the accounting for income taxes, forfeitures, and statutory tax withholding requirements, as well as the classification of related matters in the statement of cash flows. The update is effective on January 1, 2017, with early adoption permitted. The Company early adopted this standard in the quarter ended September 30, 2016. As a result of the adoption, a tax benefit of $14.0 was recorded for the year ended December 31, 2016.</w:t>
      </w:r>
    </w:p>
    <w:p>
      <w:pPr>
        <w:spacing w:after="0" w:line="21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March 2016, the FASB issued a new accounting standard intended to simplify aspects of the equity method of accounting. The standard eliminates the requirement that when an investment qualifies for use of the equity method of accounting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standard requires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update is effective on January 1, 2017, with early adoption permitted. The adoption of this standard is not expected to have a material impact on the consolidated financial statements.</w:t>
      </w:r>
    </w:p>
    <w:p>
      <w:pPr>
        <w:spacing w:after="0" w:line="21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GAAP with one that reflects expected credit losses and requires consideration of a broader range of reasonable and supportable information to inform credit loss estimates. The update is effective on January 1, 2020, with early adoption permitted. The Company is currently evaluating this new standard and the impact it will have on the consolidated financial statements.</w:t>
      </w:r>
    </w:p>
    <w:p>
      <w:pPr>
        <w:spacing w:after="0" w:line="21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August 2016, the FASB issued a new accounting standard that will make eight targeted changes to how cash receipts and cash payments are presented and classified in the statement of cash flows. This update is effective on January 1, 2018, and will require adoption on a retrospective basis. The Company is currently evaluating the impact the application of this new standard will have on the Company’s consolidated financial statements.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 new accounting standard that changes the definition of a business to assist entities with evaluating when a set of transferred assets and activities is a business. This update is effective on January 1, 2018, with early adoption permitted. The Company is currently evaluating the impact the application of this new standard will have on the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Company has reclassified debt issuance costs from prepaid expenses and other assets, net to direct deductions from the associated debt liability in the December 31, 2015 consolidated balance sheet in accordance with the implementation of a FASB standard update that the company adopted as of January 1, 2016.</w:t>
      </w:r>
    </w:p>
    <w:p>
      <w:pPr>
        <w:sectPr>
          <w:pgSz w:w="11900" w:h="16838" w:orient="portrait"/>
          <w:cols w:equalWidth="0" w:num="1">
            <w:col w:w="11420"/>
          </w:cols>
          <w:pgMar w:left="240" w:top="12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the Company has reclassified short-term deferred tax assets and short-term deferred tax liabilities to net long-term deferred tax assets and net long-term deferred tax liabilities by jurisdiction, respectively, in the December 31, 2015 consolidated balance sheet in accordance with the implementation of a FASB standard update that the Company adopted as of January 1, 2016.</w:t>
      </w:r>
    </w:p>
    <w:p>
      <w:pPr>
        <w:spacing w:after="0" w:line="82" w:lineRule="exact"/>
        <w:rPr>
          <w:sz w:val="20"/>
          <w:szCs w:val="20"/>
          <w:color w:val="auto"/>
        </w:rPr>
      </w:pPr>
    </w:p>
    <w:p>
      <w:pPr>
        <w:jc w:val="both"/>
        <w:ind w:left="60"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changed its financial statement classification for certain gross receipts taxes in 2016, removing these taxes from its provision for income taxes and moving this expense into selling, general and administrative expenses. Certain gross receipts taxes of $6.1 were reclassified in both 2015 and 2014.</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a result of the early adoption of the accounting standard update associated with simplifying several aspects of share-based compensation, certain reclassifications have been made to prior period financial statements to conform with the current period presentation. For further details regarding the impact of the new standard, see New Accounting Pronouncements, 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2016, the Company acquired various laboratories and related assets for approximately $548.6 in cash (net of cash acquired).</w:t>
      </w:r>
    </w:p>
    <w:p>
      <w:pPr>
        <w:spacing w:after="0" w:line="1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completed the acquisition of Sequenom, Inc., a market leader in non-invasive prenatal testing, women's health and reproductive genetics on September 7, 2016 through a cash tender offer for $2.40 per share, or a transaction price of $249.1, net of cash received, and acquired $130.0 of debt. The Sequenom purchase consideration has been allocated to the estimated fair market value of the net assets acquired, including approximately $146.6 in identifiable intangible assets (primarily customer relationships, technology, and trade names) with weighted-average useful lives of approximately 14.6 years; $45.1 in deferred tax liabilities (relating to identifiable intangible assets); and a residual amount of non-tax deductible goodwill of approximately $206.0. While the purchase price allocation is substantially complete, it is still preliminary and subject to change. The areas of the purchase price allocation that are not yet finalized relate primarily to the impact of finalizing deferred taxes and goodwill. Accordingly, adjustments may be made as additional information is obtained about the facts and circumstances that existed as of the valuation date. The Company expects the purchase price allocation to be finalized during the second half of 2017. Any adjustments will be recorded in the period in which they were identified.</w:t>
      </w:r>
    </w:p>
    <w:p>
      <w:pPr>
        <w:spacing w:after="0" w:line="21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also acquired various other laboratories and related assets for approximately $299.5 in cash (net of cash acquired). The purchase consideration for these acquisitions has been allocated to the estimated fair market value of the net assets acquired, including approximately $126.2 in identifiable intangible assets (primarily customer relationships) and a residual amount of goodwill of approximately $192.3. These acquisitions were made primarily to extend the Company's geographic reach in important market areas and/or enhance the Company's scientific differentiation and esoteric testing capabilities. While the purchase price allocation for one of the fourth quarter acquisitions is substantially complete, it is still preliminary and subject to change. The areas of the purchase price allocation that are not yet finalized relate primarily to the intangible assets, goodwill and the impact of finalizing deferred taxes. Accordingly, adjustments may be made as additional information is obtained about the facts and circumstances that existed as of the valuation date. The Company expects the purchase price allocation to be finalized during the first half of 2017. Any adjustments will be recorded in the period in which they were identified.</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9, 2017, the Company entered into a definitive agreement to purchase select operating assets of the outreach laboratory operations of a healthcare system in the Northeast. In addition, on February 23, 2017, the Company announced that it has signed a definitive agreement to purchase a premier medical reference laboratory and healthcare solutions company.</w:t>
      </w:r>
    </w:p>
    <w:p>
      <w:pPr>
        <w:spacing w:after="0" w:line="20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February 19, 2015 (Acquisition Date), the Company completed its acquisition (Acquisition) of Covance Inc. (Covance), a leading drug development services company and a leader in nutritional analysis, for $6,150.7. The Company issued debt and common stock to fund the Acquisition. Covance stockholders received $75.76 in cash and 0.2686 shares of the Company's common stock for each share of Covance common stock they owned. The Company financed the Acquisition with $3,900.0 of debt, 15.3 shares of its common stock and $488.2 of available cash, $400.0 of which was derived from a bridge term loan credit facility. On January 30, 2015, the Company issued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(together, the Acquisition Notes). The Company also entered into a $1,000.0 term loan facility which was advanced in full on the Acquisition Date. The term loan credit facility will mature five years after the closing date of the Acquisition and may be prepaid without penalty.</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valuation of acquired assets and assumed liabilities at the Acquisition Date include the following: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507365</wp:posOffset>
            </wp:positionV>
            <wp:extent cx="70408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6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consideration</w:t>
            </w: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1,762.5</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4,388.2</w:t>
            </w:r>
          </w:p>
        </w:tc>
      </w:tr>
      <w:tr>
        <w:trPr>
          <w:trHeight w:val="237"/>
        </w:trPr>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6,150.7</w:t>
            </w:r>
          </w:p>
        </w:tc>
      </w:tr>
      <w:tr>
        <w:trPr>
          <w:trHeight w:val="67"/>
        </w:trPr>
        <w:tc>
          <w:tcPr>
            <w:tcW w:w="45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24"/>
        </w:trPr>
        <w:tc>
          <w:tcPr>
            <w:tcW w:w="45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r>
      <w:tr>
        <w:trPr>
          <w:trHeight w:val="214"/>
        </w:trPr>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8"/>
        </w:trPr>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18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8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Final</w:t>
            </w:r>
          </w:p>
        </w:tc>
      </w:tr>
      <w:tr>
        <w:trPr>
          <w:trHeight w:val="27"/>
        </w:trPr>
        <w:tc>
          <w:tcPr>
            <w:tcW w:w="4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780.8</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334.8</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347.9</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1,018.2</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3,068.1</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1,830.3</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270.5</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use right</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Favorable leases</w:t>
            </w:r>
          </w:p>
        </w:tc>
        <w:tc>
          <w:tcPr>
            <w:tcW w:w="36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7,849.0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8,054.7</w:t>
            </w:r>
          </w:p>
        </w:tc>
      </w:tr>
      <w:tr>
        <w:trPr>
          <w:trHeight w:val="27"/>
        </w:trPr>
        <w:tc>
          <w:tcPr>
            <w:tcW w:w="4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190.8</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306.9</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879.3</w:t>
            </w: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109.0</w:t>
            </w:r>
          </w:p>
        </w:tc>
      </w:tr>
      <w:tr>
        <w:trPr>
          <w:trHeight w:val="27"/>
        </w:trPr>
        <w:tc>
          <w:tcPr>
            <w:tcW w:w="4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3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1,904.0</w:t>
            </w:r>
          </w:p>
        </w:tc>
      </w:tr>
      <w:tr>
        <w:trPr>
          <w:trHeight w:val="25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6,150.7</w:t>
            </w:r>
          </w:p>
        </w:tc>
      </w:tr>
      <w:tr>
        <w:trPr>
          <w:trHeight w:val="20"/>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11"/>
        <w:spacing w:after="0" w:line="313" w:lineRule="auto"/>
        <w:rPr>
          <w:sz w:val="20"/>
          <w:szCs w:val="20"/>
          <w:color w:val="auto"/>
        </w:rPr>
      </w:pPr>
      <w:r>
        <w:rPr>
          <w:rFonts w:ascii="Times New Roman" w:cs="Times New Roman" w:eastAsia="Times New Roman" w:hAnsi="Times New Roman"/>
          <w:sz w:val="18"/>
          <w:szCs w:val="18"/>
          <w:color w:val="auto"/>
        </w:rPr>
        <w:t>The amortization periods for intangible assets acquired are 28 years for customer relationships, 15 years for trade names and trademarks, 10 years for technology, and 8 years for favorable leases. The Company recorded certain measurement period adjustments and certain classifications of expenses, including items associated with the allocation of stock compensation, from cost of revenue to selling, general and administrative expenses.</w:t>
      </w:r>
    </w:p>
    <w:p>
      <w:pPr>
        <w:spacing w:after="0" w:line="176" w:lineRule="exact"/>
        <w:rPr>
          <w:sz w:val="20"/>
          <w:szCs w:val="20"/>
          <w:color w:val="auto"/>
        </w:rPr>
      </w:pPr>
    </w:p>
    <w:p>
      <w:pPr>
        <w:ind w:right="1100" w:firstLine="243"/>
        <w:spacing w:after="0" w:line="352" w:lineRule="auto"/>
        <w:rPr>
          <w:sz w:val="20"/>
          <w:szCs w:val="20"/>
          <w:color w:val="auto"/>
        </w:rPr>
      </w:pPr>
      <w:r>
        <w:rPr>
          <w:rFonts w:ascii="Times New Roman" w:cs="Times New Roman" w:eastAsia="Times New Roman" w:hAnsi="Times New Roman"/>
          <w:sz w:val="18"/>
          <w:szCs w:val="18"/>
          <w:color w:val="auto"/>
        </w:rPr>
        <w:t xml:space="preserve">The Acquisition contributed $2,209.7 and $167.2 of revenue and operating income, respectively, during the year ended December 31, 2015. </w:t>
      </w:r>
      <w:r>
        <w:rPr>
          <w:rFonts w:ascii="Times New Roman" w:cs="Times New Roman" w:eastAsia="Times New Roman" w:hAnsi="Times New Roman"/>
          <w:sz w:val="18"/>
          <w:szCs w:val="18"/>
          <w:i w:val="1"/>
          <w:iCs w:val="1"/>
          <w:color w:val="auto"/>
        </w:rPr>
        <w:t>Unaudited Pro Forma Information</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the Acquisition on February 19, 2015. Had the Acquisition been completed as of the beginning of 2014, the Company's pro forma results for 2015 would have been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Year Ended</w:t>
            </w:r>
          </w:p>
        </w:tc>
      </w:tr>
      <w:tr>
        <w:trPr>
          <w:trHeight w:val="234"/>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2015</w:t>
            </w:r>
          </w:p>
        </w:tc>
      </w:tr>
      <w:tr>
        <w:trPr>
          <w:trHeight w:val="34"/>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9,033.3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1,117.2</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547.5</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r>
    </w:tbl>
    <w:p>
      <w:pPr>
        <w:spacing w:after="0" w:line="1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2015, the Company also acquired various other laboratories and related assets for approximately $128.4 in cash (net of cash acquired). These acquisitions were made primarily to extend the Company's geographic reach in important market areas and/or enhance the Company's scientific differentiation and esoteric testing capabilities. The purchase consideration for these acquisitions has been allocated to the estimated fair market value of the net assets acquired, including approximately $17.4 in identifiable intangible assets (primarily customer relationships and non-compete agreements) and a residual amount of goodwill of approximately $68.4.</w:t>
      </w:r>
    </w:p>
    <w:p>
      <w:pPr>
        <w:sectPr>
          <w:pgSz w:w="11900" w:h="16838" w:orient="portrait"/>
          <w:cols w:equalWidth="0" w:num="1">
            <w:col w:w="11420"/>
          </w:cols>
          <w:pgMar w:left="240" w:top="121" w:right="239" w:bottom="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1420"/>
          </w:cols>
          <w:pgMar w:left="240" w:top="121" w:right="239" w:bottom="0" w:gutter="0" w:footer="0" w:header="0"/>
          <w:type w:val="continuous"/>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November 20, 2014, the Company completed its acquisition of LipoScience, Inc. (LipoScience), a provider of specialized cardiovascular diagnostic laboratory tests based on nuclear magnetic resonance (NMR) technology, for a purchase price of $5.25 per share or a transaction value of $67.9 (net of cash acquired).</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LipoScience purchase consideration was allocated to the estimated fair market value of the net assets acquired, including approximately $27.2 in identifiable intangible assets (primarily non-tax deductible customer relationships, technology and trade names and trademarks) with weighted-average useful lives of approximately 19.5 years; $9.4 in deferred tax liabilities (relating to identifiable intangible assets); and a residual amount of non-tax deductible goodwill of approximately $17.4.</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the Company also acquired various other laboratories and related assets for approximately $91.5 in cash (net of cash acquired). These acquisitions were made primarily to extend the Company's geographic reach in important market areas and/or enhance the Company's scientific differentiation and esoteric testing capabilities.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Contingent consideration liabilities associated with the Company's business acquisitions are recorded at fair value based upon the estimated probability assessment of the earn-out criteria. Changes in the fair value of contingent consideration liabilities are recognized in earnings until the arrangement is settled.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 AND OTHER SPECIAL CHARGES</w:t>
      </w:r>
    </w:p>
    <w:p>
      <w:pPr>
        <w:spacing w:after="0" w:line="13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During 2016, the Company recorded net restructuring charges of $58.4; $15.8 within LCD and $42.6 within CDD. The charges were comprised of $30.9 in severance and other personnel costs and $33.8 in facility-related costs primarily associated with general integration activities. A substantial portion of these costs relate to the planned closure of duplicative data center operations and other facilities. The charges were offset by the reversal of previously established reserves of $2.8 in unused severance and $3.5 in unused facility-related costs. The Company incurred additional legal and other costs of $4.6 relating to the wind down of its minimum volume service contract operations and incurred $8.0 in acquisition fees and expenses. The Company also recorded $6.9 in consulting expenses relating to fees incurred as part of its Acquisition integration costs and compensation analysis, along with $2.5 in short-term equity retention arrangements relating to the Acquisition and $8.9 of accelerated equity compensation and other final compensation relating to executive transition, along with $9.0 of non-capitalized costs associated with the implementation of a major system as part of LaunchPad, LCD's comprehensive, enterprise-wide business process improvement initiative (all recorded in selling, general and administrative expenses). The Company also recorded a $3.6 gain on sale for certain assets held for sale. The Company incurred $5.6 of interest expense relating to the early retirement of subsidiary indebtedness assumed as part of its recent acquisition of Sequenom.</w:t>
      </w:r>
    </w:p>
    <w:p>
      <w:pPr>
        <w:spacing w:after="0" w:line="22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2015, the Company recorded net restructuring charges of $113.9; $39.2 within LCD and $74.7 within CDD. The charges were comprised of $59.2 in severance and other personnel costs and $55.8 in facility-related costs primarily associated with general integration activities. A substantial portion of these costs relate to the planned closure of two CDD operations that serviced a minimum volume contract that expired on October 31, 2015. These charges were offset by the reversal of previously established reserves of $1.1 in unused facility related costs. Included within the facility-related charges noted above is a $26.7 asset impairment charge relating to CDD lab and customer service applications that will no longer be used.</w:t>
      </w:r>
    </w:p>
    <w:p>
      <w:pPr>
        <w:spacing w:after="0" w:line="21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during 2015, the Company recorded $25.6 in consulting expenses (recorded in selling, general and administrative expenses) relating to fees incurred as part of LaunchPad as well as Covance integration costs and employee compensation studies, along with $5.4 in short-term equity retention arrangements relating to the acquisition of Covance and $0.3 of accelerated equity compensation relating to the retirement of a Company executive (all recorded in selling, general and administrative expenses). The Company also incurred $5.7 relating to the wind down of the minimum volume contract operations referred to in the previous paragraph.</w:t>
      </w:r>
    </w:p>
    <w:p>
      <w:pPr>
        <w:spacing w:after="0" w:line="211"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Additionally, the Company recorded $166.0 of deal costs related to the Acquisition, of which $113.4 is included in selling, general and administrative expenses and $52.6 is included in interest expense. During 2015, the Company also recorded a non-cash loss of $2.3, upon the dissolution of one of its equity investments, which is included in other, net expenses. During the fourth quarter, the Company paid $12.2 in settlement costs and litigation expenses related to the resolution of a U.S. court putative class action lawsuit. In addition, the Company incurred $3.0 of non-capitalized costs associated with the implementation of a major system as part of LaunchPad.</w:t>
      </w:r>
    </w:p>
    <w:p>
      <w:pPr>
        <w:spacing w:after="0" w:line="211"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During 2014, the Company recorded net restructuring charges of $17.8. The charges were comprised of $10.5 in severance and other personnel costs and $8.4 in facility-related costs primarily associated with the ongoing integration of Orchid Cellmark, Inc. and the Integrated Genetics business (formerly Genzyme Genetics) and costs associated with the previously announced termination of an executive vice president. These charges were offset by the reversal of previously established reserves of $0.4 in unused severance and $0.7 in unused facility-related costs.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1420"/>
          </w:cols>
          <w:pgMar w:left="240" w:top="121" w:right="23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RESERVES</w:t>
      </w:r>
    </w:p>
    <w:p>
      <w:pPr>
        <w:spacing w:after="0" w:line="134"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represents the Company’s restructuring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LCD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9"/>
              </w:rPr>
              <w:t>CDD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378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Severance and Other</w:t>
            </w:r>
          </w:p>
        </w:tc>
        <w:tc>
          <w:tcPr>
            <w:tcW w:w="24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Lease and Other</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Severance and Other</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Lease and Other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Employee Costs</w:t>
            </w:r>
          </w:p>
        </w:tc>
        <w:tc>
          <w:tcPr>
            <w:tcW w:w="24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Facility Costs</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Facility Costs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right="800" w:firstLine="162"/>
        <w:spacing w:after="0" w:line="282" w:lineRule="auto"/>
        <w:rPr>
          <w:sz w:val="20"/>
          <w:szCs w:val="20"/>
          <w:color w:val="auto"/>
        </w:rPr>
      </w:pPr>
      <w:r>
        <w:rPr>
          <w:rFonts w:ascii="Times New Roman" w:cs="Times New Roman" w:eastAsia="Times New Roman" w:hAnsi="Times New Roman"/>
          <w:sz w:val="18"/>
          <w:szCs w:val="18"/>
          <w:color w:val="auto"/>
        </w:rPr>
        <w:t>The non-current portion of the restructuring liabilities is expected to be paid out over 8.5 years. Cash payments and other adjustments include the reclassification of profit sharing, pension, and holiday accrual.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JOINT VENTURE PARTNERSHIPS AND EQUITY METHOD INVESTMENTS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At December 31, 2016, the Company had investments in the following unconsolidated joint venture partnerships and equity method investments: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Locations</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w:t>
            </w:r>
          </w:p>
        </w:tc>
        <w:tc>
          <w:tcPr>
            <w:tcW w:w="1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Interest Owned</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38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bottom w:val="single" w:sz="8" w:color="auto"/>
            </w:tcBorders>
            <w:shd w:val="clear" w:color="auto" w:fill="000000"/>
          </w:tcPr>
          <w:p>
            <w:pPr>
              <w:spacing w:after="0" w:line="20" w:lineRule="exact"/>
              <w:rPr>
                <w:sz w:val="1"/>
                <w:szCs w:val="1"/>
                <w:color w:val="auto"/>
              </w:rPr>
            </w:pPr>
          </w:p>
        </w:tc>
      </w:tr>
      <w:tr>
        <w:trPr>
          <w:trHeight w:val="190"/>
        </w:trPr>
        <w:tc>
          <w:tcPr>
            <w:tcW w:w="7700" w:type="dxa"/>
            <w:vAlign w:val="bottom"/>
            <w:gridSpan w:val="5"/>
          </w:tcPr>
          <w:p>
            <w:pPr>
              <w:ind w:left="40"/>
              <w:spacing w:after="0" w:line="189" w:lineRule="exact"/>
              <w:rPr>
                <w:sz w:val="20"/>
                <w:szCs w:val="20"/>
                <w:color w:val="auto"/>
              </w:rPr>
            </w:pPr>
            <w:r>
              <w:rPr>
                <w:rFonts w:ascii="Times New Roman" w:cs="Times New Roman" w:eastAsia="Times New Roman" w:hAnsi="Times New Roman"/>
                <w:sz w:val="18"/>
                <w:szCs w:val="18"/>
                <w:color w:val="auto"/>
              </w:rPr>
              <w:t>Joint Venture Partnerships: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Alberta, Canada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43"/>
        </w:trPr>
        <w:tc>
          <w:tcPr>
            <w:tcW w:w="40" w:type="dxa"/>
            <w:vAlign w:val="bottom"/>
          </w:tcPr>
          <w:p>
            <w:pPr>
              <w:spacing w:after="0"/>
              <w:rPr>
                <w:sz w:val="21"/>
                <w:szCs w:val="21"/>
                <w:color w:val="auto"/>
              </w:rPr>
            </w:pPr>
          </w:p>
        </w:tc>
        <w:tc>
          <w:tcPr>
            <w:tcW w:w="76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Florence, South Carolina</w:t>
            </w:r>
          </w:p>
        </w:tc>
        <w:tc>
          <w:tcPr>
            <w:tcW w:w="1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70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0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Various</w:t>
            </w:r>
          </w:p>
        </w:tc>
        <w:tc>
          <w:tcPr>
            <w:tcW w:w="5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various</w:t>
            </w:r>
          </w:p>
        </w:tc>
      </w:tr>
    </w:tbl>
    <w:p>
      <w:pPr>
        <w:spacing w:after="0" w:line="63" w:lineRule="exact"/>
        <w:rPr>
          <w:sz w:val="20"/>
          <w:szCs w:val="20"/>
          <w:color w:val="auto"/>
        </w:rPr>
      </w:pPr>
    </w:p>
    <w:p>
      <w:pPr>
        <w:jc w:val="both"/>
        <w:ind w:right="20" w:firstLine="270"/>
        <w:spacing w:after="0" w:line="261" w:lineRule="auto"/>
        <w:rPr>
          <w:sz w:val="20"/>
          <w:szCs w:val="20"/>
          <w:color w:val="auto"/>
        </w:rPr>
      </w:pPr>
      <w:r>
        <w:rPr>
          <w:rFonts w:ascii="Times New Roman" w:cs="Times New Roman" w:eastAsia="Times New Roman" w:hAnsi="Times New Roman"/>
          <w:sz w:val="18"/>
          <w:szCs w:val="18"/>
          <w:color w:val="auto"/>
        </w:rPr>
        <w:t>The joint venture agreements that govern the conduct of business of these partnerships mandate unanimous agreement between partners on all major business decisions as well as providing other participating rights to each partner. The equity method investments represent the Company’s purchase of shares in clinical diagnostic companies. The investments are accounted for under the equity method of accounting as the Company does not have control of these investments. The Company has no material obligations or guarantees to, or in support of, these unconsolidated investments and their operations.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Effective June 30, 2015, the Company dissolved a joint venture partnership that had been located in Milwaukee, Wisconsin.</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Condensed unconsolidated financial information for joint venture partnerships and equity method investments is shown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As of December 31:</w:t>
            </w:r>
          </w:p>
        </w:tc>
        <w:tc>
          <w:tcPr>
            <w:tcW w:w="2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 equity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64"/>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partners’ equity</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06"/>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 the period January 1 -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283.8</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Company’s recorded investment in one of its Alberta joint venture partnerships at December 31, 2016 includes $34.9 of value assigned to that partnership’s Canadian license to conduct diagnostic testing services in the province. Substantially all of the joint venture's revenue is received as reimbursement from the Alberta government's healthcare programs. While the Canadian license provides the joint venture the ability to conduct diagnostic testing in Alberta, it does not guarantee that the provincial government will continue to reimburse diagnostic laboratory testing in future years at current levels. A decision by the provincial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121" w:right="239" w:bottom="482"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to limit or reduce its reimbursement of laboratory diagnostic services would have a negative impact on the profits and cash flows the Company derives from the joint venture. In December 2013, Alberta Health Services (AHS), the Alberta government's healthcare program, issued a request for proposals for laboratory services that included the scope of services performed by the Canadian partnership. In October 2014, AHS informed the Canadian partnership that it had not been selected as the preferred proponent. In November 2014, the Canadian partnership submitted a vendor bid appeal upon the belief that there were significant flaws and failures in the conduct of the request for proposal process, which drove to a biased conclusion. AHS established a Vendor Bid Appeal Panel to hear the appeal, and the hearing occurred in February 2015. In August 2015, AHS was directed to cancel the request for proposal process. Subsequently, the Canadian partnership entered into a one-year extension through March 31, 2017 of its existing contract with AHS.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to the partnership when the transfer is effective, subject to a working capital adjustment. The Company will amortize the value of the partnership's Canadian license to its residual over the remaining term of the agreement.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ACCOUNTS RECEIVABLE, NET</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accounts receivable</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1,434.9</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The provision for doubtful accounts was $287.3, $265.4 and $276.5 in 2016, 2015 and 2014 respectively.</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Equipment and real estate under capital leases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 of capital lease assets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1,747.4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Depreciation expense and amortization of property, plant and equipment was $311.1, $269.9 and $157.6 for 2016, 2015 and 2014, respectively, including software depreciation of $79.2, $66.1, and $38.5 for 2016, 2015 and 2014,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changes in the carrying amount of goodwill (net of accumulated amortization) for the years ended December 31, 2016 and 2015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LCD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CDD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3,115.5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impact and other</w:t>
            </w: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goodwill</w:t>
            </w:r>
          </w:p>
        </w:tc>
        <w:tc>
          <w:tcPr>
            <w:tcW w:w="160" w:type="dxa"/>
            <w:vAlign w:val="bottom"/>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3,644.8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3,137.7</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2,779.6</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3,064.4</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6,424.4</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6,202.1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2016</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2015</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5"/>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Net</w:t>
            </w: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Accumulated</w:t>
            </w:r>
          </w:p>
        </w:tc>
        <w:tc>
          <w:tcPr>
            <w:tcW w:w="2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Carrying</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Amount</w:t>
            </w:r>
          </w:p>
        </w:tc>
      </w:tr>
      <w:tr>
        <w:trPr>
          <w:trHeight w:val="34"/>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3,275.3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(724.7)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2,407.7</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(163.3)</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(141.6)</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use rights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84"/>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Canadian licenses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451.0</w:t>
            </w: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4,604.1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(1,203.6)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4,347.7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(1,024.2)</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3,323.5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amortizable intangible assets acquired during 2016, and their respective weighted average amortization periods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2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Amortization Period</w:t>
            </w:r>
          </w:p>
        </w:tc>
      </w:tr>
      <w:tr>
        <w:trPr>
          <w:trHeight w:val="34"/>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use rights</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79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was $179.5, $164.5 and $76.7 in 2016, 2015 and 2014, respectively. The Company recorded earn-out and purchase accounting adjustments through amortization expense of $4.9, $1.7, and $10.4 in 2016, 2015 and 2014, respectively. Amortization expense of intangible assets is estimated to be $185.5 in fiscal 2017, $172.3 in fiscal 2018, $164.7 in fiscal 2019, $158.2 in fiscal 2020, $154.9 in fiscal 2021, and $2,016.1 thereafter.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taxes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and license fees payable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related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Rebates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LIABILITIES</w:t>
            </w: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benefit plan obligation</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related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obligation</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Worker's compensation and auto</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1420"/>
          </w:cols>
          <w:pgMar w:left="240" w:top="121" w:right="239" w:bottom="0" w:gutter="0" w:footer="0" w:header="0"/>
          <w:type w:val="continuous"/>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at December 31, 2016 and 2015 consisted of the following:</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Zero-coupon convertible subordinated notes</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3.125% Senior Notes due 2016</w:t>
            </w:r>
          </w:p>
        </w:tc>
        <w:tc>
          <w:tcPr>
            <w:tcW w:w="7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2.20% Senior Notes due 2017</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7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w:t>
            </w: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Long-term debt at December 31, 2016 and 2015 consisted of the following:</w:t>
            </w: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2.20% Senior Notes due 2017</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2.50% Senior Notes due 2018</w:t>
            </w:r>
          </w:p>
        </w:tc>
        <w:tc>
          <w:tcPr>
            <w:tcW w:w="7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4.625% Senior Notes due 2020</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2.625% Senior Notes due 2020</w:t>
            </w:r>
          </w:p>
        </w:tc>
        <w:tc>
          <w:tcPr>
            <w:tcW w:w="7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3.75% Senior Notes due 2022</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3.20% Senior Notes due 2022</w:t>
            </w:r>
          </w:p>
        </w:tc>
        <w:tc>
          <w:tcPr>
            <w:tcW w:w="7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4.00% Senior Notes due 2023</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7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7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5,940.3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3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November 2, 2014, in connection with entering into the definitive merger agreement to acquire Covance (Merger Agreement), the Company entered into a bridge facility commitment letter. Under the bridge facility commitment letter, the lenders agreed to provide a $4,250.0 senior unsecured bridge term loan credit facility consisting of a $3,850.0 364-day unsecured debt bridge tranche and a $400.0 60-day unsecured cash bridge tranche for the purpose of financing all or a portion of the cash consideration and the fees and expenses in connection with the transactions contemplated by the Merger Agreement. The bridge facility was permitted to be drawn only in a single drawing on the Acquisition date.</w:t>
      </w:r>
    </w:p>
    <w:p>
      <w:pPr>
        <w:spacing w:after="0" w:line="21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Merger Agreement. Pursuant to the bridge facility commitment letter, upon the Company’s entry into the term loan credit facility, the $4,250.0 bridge facility was reduced to a $3,250.0 commitment, comprising a $2,850.0 364-day unsecured debt bridge tranche and a $400.0 60-day cash bridge tranche. The $1,000.0 of term loan commitments made under the term loan credit facility reduced the debt bridge tranche under the bridge facility dollar for dollar. The term loan credit facility was advanced in full on the Acquisition Date. The term loan credit facility will mature five years after the Acquisition date and may be prepaid without penalty. The term loan balance at December 31, 2016 was $565.0.</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December 19, 2014, the Company also entered into an amendment and restatement of its existing senior revolving credit facility, which was originally entered into on December 21, 2011. The senior revolving credit facility consists of a five-year revolving facility in the principal amount of up to $1,000.0, with the option of increasing the facility by up to an additional $250.0, subject to the agreement of one or more new or existing lenders to provide such additional amounts and certain other customary conditions. The revolving credit facility also provides for a subfacility of up to $100.0 for swing line borrowings and a subfacility of up to $125.0 for issuances of letters of credit. The revolving credit facility is permitted to be used for general corporate purposes, including working capital, capital expenditures, funding of share repurchases and certain other payments, and acquisitions and other investments. There were no balances outstanding on the Company's current revolving credit facility at December 31, 2016 or December 31, 2015.</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January 30, 2015, the Company issued the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Net proceeds from the offering of the Acquisition Notes were $2,870.2 after deducting underwriting discounts and other estimated expenses of the offering. Net proceeds were used to pay a portion of the cash consideration and the fees and expenses in connection with the Acquisition. Pursuant to the bridge facility commitment letter, upon the Company’s issuance of the Acquisition Notes the remaining $2,850.0 364-day unsecured debt bridge tranche under the senior unsecured bridge term loan credit facility was terminated.</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February 13, 2015, the Company entered into a 60-day cash bridge term loan credit facility in the principal amount of $400.0 for the purpose of financing a portion of the cash consideration and the fees and expenses in connection with the transactions contemplated by the Merger Agreement. The 60-day cash bridge term loan credit facility was entered into on the terms set forth in the bridge facility commitment letter for the $400.0 60-day cash bridge tranche. The 60-day cash bridge term loan credit facility was advanced in full on the Acquisition Date. On March 16, 2015, the Company elected to prepay the bridge facility without penalty.</w:t>
      </w:r>
    </w:p>
    <w:p>
      <w:pPr>
        <w:spacing w:after="0" w:line="21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term loan facility and the revolving credit facility, which have affirmative and negative covenants that are substantially identical, the Company is subject to negative covenants limiting subsidiary indebtedness and certain other covenants typical for investment grade-rated borrowers and the Company is required to maintain a leverage ratio that varies. Prior to the Acquisition Date, the leverage ratio was required to have been no greater than 3.75 to 1.0 calculated by excluding the $2,900.0 in total aggregate principal amount of the Acquisition Notes. From and after the acquisition closing date, the leverage ratio was required to have been no greater than 4.75 to 1.0 with respect to the last day of each of the first four fiscal quarters ending on or after the closing date, 4.25 to 1.0 with respect to the last day of each of the fifth through eighth fiscal quarters ending after the closing date, and 3.75 to 1.0 with respect to the last day of each fiscal quarter ending thereafter. The Company was in compliance with all covenants in the term loan facility and the revolving credit facility at December 31, 2016 and 2015. As of December 31, 2016, the ratio of total debt to consolidated EBITDA was 3.1 to 1.0.</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term loan credit facility accrues interest at a per annum rate equal to, at the Company’s election, either a LIBOR rate plus a margin ranging from 1.125% to 2.00%, or a base rate determined according to a prime rate or federal funds rate plus a margin ranging from 0.125% to 1.00%. Advances under the revolving credit facility accrue interest at a per annum rate equal to, at the Company’s election, either a LIBOR rate plus a margin ranging from 1.00% to 1.60%, or a base rate determined according to a prime rate or federal funds rate plus a margin ranging from 0.00% to 0.60%.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0.125% to 0.40%. The interest margin applicable to the credit facilities, and the facility fee and letter of credit fees payable under the revolving credit facility, are based on the Company’s senior credit ratings as determined by S&amp;P and Moody’s, which are currently BBB and Baa2, respectively.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2016, the effective interest rate on the revolving credit facility was 1.9%, and the effective interest rate on the term loan was 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Zero-Coupon Convertible Subordinated Notes</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had $46.0 and $105.4 aggregate principal amount at maturity of zero-coupon convertible subordinated notes (the Notes) due 2021 outstanding at December 31, 2016 and 2015, respectively. The Notes, which are subordinate to the Company’s bank debt, were sold at an issue price of $671.65 per $1,000.0 principal amount at maturity (representing a yield to maturity of 2.0% per year). Each one thousand dollar principal amount at maturity of the Notes is convertible into 13.4108 shares of the Company’s common stock, subject to adjustment in certain circumstances, if one of the following conditions occurs:</w:t>
      </w:r>
    </w:p>
    <w:p>
      <w:pPr>
        <w:spacing w:after="0" w:line="211" w:lineRule="exact"/>
        <w:rPr>
          <w:sz w:val="20"/>
          <w:szCs w:val="20"/>
          <w:color w:val="auto"/>
        </w:rPr>
      </w:pPr>
    </w:p>
    <w:p>
      <w:pPr>
        <w:jc w:val="both"/>
        <w:ind w:left="660" w:hanging="652"/>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of the Company’s common stock for at least 20 trading days in a period of 30 consecutive trading days ending on the last trading day of the preceding quarter reaches specified thresholds (beginning at 120% and declining 0.1282% per quarter until it reaches approximately 110% for the quarter beginning July 1, 2021 of the accreted conversion price per share of common stock on the last day of the preceding quarter). The accreted conversion price per share will equal the issue price of a note plus the accrued original issue discount and any accrued contingent additional principal, divided by the number of shares of common stock issuable upon conversion of a note on that day. The conversion trigger price for the fourth quarter of 2016 was $76.27.</w:t>
      </w:r>
    </w:p>
    <w:p>
      <w:pPr>
        <w:spacing w:after="0" w:line="21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rating assigned to the notes by S&amp;P Ratings Services is at or below BB-.</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called for redemption.</w:t>
      </w:r>
    </w:p>
    <w:p>
      <w:pPr>
        <w:sectPr>
          <w:pgSz w:w="11900" w:h="16838" w:orient="portrait"/>
          <w:cols w:equalWidth="0" w:num="1">
            <w:col w:w="11420"/>
          </w:cols>
          <w:pgMar w:left="240" w:top="12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corporate transactions have occurred (such as if the Company is party to a consolidation, merger or binding share exchange or a transfer of all or substantially all of its assets).</w:t>
      </w:r>
    </w:p>
    <w:p>
      <w:pPr>
        <w:spacing w:after="0" w:line="189"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 may redeem for cash all or a portion of the Notes at any time at specified redemption prices per one thousand dollar principal amount at maturity of the Notes.</w:t>
      </w:r>
    </w:p>
    <w:p>
      <w:pPr>
        <w:spacing w:after="0" w:line="189"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 has registered the notes and the shares of common stock issuable upon conversion of the Notes with the Securities and Exchange Commission.</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2016 and 2015, the Company settled notices to convert $59.4 and $1.5 aggregate principal amount at maturity of its zero-coupon subordinated notes with a conversion value of $53.7 and $1.3, respectively. The total cash used for these settlements was $53.7 and $1.3 and the Company also issued 0.4 and 0.0 additional shares of common stock, respectively. As a result of these conversions, in 2016 and 2015 the Company also reversed approximately $4.9 and $0.4, respectively, of deferred tax liability to reflect the tax benefit realized upon issuance of the shares.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September 12, 2016, the Company announced that for the period of September 12, 2016 to March 10, 2017, the zero-coupon subordinated notes will accrue contingent cash interest at a rate of no less than 0.125% of the average market price of a zero-coupon subordinated note for the five trading days ended September 9, 2016, in addition to the continued accrual of the original issue discount.</w:t>
      </w:r>
    </w:p>
    <w:p>
      <w:pPr>
        <w:spacing w:after="0" w:line="20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January 3, 2017,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January 1, 2017, through the close of business on the last business day of the calendar quarter, which is 5:00 p.m., New York City time, on Friday, March 31, 2017. If notices of conversion are received, the Company plans to settle the cash portion of the conversion obligation with cash on hand and/or borrowings under the its revolving credit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3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September 30, 2016, the Company announced the successful completion of consent solicitations for the 5.00% convertible Senior Notes due 2017 and 2018, totaling $130.0, assumed as part of the acquisition of Sequenom. On October 20, 2016, the Company retired $129.9 of these outstanding notes, and paid an additional $5.6 relating to the early retirement of the subsidiary indebtedness (recorded as interest expense in the Consolidated Statement of Operations).</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January 30, 2015, the Company issued the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Interest on these notes is payable semi-annually on February 1 and August 1 of each year, commencing on August 1, 2015. Net proceeds from the offering of the Acquisition Notes were $2,870.2 after deducting underwriting discounts and other estimated expenses of the offering. Net proceeds were used to pay a portion of the cash consideration and the fees and expenses in connection with the Covance acquisition.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2013, the Company issued $700.0 in new senior notes pursuant to the Company’s effective shelf registration on Form S-3. The senior notes consisted of $400.0 aggregate principal amount of 2.50% Senior Notes due 2018 and $300.0 aggregate principal amount of 4.00% Senior Notes due 2023. Interest on these notes is payable semi-annually on November 1 and May 1 of each year, commencing on May 1, 2014. The net proceeds were used to repay all of the outstanding borrowings under the Company’s former revolving credit facility and for general corporate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 These derivative financial instruments are accounted for as fair value hedges of the Senior Notes due 2020 outstanding at that time. These interest rate swaps are included in other long term assets or liabilities, as applicable, and added to the value of the senior notes, with an aggregate fair value of $14.6 at December 31, 2016.</w:t>
      </w:r>
    </w:p>
    <w:p>
      <w:pPr>
        <w:spacing w:after="0" w:line="211"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Senior Notes due 2017 and Senior Notes due 2022 bear interest at the rate of 2.20% per annum and 3.75% per annum, respectively, payable semi-annually on February 23 and August 23 of each year, commencing February 23, 2013.</w:t>
      </w:r>
    </w:p>
    <w:p>
      <w:pPr>
        <w:spacing w:after="0" w:line="18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Senior Notes due 2016 bore interest at the rate of 3.125% per annum from November 19, 2010, which was payable semi-annually on May 15 and November 15.</w:t>
      </w:r>
    </w:p>
    <w:p>
      <w:pPr>
        <w:sectPr>
          <w:pgSz w:w="11900" w:h="16838" w:orient="portrait"/>
          <w:cols w:equalWidth="0" w:num="1">
            <w:col w:w="11420"/>
          </w:cols>
          <w:pgMar w:left="240" w:top="121"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scheduled payments of long term debt and future minimum lease payments for capital leases at the end of 2016 are summarized as follows: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Notes and Other</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Capital Leases</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556.0</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414.4</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1,692.1</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3,157.0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45.5</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3,202.5</w:t>
            </w: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5,889.5</w:t>
            </w:r>
          </w:p>
        </w:tc>
      </w:tr>
      <w:tr>
        <w:trPr>
          <w:trHeight w:val="28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4"/>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5,849.5</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w:t>
            </w: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beyond one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5,300.0</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PREFERRED STOCK AND COMMON SHAREHOLDERS’ EQUITY</w:t>
      </w:r>
    </w:p>
    <w:p>
      <w:pPr>
        <w:spacing w:after="0" w:line="22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Company’s treasury shares are recorded at aggregate cost. Common shares issued and outstanding are summarized in the following table: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 treasury</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is authorized to issue up to 30.0 shares of preferred stock, par value $0.10 per share. There were no preferred shares outstanding 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 and 2015.</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in common shares issued and held in treasury are summarized below:</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Common Shares Issued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issued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 under employee stock plans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issued upon conversion of zero-coupon subordinated notes</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 in conjunction with the Acquisition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4"/>
        </w:trPr>
        <w:tc>
          <w:tcPr>
            <w:tcW w:w="74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Common stock issued at December 31</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Borders>
              <w:top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top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Common Shares Held in Treasury</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 held in treasury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Surrender of restricted stock and performance share awards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 held in treasury at December 31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3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2016, the Company purchased 0.3 shares of its common stock at a total cost of $43.9. The Company also initiated purchases of $6.0 which settled directly after December 31, 2016. At the end of 2016, including purchase commitments that had not yet settled, the Company had outstanding authorization from the Board of Directors to purchase $739.5 of Company common stock. The repurchase authorization has no expiration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are as follows: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121" w:right="239" w:bottom="86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Foreign</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Net</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Unrealized Gains</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Accumulated</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Currency</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and Losses on</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Other</w:t>
            </w:r>
          </w:p>
        </w:tc>
      </w:t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Plan</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Available for Sale</w:t>
            </w: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Comprehensive</w:t>
            </w:r>
          </w:p>
        </w:tc>
      </w:t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Securities</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Earnings</w:t>
            </w:r>
          </w:p>
        </w:tc>
      </w:tr>
      <w:tr>
        <w:trPr>
          <w:trHeight w:val="34"/>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r>
      <w:tr>
        <w:trPr>
          <w:trHeight w:val="243"/>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year adjustments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comprehensive income </w:t>
            </w:r>
            <w:r>
              <w:rPr>
                <w:rFonts w:ascii="Times New Roman" w:cs="Times New Roman" w:eastAsia="Times New Roman" w:hAnsi="Times New Roman"/>
                <w:sz w:val="18"/>
                <w:szCs w:val="18"/>
                <w:i w:val="1"/>
                <w:iCs w:val="1"/>
                <w:color w:val="auto"/>
              </w:rPr>
              <w:t>(a)</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comprehensive income </w:t>
            </w:r>
            <w:r>
              <w:rPr>
                <w:rFonts w:ascii="Times New Roman" w:cs="Times New Roman" w:eastAsia="Times New Roman" w:hAnsi="Times New Roman"/>
                <w:sz w:val="18"/>
                <w:szCs w:val="18"/>
                <w:i w:val="1"/>
                <w:iCs w:val="1"/>
                <w:color w:val="auto"/>
              </w:rPr>
              <w:t>(a) (b)</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37"/>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year adjustments</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comprehensive income </w:t>
            </w:r>
            <w:r>
              <w:rPr>
                <w:rFonts w:ascii="Times New Roman" w:cs="Times New Roman" w:eastAsia="Times New Roman" w:hAnsi="Times New Roman"/>
                <w:sz w:val="18"/>
                <w:szCs w:val="18"/>
                <w:i w:val="1"/>
                <w:iCs w:val="1"/>
                <w:color w:val="auto"/>
              </w:rPr>
              <w:t>(a)</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84"/>
        </w:trPr>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right="300" w:firstLine="8"/>
        <w:spacing w:after="0" w:line="269" w:lineRule="auto"/>
        <w:tabs>
          <w:tab w:leader="none" w:pos="204"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The amortization of prior service cost is included in the computation of net periodic benefit cost. Refer to Note 16 Pension and Postretirement Plans for additional information regarding the Company's net periodic benefit cost.</w:t>
      </w:r>
    </w:p>
    <w:p>
      <w:pPr>
        <w:ind w:right="600" w:firstLine="8"/>
        <w:spacing w:after="0" w:line="276" w:lineRule="auto"/>
        <w:tabs>
          <w:tab w:leader="none" w:pos="213"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The realized gain from the sale of an available for sale investment and the other-than-temporary impairment on an available for sale investment are included in Other, net on the Consolidated Statement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sources of income before taxes, classified between domestic and foreign entities are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9"/>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Pre-tax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752.5</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pre-tax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provisions (benefits) for income taxes in the accompanying consolidated statements of operations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In 2016, as a result of the early adoption of the accounting standard associated with simplifying several aspects of share-based compensation, a benefit of $14.0 in excess stock-based compensation was recorded directly to income tax expense. For 2015 and 2014, a portion of the tax benefit associated with option exercises from stock plans, which reduce taxes payable, were recorded through additional paid-in capital. The benefits recorded through additional paid-in capital were approximately $13.1 and $5.9 in 2015 and 2014, respectively.</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effective tax rates on earnings before income taxes are reconciled to statutory U.S. income tax rates as follows: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121" w:right="239" w:bottom="347"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324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Years Ended December 31,</w:t>
            </w:r>
          </w:p>
        </w:tc>
        <w:tc>
          <w:tcPr>
            <w:tcW w:w="960" w:type="dxa"/>
            <w:vAlign w:val="bottom"/>
          </w:tcPr>
          <w:p>
            <w:pPr>
              <w:spacing w:after="0"/>
              <w:rPr>
                <w:sz w:val="20"/>
                <w:szCs w:val="20"/>
                <w:color w:val="auto"/>
              </w:rPr>
            </w:pPr>
          </w:p>
        </w:tc>
      </w:tr>
      <w:tr>
        <w:trPr>
          <w:trHeight w:val="34"/>
        </w:trPr>
        <w:tc>
          <w:tcPr>
            <w:tcW w:w="7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16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U.S.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local income taxes, net of U.S. Federal income tax effect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earnings taxed at lower rates than the statutory U.S. rate</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acquisition items</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57"/>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7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effective rate for 2016 was favorably impacted by foreign earnings taxed at rates lower than the U.S. statutory rate and the early adoption of the share-based compensation standard.</w:t>
      </w:r>
    </w:p>
    <w:p>
      <w:pPr>
        <w:spacing w:after="0" w:line="67"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effective rate for 2015 was unfavorably impacted by restructuring and acquisition items, the recording of additional uncertain tax reserves, and a decrease in the benefit recorded from releasing uncertain tax reserves. The 2015 rate was favorably impacted by foreign earnings taxed at rates lower than the U.S. statutory rate.</w:t>
      </w:r>
    </w:p>
    <w:p>
      <w:pPr>
        <w:spacing w:after="0" w:line="8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effective rate for 2014 was unfavorably impacted by the recording of a full valuation allowance for the write down of two of the Company's investments.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 insurance reserves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restructuring reserves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351.1</w:t>
            </w:r>
          </w:p>
        </w:tc>
      </w:tr>
      <w:tr>
        <w:trPr>
          <w:trHeight w:val="28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336.0</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earnings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Zero-coupon subordinated notes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71"/>
        </w:trPr>
        <w:tc>
          <w:tcPr>
            <w:tcW w:w="83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w:t>
            </w:r>
          </w:p>
        </w:tc>
      </w:tr>
      <w:tr>
        <w:trPr>
          <w:trHeight w:val="26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2"/>
                <w:szCs w:val="22"/>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(1,143.3)</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has U.S. federal tax loss carryforwards of approximately $390.7, which expire periodically through 2035. The increase in the U.S. federal tax loss carryforwards results from the acquisition of Sequenom, Inc. The utilization of tax loss carryforwards is limited due to change of ownership rules, however, at this time, the Company expects to fully utilize substantially all U.S. federal tax loss carryforwards with the exception of approximately $3.9 for which a full valuation allowance has been provided. The Company has U.S. state tax loss carryforwards of $392.4, which also expire periodically through 2035, and on which a valuation allowance of $336.3 has been provided. The Company's U.S. state loss carryforwards increased as a result of the finalization of the Covance Inc. purchase price accounting. The Company has foreign tax loss carryforwards of $41.6 of which $29.3 has a full valuation allowance. Most of the foreign losses have an indefinite carryover. In addition to the foreign net operating losses, the Company has a foreign capital loss carryforward of $6.9. The capital loss has an indefinite life and has a full valuation allowance.</w:t>
      </w:r>
    </w:p>
    <w:p>
      <w:pPr>
        <w:spacing w:after="0" w:line="21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from $15.1 in 2015 to $31.3 in 2016 primarily due to the finalization of the Covance Inc. purchase price accounting and the recording of state tax loss carryforwards with a full valuation allowance.</w:t>
      </w:r>
    </w:p>
    <w:p>
      <w:pPr>
        <w:sectPr>
          <w:pgSz w:w="11900" w:h="16838" w:orient="portrait"/>
          <w:cols w:equalWidth="0" w:num="1">
            <w:col w:w="11420"/>
          </w:cols>
          <w:pgMar w:left="240" w:top="121" w:right="239" w:bottom="642"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1420"/>
          </w:cols>
          <w:pgMar w:left="240" w:top="121" w:right="239" w:bottom="642" w:gutter="0" w:footer="0" w:header="0"/>
          <w:type w:val="continuous"/>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Unrecognized income tax benefits were $18.4 and $24.2 at December 31, 2016 and 2015,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203"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income tax benefits in income tax expense. Accrued interest and penalties related to uncertain tax positions totaled $9.9 and $12.7 as of December 31, 2016 and 2015, respectively. During the years ended December 31, 2016, 2015 and 2014, the Company recognized $1.2, $1.8 and $2.2, respectively, in interest and penalties expense, which was offset by a benefit from reversing previous accruals for interest and penalties of $4.0, $2.2 and $3.3, respectively.</w:t>
      </w:r>
    </w:p>
    <w:p>
      <w:pPr>
        <w:spacing w:after="0" w:line="20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unrecognized income tax benefits, excluding interest and penalties, from uncertain tax positions for the years ended December 31, 2016, 2015 and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reserve for tax positions taken in the current year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reserve as a result of acquisition</w:t>
            </w: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reserve as a result of lapses in the statute of limitations</w:t>
            </w: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4"/>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18.4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As of December 31, 2016 and 2015, $18.4 and $24.2, respectively, are the approximate amounts of unrecognized income tax benefits that, if recognized, would favorably affect the effective income tax rate in any future periods.</w:t>
      </w:r>
    </w:p>
    <w:p>
      <w:pPr>
        <w:spacing w:after="0" w:line="6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has substantially concluded all U.S. federal income tax matters for years through 2012. Substantially all material state and local and foreign income tax matters have been concluded through 2011 and 2004, respectively.</w:t>
      </w:r>
    </w:p>
    <w:p>
      <w:pPr>
        <w:spacing w:after="0" w:line="18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Internal Revenue Service concluded the examination of the Company's 2014 federal consolidated income tax return, which did not include Covance Inc., in the third quarter of 2016. In the third quarter, the Company was notified that Covance Inc.'s 2013 federal consolidated income tax return was under examination. The Canada Revenue Agency is currently examining the Company's 2013 and 2014 Canadian subsidiaries' tax returns. The Company has various state and foreign income tax examinations ongoing throughout the year. The Company believes adequate provisions have been recorded related to all open tax years.</w:t>
      </w:r>
    </w:p>
    <w:p>
      <w:pPr>
        <w:spacing w:after="0" w:line="211"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changed its method for accounting for foreign earnings at the beginning of 2015 as a result of the Acquisition. Prior to the Acquisition, the Company provided tax for substantially all of its foreign earnings. Other than certain amounts associated with the Acquisition, the Company considers its foreign earnings are now permanently invested outside of the U.S. as it intends to leave its future generated unremitted foreign earnings invested indefinitely outside the U.S. given its expanded global profile. It is not practical to estimate the amount of additional tax that could be payable if accumulated earnings were remitted. Total unremitted foreign earnings for which income tax has not been provided are approximately $3,144.3 as of December 31, 2016.</w:t>
      </w:r>
    </w:p>
    <w:p>
      <w:pPr>
        <w:spacing w:after="0" w:line="85" w:lineRule="exact"/>
        <w:rPr>
          <w:sz w:val="20"/>
          <w:szCs w:val="20"/>
          <w:color w:val="auto"/>
        </w:rPr>
      </w:pPr>
    </w:p>
    <w:p>
      <w:pPr>
        <w:ind w:right="8320" w:firstLine="8"/>
        <w:spacing w:after="0" w:line="427" w:lineRule="auto"/>
        <w:tabs>
          <w:tab w:leader="none" w:pos="31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 Stock Incentive Plans</w:t>
      </w:r>
    </w:p>
    <w:p>
      <w:pPr>
        <w:spacing w:after="0" w:line="64"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There are currently 11.2 shares authorized for issuance under the Laboratory Corporation of America Holdings 2016 Omnibus Incentive Plan (the Plan) and at December 31, 2016 there were 9.6 additional shares available for grant under the Plan. The Plan was approved by shareholders at the 2016 annual meeting.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subject to their earlier expiration or termination.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Changes in options outstanding under the plans for the period indicated were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16"/>
        </w:trPr>
        <w:tc>
          <w:tcPr>
            <w:tcW w:w="47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Exercise Price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w:t>
            </w: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4"/>
        </w:trPr>
        <w:tc>
          <w:tcPr>
            <w:tcW w:w="47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per Option</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Contractual Term</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34"/>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December 31, 2016</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2016</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7"/>
        </w:trPr>
        <w:tc>
          <w:tcPr>
            <w:tcW w:w="4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last trading day of 2016 and the exercise price, multiplied by the number of in-the-money options) that would have been received by the option holders had all option holders exercised their options on December 31, 2016. The amount of intrinsic value will change based on the fair market value of the Company’s stock.</w:t>
      </w:r>
    </w:p>
    <w:p>
      <w:pPr>
        <w:spacing w:after="0" w:line="20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2016, 2015, and 2014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received by the Company</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benefits realized</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13.6</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35.5</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42.2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7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summarizes information concerning currently outstanding and exercisable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Options Outstanding</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Options Exercisable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4"/>
          </w:tcPr>
          <w:p>
            <w:pPr>
              <w:ind w:left="1220"/>
              <w:spacing w:after="0"/>
              <w:rPr>
                <w:sz w:val="20"/>
                <w:szCs w:val="20"/>
                <w:color w:val="auto"/>
              </w:rPr>
            </w:pPr>
            <w:r>
              <w:rPr>
                <w:rFonts w:ascii="Times New Roman" w:cs="Times New Roman" w:eastAsia="Times New Roman" w:hAnsi="Times New Roman"/>
                <w:sz w:val="18"/>
                <w:szCs w:val="18"/>
                <w:color w:val="auto"/>
              </w:rPr>
              <w:t>Weighted Average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Range of</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Number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4"/>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Prices</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Outstanding</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Price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Exercisable</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$59.38 - 67.60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$67.61 - 75.63</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$75.64 - 80.37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84"/>
        </w:trPr>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$80.38 - 98.49</w:t>
            </w:r>
          </w:p>
        </w:tc>
        <w:tc>
          <w:tcPr>
            <w:tcW w:w="120" w:type="dxa"/>
            <w:vAlign w:val="bottom"/>
            <w:tcBorders>
              <w:bottom w:val="single" w:sz="8" w:color="CCEEFF"/>
            </w:tcBorders>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9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9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$87.46</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uses historical data to calculate the expected life of the option. Groups of employees and non-employee directors that have similar exercise behavior with regard to option exercise timing and forfeiture rates are considered separately for valuation purposes. For 2016, 2015 and 2014, expense related to the Company’s stock option plan totaled $0.0, $2.2 and $6.9, respectively. The Company did not grant any options to employees during 2016, 2015, or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Restricted Stock Units and Performance Shares</w:t>
      </w:r>
    </w:p>
    <w:p>
      <w:pPr>
        <w:spacing w:after="0" w:line="256"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 third increments beginning on the first anniversary of the grant. A performance share grant in 2014 represents a three-year award opportunity for the period 2014-2016, and if earned, vests fully (to the extent earned) in the first quarter of 2017. A performance share grant in 2015 represents a three-year award opportunity for the period of 2015-2017 and, if earned, vests fully (to the extent earned) in the first quarter of 2018. A performance share grant in 2016 represents a three-year award opportunity for the period of 2016-2018 and, if earned, vests fully (to the extent earned) in the first quarter of 2019. Performance share awards are subject to certain earnings per share, revenue, operating income, earnings before income taxes and total shareholder return targets, the achievement of which may increase or decrease the number of shares which the grantee earns and therefore receives upon vesting. Unearned restricted stock and performance share compensation is amortized to expense over the applicable vesting periods. For 2016, 2015 and 2014, total restricted stock, restricted stock unit and performance share compensation expense was $104.1, $83.8 and $34.8, respectively.</w:t>
      </w:r>
    </w:p>
    <w:p>
      <w:pPr>
        <w:sectPr>
          <w:pgSz w:w="11900" w:h="16838" w:orient="portrait"/>
          <w:cols w:equalWidth="0" w:num="1">
            <w:col w:w="11420"/>
          </w:cols>
          <w:pgMar w:left="240" w:top="121" w:right="239" w:bottom="79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1420"/>
          </w:cols>
          <w:pgMar w:left="240" w:top="121" w:right="239" w:bottom="790" w:gutter="0" w:footer="0" w:header="0"/>
          <w:type w:val="continuous"/>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following table shows a summary of non-vested shares for the year ended December 31, 2016:</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0"/>
        </w:trPr>
        <w:tc>
          <w:tcPr>
            <w:tcW w:w="8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Weighted-Average</w:t>
            </w:r>
          </w:p>
        </w:tc>
      </w:tr>
      <w:tr>
        <w:trPr>
          <w:trHeight w:val="216"/>
        </w:trPr>
        <w:tc>
          <w:tcPr>
            <w:tcW w:w="8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4"/>
        </w:trPr>
        <w:tc>
          <w:tcPr>
            <w:tcW w:w="8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34"/>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109.00</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103.59</w:t>
            </w:r>
          </w:p>
        </w:tc>
      </w:tr>
      <w:tr>
        <w:trPr>
          <w:trHeight w:val="27"/>
        </w:trPr>
        <w:tc>
          <w:tcPr>
            <w:tcW w:w="8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100.70</w:t>
            </w:r>
          </w:p>
        </w:tc>
      </w:tr>
      <w:tr>
        <w:trPr>
          <w:trHeight w:val="284"/>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110.62</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108.23</w:t>
            </w: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As of December 31, 2016, there was $58.2 of total unrecognized compensation cost related to non-vested restricted stock, restricted stock unit and performance share-based compensation arrangements granted under the Company's stock incentive plans. That cost is expected to be recognized over a weighted average period of 1.8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Under the 2016 Employee Stock Purchase Plan, the Company is authorized to issue 2.5 shares of common stock. The plan permits substantially all employees to purchase a limited number of shares of Company stock at 85% of market value. The Company issues shares to participating employees semi-annually in January and July of each year. Approximately 0.2 shares were purchased by eligible employees in each of 2016, 2015 and 2014, respectively, under either the 2016 Employee Stock Purchase Plan or the prior plan, which began in 1997 and was amended in 1999, 2004, 2008 and 2012. For 2016, 2015 and 2014, expense related to the Company’s employee stock purchase plan was $5.5, $4.1 and $4.0, respectively.</w:t>
      </w:r>
    </w:p>
    <w:p>
      <w:pPr>
        <w:spacing w:after="0" w:line="8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the employee’s purchase right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19.48</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assumptions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Risk 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CONTINGENT LIABILITIES</w:t>
      </w:r>
    </w:p>
    <w:p>
      <w:pPr>
        <w:spacing w:after="0" w:line="25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and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healthcare providers (e.g. physician assistants and nurse practitioners). The Company works cooperatively to respond to appropriate requests for information.</w:t>
      </w:r>
    </w:p>
    <w:p>
      <w:pPr>
        <w:spacing w:after="0" w:line="210" w:lineRule="exact"/>
        <w:rPr>
          <w:sz w:val="20"/>
          <w:szCs w:val="20"/>
          <w:color w:val="auto"/>
        </w:rPr>
      </w:pPr>
    </w:p>
    <w:p>
      <w:pPr>
        <w:jc w:val="both"/>
        <w:ind w:right="20" w:firstLine="27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is named from time to time in suits brought under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 Such claims are an inevitable part of doing business in the healthcare field today.</w:t>
      </w:r>
    </w:p>
    <w:p>
      <w:pPr>
        <w:spacing w:after="0" w:line="20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 can be no assurance, therefore, that the applicable statutes and regulations will not be interpreted or applied by a prosecutorial, regulatory or judicial authority in a manner that would adversely affect the Company. Potential sanctions for violation of these statutes and regulations include significant fines; the loss of various licenses, certificates and authorizations; and/or exclusion from participation in government programs.</w:t>
      </w:r>
    </w:p>
    <w:p>
      <w:pPr>
        <w:sectPr>
          <w:pgSz w:w="11900" w:h="16838" w:orient="portrait"/>
          <w:cols w:equalWidth="0" w:num="1">
            <w:col w:w="11420"/>
          </w:cols>
          <w:pgMar w:left="240" w:top="121"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15"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As previously reported, the Company reached a settlement in the previously disclosed lawsuit, </w:t>
      </w:r>
      <w:r>
        <w:rPr>
          <w:rFonts w:ascii="Times New Roman" w:cs="Times New Roman" w:eastAsia="Times New Roman" w:hAnsi="Times New Roman"/>
          <w:sz w:val="18"/>
          <w:szCs w:val="18"/>
          <w:i w:val="1"/>
          <w:iCs w:val="1"/>
          <w:color w:val="auto"/>
        </w:rPr>
        <w:t>California ex rel. Hunter Laboratories, LLC et al. v. 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Diagnostics Incorporated, et al. </w:t>
      </w:r>
      <w:r>
        <w:rPr>
          <w:rFonts w:ascii="Times New Roman" w:cs="Times New Roman" w:eastAsia="Times New Roman" w:hAnsi="Times New Roman"/>
          <w:sz w:val="18"/>
          <w:szCs w:val="18"/>
          <w:color w:val="auto"/>
        </w:rPr>
        <w:t>(Hunter Labs Settlement Agreement), to avoid the uncertainty and costs associated with prolonged litigation.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Hunter Labs Settlement Agreement, the Company recorded a litigation settlement expense of $34.5 in the second quarter of 2011 (net of a previously recorded reserve of $15.0) and paid the settlement amount of $49.5 in the third quarter of 2011. The Company also agreed to certain reporting obligations regarding its pricing for a limited time period and, at the option of the Company in lieu of such reporting obligations, to provide Medi-Cal with a discount from Medi-Cal's otherwise applicable maximum reimbursement rate from November 1, 2011, through October 31, 2012. In 2011, the California legislature enacted Assembly Bill No. 97, which imposed a 10.0% Medi-Cal payment cut on most providers of healthcare services, including clinical laboratories. This 10% cut is currently being applied to the rates that would otherwise be applicable. In 2012, the California legislature enacted Assembly Bill No. 1494, which directed the Department of Healthcare Services (DHCS) to establish new reimbursement rates for Medi-Cal commercial laboratory services based on payments made to California clinical laboratories for similar services by other third-party payers, and provided that until the new rates are set through this process, Medi-Cal payments for commercial laboratory services will be reduced (in addition to a 10.0% payment reduction imposed by Assembly Bill No. 97 in 2011) by “up to 10 percent” for tests with dates of service on or after July 1, 2012, with a cap on payments set at 80.0% of the lowest maximum allowance established under the Medicare program. Under the terms of the Hunter Labs Settlement Agreement, the enactment of this California legislation terminates the Company's reporting obligations (or obligation to provide a discount in lieu of reporting) under that agreement. In April 2015, CMS approved a 10.0% payment reduction under Assembly Bill No. 1494. The new rate methodology established new rates that were effective July 1, 2015, but these new rates were not entered into the state computer system until February, 2016. Based on reported 2015 payment data, new rates were established to be effective July 1, 2016, but due to computer system delays, these rates have not been fully implemented yet and recoupments associated with these changes are anticipated, but have not begun. Taken together, these changes are not expected to have a material impact on the Company's consolidated revenues or results of operations</w:t>
      </w:r>
    </w:p>
    <w:p>
      <w:pPr>
        <w:spacing w:after="0" w:line="221"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 xml:space="preserve">As previously reported, the Company responded to an October 2007 subpoena from the U.S. Department of Health &amp; Human Services Office of Inspector General's regional office in New York. On August 17, 2011, the United States District Court for the Southern District of New York unsealed a False Claims Act lawsuit, </w:t>
      </w:r>
      <w:r>
        <w:rPr>
          <w:rFonts w:ascii="Times New Roman" w:cs="Times New Roman" w:eastAsia="Times New Roman" w:hAnsi="Times New Roman"/>
          <w:sz w:val="18"/>
          <w:szCs w:val="18"/>
          <w:i w:val="1"/>
          <w:iCs w:val="1"/>
          <w:color w:val="auto"/>
        </w:rPr>
        <w:t>United States of America ex rel. NPT Associates v. Laboratory Corporation of America Holdings</w:t>
      </w:r>
      <w:r>
        <w:rPr>
          <w:rFonts w:ascii="Times New Roman" w:cs="Times New Roman" w:eastAsia="Times New Roman" w:hAnsi="Times New Roman"/>
          <w:sz w:val="18"/>
          <w:szCs w:val="18"/>
          <w:color w:val="auto"/>
        </w:rPr>
        <w:t>, which alleges that the Company offered UnitedHealthcare kickbacks in the form of discounts in return for Medicare business. The Plaintiff's Third Amended Complaint further alleges that the Company's billing practices violated the False Claims Acts of fourteen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an amended complaint under seal. The Company will vigorously defend the lawsuit.</w:t>
      </w:r>
    </w:p>
    <w:p>
      <w:pPr>
        <w:spacing w:after="0" w:line="213"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In June 2010, the Company received a subpoena from the State of Florida Office of the Attorney General requesting documents related to its billing to Florida Medicaid. In October 2013, the Company received a civil investigative demand from the State of Texas Office of the Attorney General requesting documents related to its billing to Texas Medicaid. The Company is cooperating with these requests.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2013, the State of Florida through the Office of the Attorney General filed an Intervention Complaint in a False Claims Act lawsuit, </w:t>
      </w:r>
      <w:r>
        <w:rPr>
          <w:rFonts w:ascii="Times New Roman" w:cs="Times New Roman" w:eastAsia="Times New Roman" w:hAnsi="Times New Roman"/>
          <w:sz w:val="18"/>
          <w:szCs w:val="18"/>
          <w:i w:val="1"/>
          <w:iCs w:val="1"/>
          <w:color w:val="auto"/>
        </w:rPr>
        <w:t>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Florida ex rel. Hunter Laboratories, LLC and Chris Riedel v. Quest Diagnostics Incorporated, et al. </w:t>
      </w:r>
      <w:r>
        <w:rPr>
          <w:rFonts w:ascii="Times New Roman" w:cs="Times New Roman" w:eastAsia="Times New Roman" w:hAnsi="Times New Roman"/>
          <w:sz w:val="18"/>
          <w:szCs w:val="18"/>
          <w:color w:val="auto"/>
        </w:rPr>
        <w:t>in the Circuit Court for the Second Judicial Circuit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Leon County. The lawsuit, originally filed by a competitor laboratory, alleges that the Company overcharged Florida’s Medicaid program. The lawsuit seeks actual and treble damages and civil penalties for each alleged false claim, as well as recovery of costs, attorney’s fees, and legal expenses. The Company's Motion to Dismiss was denied in February 2015. In December 2016, the Court granted the Company's Motion for Partial Summary Judgment. The Company will vigorously defend the remaining claims in the lawsuit.</w:t>
      </w:r>
    </w:p>
    <w:p>
      <w:pPr>
        <w:spacing w:after="0" w:line="210"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 xml:space="preserve">On May 2, 2013, the Company was served with a False Claims Act lawsuit, </w:t>
      </w:r>
      <w:r>
        <w:rPr>
          <w:rFonts w:ascii="Times New Roman" w:cs="Times New Roman" w:eastAsia="Times New Roman" w:hAnsi="Times New Roman"/>
          <w:sz w:val="18"/>
          <w:szCs w:val="18"/>
          <w:i w:val="1"/>
          <w:iCs w:val="1"/>
          <w:color w:val="auto"/>
        </w:rPr>
        <w:t>State of Georgia ex rel. Hunter Laboratories, LLC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Chris Riedel v. 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Diagnostics Incorporated, et al.</w:t>
      </w:r>
      <w:r>
        <w:rPr>
          <w:rFonts w:ascii="Times New Roman" w:cs="Times New Roman" w:eastAsia="Times New Roman" w:hAnsi="Times New Roman"/>
          <w:sz w:val="18"/>
          <w:szCs w:val="18"/>
          <w:color w:val="auto"/>
        </w:rPr>
        <w:t>, filed in the State Court of Fulton County, Georgia. The lawsuit, filed by a competitor laboratory, alleges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overcharged Georgia's Medicaid program. The State of Georgia filed a Notice of Declination on August 13, 2012, before the Company was served with the Complaint. The case was removed to the United States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Company will vigorously defend the lawsuit.</w:t>
      </w:r>
    </w:p>
    <w:p>
      <w:pPr>
        <w:spacing w:after="0" w:line="216"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8"/>
          <w:szCs w:val="18"/>
          <w:color w:val="auto"/>
        </w:rPr>
        <w:t xml:space="preserve">On June 7, 2012, the Company was served with a putative class action lawsuit, </w:t>
      </w:r>
      <w:r>
        <w:rPr>
          <w:rFonts w:ascii="Times New Roman" w:cs="Times New Roman" w:eastAsia="Times New Roman" w:hAnsi="Times New Roman"/>
          <w:sz w:val="18"/>
          <w:szCs w:val="18"/>
          <w:i w:val="1"/>
          <w:iCs w:val="1"/>
          <w:color w:val="auto"/>
        </w:rPr>
        <w:t>Yvonne Jansky v. Laboratory Corporation of America, et al.</w:t>
      </w:r>
      <w:r>
        <w:rPr>
          <w:rFonts w:ascii="Times New Roman" w:cs="Times New Roman" w:eastAsia="Times New Roman" w:hAnsi="Times New Roman"/>
          <w:sz w:val="18"/>
          <w:szCs w:val="18"/>
          <w:color w:val="auto"/>
        </w:rPr>
        <w:t>, filed in the Superior Court of the State of California, County of San Francisco. The lawsuit alleges that the defendants committed unlawful and unfair business practices, and violated various other state laws by changing screening codes to diagnostic codes on laboratory test orders, thereby resulting in customers being responsible for co-payments and other debts. The lawsuit seeks injunctive relief, actual and punitive damages, as well as recovery of attorney's fees, and legal expenses. In June 2015, Plaintiff's Motion for Class Certification was denied. The Plaintiff appealed the denial of Class Certification, and the Court of Appeal affirmed the denial of the Motion for Class Certification on January 20, 2017. The Company will vigorously defend the lawsuit.</w:t>
      </w:r>
    </w:p>
    <w:p>
      <w:pPr>
        <w:spacing w:after="0" w:line="210"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 xml:space="preserve">On August 24, 2012, the Company was served with a putative class action lawsuit, </w:t>
      </w:r>
      <w:r>
        <w:rPr>
          <w:rFonts w:ascii="Times New Roman" w:cs="Times New Roman" w:eastAsia="Times New Roman" w:hAnsi="Times New Roman"/>
          <w:sz w:val="18"/>
          <w:szCs w:val="18"/>
          <w:i w:val="1"/>
          <w:iCs w:val="1"/>
          <w:color w:val="auto"/>
        </w:rPr>
        <w:t>Sandusky Wellness Center, LLC, et al. v. MEDTOX Scientific,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filed in the United States District Court for the District of Minnesota. The lawsuit alleges that on or about February 21, 2012, the defendants violated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United States Court of Appeals for the Eighth Circuit issued its decision and order reversing the District Court’s denial of class certification. The Eighth Circuit remanded the matter for further proceedings. On December 7, 2016, the District Court granted the Plaintiff’s renewed Motion for Class Certification. The Company will vigorously defend the lawsuit.</w:t>
      </w:r>
    </w:p>
    <w:p>
      <w:pPr>
        <w:spacing w:after="0" w:line="216"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On December 28, 2016, the Company filed a Motion for Judgment on the Pleadings. The Company will vigorously defend the lawsuit.</w:t>
      </w:r>
    </w:p>
    <w:p>
      <w:pPr>
        <w:spacing w:after="0" w:line="20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December 2014, the Company received a Civil Investigative Demand issued pursuant to the U.S. False Claims Act from the U.S. Attorney’s Office for South Carolina, which requests information regarding remuneration and services provided by the Company to physicians who also received draw and processing/handling fees from competitor laboratories Health Diagnostic Laboratory, Inc. and Singulex, Inc. The Company is cooperating with the request.</w:t>
      </w:r>
    </w:p>
    <w:p>
      <w:pPr>
        <w:spacing w:after="0" w:line="201"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On August 3, 2016, the Company was served with a putative class action lawsuit, </w:t>
      </w:r>
      <w:r>
        <w:rPr>
          <w:rFonts w:ascii="Times New Roman" w:cs="Times New Roman" w:eastAsia="Times New Roman" w:hAnsi="Times New Roman"/>
          <w:sz w:val="18"/>
          <w:szCs w:val="18"/>
          <w:i w:val="1"/>
          <w:iCs w:val="1"/>
          <w:color w:val="auto"/>
        </w:rPr>
        <w:t>Daniel L. Bloomquist v. Covance Inc., et al.</w:t>
      </w:r>
      <w:r>
        <w:rPr>
          <w:rFonts w:ascii="Times New Roman" w:cs="Times New Roman" w:eastAsia="Times New Roman" w:hAnsi="Times New Roman"/>
          <w:sz w:val="18"/>
          <w:szCs w:val="18"/>
          <w:color w:val="auto"/>
        </w:rPr>
        <w:t>, filed in the Superior Court of California, County of San Diego. The complaint alleges that Covance Inc. violated the California Labor Code and California Business &amp; Professions Code by failing to provide overtime wages, failing to provide meal and rest periods, failing to pay for all hours worked, failing to pay for all wages owed upon termination, and failing to provide accurate itemized wage statements to Clinical Research Associates and Senior Clinical Research Associates employed by Covance Inc. in California. The lawsuit seeks monetary damages, civil penalties, injunctive relief and recovery of attorney's fees and costs. 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October 13, 2016, the case was removed to the United States District Court for the Southern District of California. The Company will vigorously defend the lawsuit.</w:t>
      </w:r>
    </w:p>
    <w:p>
      <w:pPr>
        <w:spacing w:after="0" w:line="6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Prior to the Company’s acquisition of Sequenom, between August 15, 2016, and August 24, 2016, six putative class-action lawsuits were filed on behalf of purported Sequenom stockholders (captioned </w:t>
      </w:r>
      <w:r>
        <w:rPr>
          <w:rFonts w:ascii="Times New Roman" w:cs="Times New Roman" w:eastAsia="Times New Roman" w:hAnsi="Times New Roman"/>
          <w:sz w:val="18"/>
          <w:szCs w:val="18"/>
          <w:i w:val="1"/>
          <w:iCs w:val="1"/>
          <w:color w:val="auto"/>
        </w:rPr>
        <w:t>Malkoff v. Sequenom, Inc., et al.</w:t>
      </w:r>
      <w:r>
        <w:rPr>
          <w:rFonts w:ascii="Times New Roman" w:cs="Times New Roman" w:eastAsia="Times New Roman" w:hAnsi="Times New Roman"/>
          <w:sz w:val="18"/>
          <w:szCs w:val="18"/>
          <w:color w:val="auto"/>
        </w:rPr>
        <w:t xml:space="preserve">, No. 16-cv-02054-JAH-BLM, </w:t>
      </w:r>
      <w:r>
        <w:rPr>
          <w:rFonts w:ascii="Times New Roman" w:cs="Times New Roman" w:eastAsia="Times New Roman" w:hAnsi="Times New Roman"/>
          <w:sz w:val="18"/>
          <w:szCs w:val="18"/>
          <w:i w:val="1"/>
          <w:iCs w:val="1"/>
          <w:color w:val="auto"/>
        </w:rPr>
        <w:t>Gupta v. Sequenom, Inc., et al.</w:t>
      </w:r>
      <w:r>
        <w:rPr>
          <w:rFonts w:ascii="Times New Roman" w:cs="Times New Roman" w:eastAsia="Times New Roman" w:hAnsi="Times New Roman"/>
          <w:sz w:val="18"/>
          <w:szCs w:val="18"/>
          <w:color w:val="auto"/>
        </w:rPr>
        <w:t xml:space="preserve">, No. 16-cv-02084-JAH-KSC, </w:t>
      </w:r>
      <w:r>
        <w:rPr>
          <w:rFonts w:ascii="Times New Roman" w:cs="Times New Roman" w:eastAsia="Times New Roman" w:hAnsi="Times New Roman"/>
          <w:sz w:val="18"/>
          <w:szCs w:val="18"/>
          <w:i w:val="1"/>
          <w:iCs w:val="1"/>
          <w:color w:val="auto"/>
        </w:rPr>
        <w:t>Fruchter v. Sequenom, Inc., et al.</w:t>
      </w:r>
      <w:r>
        <w:rPr>
          <w:rFonts w:ascii="Times New Roman" w:cs="Times New Roman" w:eastAsia="Times New Roman" w:hAnsi="Times New Roman"/>
          <w:sz w:val="18"/>
          <w:szCs w:val="18"/>
          <w:color w:val="auto"/>
        </w:rPr>
        <w:t xml:space="preserve">, No. 16-cv-02101-WQH-KSC, </w:t>
      </w:r>
      <w:r>
        <w:rPr>
          <w:rFonts w:ascii="Times New Roman" w:cs="Times New Roman" w:eastAsia="Times New Roman" w:hAnsi="Times New Roman"/>
          <w:sz w:val="18"/>
          <w:szCs w:val="18"/>
          <w:i w:val="1"/>
          <w:iCs w:val="1"/>
          <w:color w:val="auto"/>
        </w:rPr>
        <w:t>Asiatrade Development Ltd. v. Sequenom, Inc., et al.</w:t>
      </w:r>
      <w:r>
        <w:rPr>
          <w:rFonts w:ascii="Times New Roman" w:cs="Times New Roman" w:eastAsia="Times New Roman" w:hAnsi="Times New Roman"/>
          <w:sz w:val="18"/>
          <w:szCs w:val="18"/>
          <w:color w:val="auto"/>
        </w:rPr>
        <w:t xml:space="preserve">, No. 16-cv-02113-AJB-JMA, </w:t>
      </w:r>
      <w:r>
        <w:rPr>
          <w:rFonts w:ascii="Times New Roman" w:cs="Times New Roman" w:eastAsia="Times New Roman" w:hAnsi="Times New Roman"/>
          <w:sz w:val="18"/>
          <w:szCs w:val="18"/>
          <w:i w:val="1"/>
          <w:iCs w:val="1"/>
          <w:color w:val="auto"/>
        </w:rPr>
        <w:t>Nunes v. Sequenom, Inc., et al.</w:t>
      </w:r>
      <w:r>
        <w:rPr>
          <w:rFonts w:ascii="Times New Roman" w:cs="Times New Roman" w:eastAsia="Times New Roman" w:hAnsi="Times New Roman"/>
          <w:sz w:val="18"/>
          <w:szCs w:val="18"/>
          <w:color w:val="auto"/>
        </w:rPr>
        <w:t xml:space="preserve">, No. 16-cv-02128-AJB-MDD, and </w:t>
      </w:r>
      <w:r>
        <w:rPr>
          <w:rFonts w:ascii="Times New Roman" w:cs="Times New Roman" w:eastAsia="Times New Roman" w:hAnsi="Times New Roman"/>
          <w:sz w:val="18"/>
          <w:szCs w:val="18"/>
          <w:i w:val="1"/>
          <w:iCs w:val="1"/>
          <w:color w:val="auto"/>
        </w:rPr>
        <w:t>Cusumano v. Sequenom, Inc., et al.</w:t>
      </w:r>
      <w:r>
        <w:rPr>
          <w:rFonts w:ascii="Times New Roman" w:cs="Times New Roman" w:eastAsia="Times New Roman" w:hAnsi="Times New Roman"/>
          <w:sz w:val="18"/>
          <w:szCs w:val="18"/>
          <w:color w:val="auto"/>
        </w:rPr>
        <w:t xml:space="preserve">, No. 16-cv-02134-LAB-JMA) in the United States District Court for the Southern District of California challenging the acquisition transaction. The complaints asserted claims against Sequenom and members of its Board of Directors (the Individual Defendants). The </w:t>
      </w:r>
      <w:r>
        <w:rPr>
          <w:rFonts w:ascii="Times New Roman" w:cs="Times New Roman" w:eastAsia="Times New Roman" w:hAnsi="Times New Roman"/>
          <w:sz w:val="18"/>
          <w:szCs w:val="18"/>
          <w:i w:val="1"/>
          <w:iCs w:val="1"/>
          <w:color w:val="auto"/>
        </w:rPr>
        <w:t>Nunes</w:t>
      </w:r>
      <w:r>
        <w:rPr>
          <w:rFonts w:ascii="Times New Roman" w:cs="Times New Roman" w:eastAsia="Times New Roman" w:hAnsi="Times New Roman"/>
          <w:sz w:val="18"/>
          <w:szCs w:val="18"/>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Times New Roman" w:cs="Times New Roman" w:eastAsia="Times New Roman" w:hAnsi="Times New Roman"/>
          <w:sz w:val="18"/>
          <w:szCs w:val="18"/>
          <w:i w:val="1"/>
          <w:iCs w:val="1"/>
          <w:color w:val="auto"/>
        </w:rPr>
        <w:t>Malkoff</w:t>
      </w:r>
      <w:r>
        <w:rPr>
          <w:rFonts w:ascii="Times New Roman" w:cs="Times New Roman" w:eastAsia="Times New Roman" w:hAnsi="Times New Roman"/>
          <w:sz w:val="18"/>
          <w:szCs w:val="18"/>
          <w:color w:val="auto"/>
        </w:rPr>
        <w:t xml:space="preserve"> action, </w:t>
      </w:r>
      <w:r>
        <w:rPr>
          <w:rFonts w:ascii="Times New Roman" w:cs="Times New Roman" w:eastAsia="Times New Roman" w:hAnsi="Times New Roman"/>
          <w:sz w:val="18"/>
          <w:szCs w:val="18"/>
          <w:i w:val="1"/>
          <w:iCs w:val="1"/>
          <w:color w:val="auto"/>
        </w:rPr>
        <w:t>Asiatrade</w:t>
      </w:r>
      <w:r>
        <w:rPr>
          <w:rFonts w:ascii="Times New Roman" w:cs="Times New Roman" w:eastAsia="Times New Roman" w:hAnsi="Times New Roman"/>
          <w:sz w:val="18"/>
          <w:szCs w:val="18"/>
          <w:color w:val="auto"/>
        </w:rPr>
        <w:t xml:space="preserve"> action, and </w:t>
      </w:r>
      <w:r>
        <w:rPr>
          <w:rFonts w:ascii="Times New Roman" w:cs="Times New Roman" w:eastAsia="Times New Roman" w:hAnsi="Times New Roman"/>
          <w:sz w:val="18"/>
          <w:szCs w:val="18"/>
          <w:i w:val="1"/>
          <w:iCs w:val="1"/>
          <w:color w:val="auto"/>
        </w:rPr>
        <w:t xml:space="preserve">Cusumano </w:t>
      </w:r>
      <w:r>
        <w:rPr>
          <w:rFonts w:ascii="Times New Roman" w:cs="Times New Roman" w:eastAsia="Times New Roman" w:hAnsi="Times New Roman"/>
          <w:sz w:val="18"/>
          <w:szCs w:val="18"/>
          <w:color w:val="auto"/>
        </w:rPr>
        <w:t>action alleged that the Individual Defendants breached their fiduciary duties to Sequenom shareholders. The actions sought,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injunctive relief enjoining the merger. On August 30, 2016, the parties entered into a Memorandum of Understanding (MOU) in each of the above-referenced actions. In connection with the settlement, Sequenom agreed to make certain additional disclosures to its stockholders. In September 6, 2016, the Court entered an order consolidating for all pre-trial purposes the six individual actions described above under the caption </w:t>
      </w:r>
      <w:r>
        <w:rPr>
          <w:rFonts w:ascii="Times New Roman" w:cs="Times New Roman" w:eastAsia="Times New Roman" w:hAnsi="Times New Roman"/>
          <w:sz w:val="18"/>
          <w:szCs w:val="18"/>
          <w:i w:val="1"/>
          <w:iCs w:val="1"/>
          <w:color w:val="auto"/>
        </w:rPr>
        <w:t>In re Sequenom, Inc. Shareholder Litig.</w:t>
      </w:r>
      <w:r>
        <w:rPr>
          <w:rFonts w:ascii="Times New Roman" w:cs="Times New Roman" w:eastAsia="Times New Roman" w:hAnsi="Times New Roman"/>
          <w:sz w:val="18"/>
          <w:szCs w:val="18"/>
          <w:color w:val="auto"/>
        </w:rPr>
        <w:t xml:space="preserve">, Lead Case No. 16-cv-02054-JAH-BLM, and designating the complaint from the </w:t>
      </w:r>
      <w:r>
        <w:rPr>
          <w:rFonts w:ascii="Times New Roman" w:cs="Times New Roman" w:eastAsia="Times New Roman" w:hAnsi="Times New Roman"/>
          <w:sz w:val="18"/>
          <w:szCs w:val="18"/>
          <w:i w:val="1"/>
          <w:iCs w:val="1"/>
          <w:color w:val="auto"/>
        </w:rPr>
        <w:t>Malkoff</w:t>
      </w:r>
      <w:r>
        <w:rPr>
          <w:rFonts w:ascii="Times New Roman" w:cs="Times New Roman" w:eastAsia="Times New Roman" w:hAnsi="Times New Roman"/>
          <w:sz w:val="18"/>
          <w:szCs w:val="18"/>
          <w:color w:val="auto"/>
        </w:rPr>
        <w:t xml:space="preserve"> action as the operative complaint for the consolidated action. On November 11, 2016, two competing motions were filed by two separate stockholders (James Reilly and Shikha Gupta) seeking appointment as lead plaintiff under the terms of the Private Securities Litigation Reform Act of 1995. On January 12, 2017 the Court entered an order declaring Mr. Reilly the presumptive lead plaintiff, but denying Mr. Reilly's request for immediate approval as lead plaintiff. The Company is awaiting the Court’s appointment of a permanent lead plaintiff. The parties agree that the MOU has been terminated and are awaiting further direction from the Court as to how the litigation will proceed.</w:t>
      </w:r>
    </w:p>
    <w:p>
      <w:pPr>
        <w:spacing w:after="0" w:line="22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 At December 31, 2016, the Company had provided letters of credit aggregating approximately $54.5, primarily in connection with certain insurance programs. The Company’s availability under its revolving credit facility is reduced by the amount of these letters of credit.</w:t>
      </w:r>
    </w:p>
    <w:p>
      <w:pPr>
        <w:spacing w:after="0" w:line="93"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Company leases various facilities and equipment under non-cancelable lease arrangements. Future minimum rental commitments for leases with non-cancelable terms of one year or more at December 31, 2016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Operating</w:t>
            </w:r>
          </w:p>
        </w:tc>
      </w:tr>
      <w:tr>
        <w:trPr>
          <w:trHeight w:val="34"/>
        </w:trPr>
        <w:tc>
          <w:tcPr>
            <w:tcW w:w="10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r>
      <w:tr>
        <w:trPr>
          <w:trHeight w:val="284"/>
        </w:trPr>
        <w:tc>
          <w:tcPr>
            <w:tcW w:w="10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681.6</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included in restructuring and acquisition related accruals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Non-cancelable sub-lease income</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64"/>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minimum operating lease payments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639.6</w:t>
            </w: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Rental expense, which includes rent for real estate, equipment and automobiles under operating leases, amounted to $291.2, $287.1 and $235.7 for the years ended December 31, 2016, 2015 and 2014, respectively.</w:t>
      </w:r>
    </w:p>
    <w:p>
      <w:pPr>
        <w:spacing w:after="0" w:line="158" w:lineRule="exact"/>
        <w:rPr>
          <w:sz w:val="20"/>
          <w:szCs w:val="20"/>
          <w:color w:val="auto"/>
        </w:rPr>
      </w:pPr>
    </w:p>
    <w:p>
      <w:pPr>
        <w:ind w:right="7480" w:firstLine="8"/>
        <w:spacing w:after="0" w:line="427" w:lineRule="auto"/>
        <w:tabs>
          <w:tab w:leader="none" w:pos="31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 Pension Plans</w:t>
      </w:r>
    </w:p>
    <w:p>
      <w:pPr>
        <w:spacing w:after="0" w:line="64"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has a defined benefit retirement plan (Company Plan) and a nonqualified supplemental retirement plan (PEP). Both plans have been closed to new participants since December 31, 2009. Employees participating in the Company Plan and the PEP no longer earn service-based credits, but continue to earn interest credits. In addition, effective January 1, 2010, all employees eligible for the defined contribution retirement plan (401K Plan) receive a minimum 3% non-elective contribution (NEC) concurrent with each payroll period. Employees are not required to make a contribution to the 401K Plan to receive the NEC. The NEC is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non-forfeitable and vests immediately. The 401K Plan also permits discretionary contributions by the Company of up to 1% and up to 3% of pay for eligible employees based on service.</w:t>
      </w:r>
    </w:p>
    <w:p>
      <w:pPr>
        <w:spacing w:after="0" w:line="18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Company’s 401K Plan covers substantially all pre-Acquisition employees. Prior to 2010, Company contributions to the plan were based on a percentage of employee contributions. From 2011, the Company made non-elective and discretionary contributions to the plan. In 2016, 2015, and 2014, non-elective and discretionary contributions were $56.0, $43.3 and $51.6, respectively. As a result of the Acquisition, the Company also incurred expense of $37.8 for the Covance 401K Plan during the year ended December 31, 2015. Under the Covance 401K Plan, which is available on a voluntary basis to substantially all U.S. Covance employees, the Company matches employee contributions up to a maximum Company contribution of 4.5%.</w:t>
      </w:r>
    </w:p>
    <w:p>
      <w:pPr>
        <w:spacing w:after="0" w:line="211"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addition, the Company Plan covers substantially all employees employed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Company made contributions to the Company Plan of $10.8, $9.5 and $12.4 in 2016, 2015 and 2014, respectively.</w:t>
      </w:r>
    </w:p>
    <w:p>
      <w:pPr>
        <w:spacing w:after="0" w:line="20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PEP covers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Projected pension expense for the Company Plan and the PEP is expected to increase to $15.3 in 2017. This amount excludes any accelerated recognition of pension cost due to the total lump-sum payouts exceeding certain components of net periodic pension cost in a fiscal year. If such levels were to be met in 2017, the Company projects that it would result in additional pension expense of several million dollars. The actual amount would be determined in the fiscal quarter when the lump-sum payments cross the threshold and would be based upon the plan's funded status and actuarial assumptions in effect at that time.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plans to make contributions of $17.4 to the Company Plan and the PEP during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effect on operations for both the Company Plan and the PEP are summarized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920" w:type="dxa"/>
            <w:vAlign w:val="bottom"/>
          </w:tcPr>
          <w:p>
            <w:pPr>
              <w:spacing w:after="0"/>
              <w:rPr>
                <w:sz w:val="24"/>
                <w:szCs w:val="24"/>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Defined benefit plan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Amounts included in accumulated other comprehensive earnings consist of unamortized net loss of $139.1. The accumulated other comprehensive earnings that are expected to be recognized as components of the defined benefit plan costs during 2017 are $11.2 related to amortization of the net loss.</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the changes in the projected benefit obligations of the Company Plan and the PEP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4"/>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loss (gain)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The Accumulated Benefit Obligation was $366.5 and $363.1 at December 31, 2016 and 2015, respectively.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summary of the changes in the fair value of plan assets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4"/>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1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1420"/>
          </w:cols>
          <w:pgMar w:left="240" w:top="121" w:right="239" w:bottom="210" w:gutter="0" w:footer="0" w:header="0"/>
          <w:type w:val="continuous"/>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funded status of the Company Plan and the PEP at December 31:</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8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840" w:type="dxa"/>
            <w:vAlign w:val="bottom"/>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40" w:type="dxa"/>
            <w:vAlign w:val="bottom"/>
          </w:tcPr>
          <w:p>
            <w:pPr>
              <w:spacing w:after="0"/>
              <w:rPr>
                <w:sz w:val="22"/>
                <w:szCs w:val="22"/>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0"/>
        </w:trPr>
        <w:tc>
          <w:tcPr>
            <w:tcW w:w="8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8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0"/>
        </w:trPr>
        <w:tc>
          <w:tcPr>
            <w:tcW w:w="84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8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7"/>
        </w:trPr>
        <w:tc>
          <w:tcPr>
            <w:tcW w:w="840" w:type="dxa"/>
            <w:vAlign w:val="bottom"/>
          </w:tcPr>
          <w:p>
            <w:pPr>
              <w:spacing w:after="0"/>
              <w:rPr>
                <w:sz w:val="24"/>
                <w:szCs w:val="24"/>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43"/>
        </w:trPr>
        <w:tc>
          <w:tcPr>
            <w:tcW w:w="8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17145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Weighted average assumptions used in the accounting for the Company Plan and the PEP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-127635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long term rate of return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updated the mortality assumption to the RP-2014 Mortality Tables in 2016 which decreased the Company's total projected obligation.</w:t>
      </w:r>
    </w:p>
    <w:p>
      <w:pPr>
        <w:spacing w:after="0" w:line="13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maintains an investment policy for the management of the Company Plan’s assets. The objective of this policy is to build a portfolio designed to achieve a balance between investment return and asset protection by investing in indexed funds that are comprised of equities of high quality companies and in high quality fixed income securities which are broadly balanced and represent all market sectors. The target allocations for plan assets are 50% equity securities, 43% fixed income securities and 7% in other assets. Equity securities primarily include investments in large-cap, mid-cap and small-cap companies located in the U.S. and to a lesser extent international equities in developed and emerging countries. Fixed income securities primarily include U.S. Treasury securities, mortgage-backed bonds and corporate bonds of companies from diversified industries. Other assets include investments in commodities. The weighted average expected long-term rate of return for the Company Plan’s assets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 Average</w:t>
            </w:r>
          </w:p>
        </w:tc>
      </w:tr>
      <w:tr>
        <w:trPr>
          <w:trHeight w:val="216"/>
        </w:trPr>
        <w:tc>
          <w:tcPr>
            <w:tcW w:w="73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Target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Expected Long-Term</w:t>
            </w:r>
          </w:p>
        </w:tc>
      </w:tr>
      <w:tr>
        <w:trPr>
          <w:trHeight w:val="234"/>
        </w:trPr>
        <w:tc>
          <w:tcPr>
            <w:tcW w:w="73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Allocation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Rate of Return</w:t>
            </w:r>
          </w:p>
        </w:tc>
      </w:tr>
      <w:tr>
        <w:trPr>
          <w:trHeight w:val="34"/>
        </w:trPr>
        <w:tc>
          <w:tcPr>
            <w:tcW w:w="73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3"/>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43"/>
        </w:trPr>
        <w:tc>
          <w:tcPr>
            <w:tcW w:w="7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fair values of the Company Plan’s assets at December 31, 2016 and 2015, by asset category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2016</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8"/>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large cap - blend (a)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mid cap - blend (b)</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small cap - blend (c)</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equity - blend (d)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Commodities index (e)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fixed income (f)</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inflation protection income (g)</w:t>
            </w:r>
          </w:p>
        </w:tc>
        <w:tc>
          <w:tcPr>
            <w:tcW w:w="1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fair value of the Company Plan’s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420"/>
          </w:cols>
          <w:pgMar w:left="240" w:top="121" w:right="239" w:bottom="1440" w:gutter="0" w:footer="0" w:header="0"/>
          <w:type w:val="continuous"/>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large cap - blend (a)</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mid cap - blend (b)</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small cap - blend (c)</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equity - blend (d)</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Commodities index (e)</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fixed income (f)</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inflation protection income (g)</w:t>
            </w:r>
          </w:p>
        </w:tc>
        <w:tc>
          <w:tcPr>
            <w:tcW w:w="140" w:type="dxa"/>
            <w:vAlign w:val="bottom"/>
          </w:tcPr>
          <w:p>
            <w:pPr>
              <w:spacing w:after="0"/>
              <w:rPr>
                <w:sz w:val="24"/>
                <w:szCs w:val="24"/>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9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fair value of the Company Plan’s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an equity index fund not actively managed that tracks the S&amp;P 500 Index.</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an equity index fund not actively managed that tracks the S&amp;P mid-cap 400 Index.</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an equity index fund not actively managed that tracks the Russell 2000 Index.</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an equity index fund not actively managed that tracks the MSCI ACWI ex USA Index.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e)This category represents a commodities index fund not actively managed that tracks the Dow Jones - UBS Commodity Index.</w:t>
      </w:r>
    </w:p>
    <w:p>
      <w:pPr>
        <w:spacing w:after="0" w:line="9" w:lineRule="exact"/>
        <w:rPr>
          <w:sz w:val="20"/>
          <w:szCs w:val="20"/>
          <w:color w:val="auto"/>
        </w:rPr>
      </w:pPr>
    </w:p>
    <w:p>
      <w:pPr>
        <w:ind w:left="340" w:right="2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primarily represents bond index funds not actively managed that track the Barclays Capital U.S. Aggregate Index as well as an actively managed strategy which utilizes the Barclays Capital U.S. Aggregate Bond Index as its primary prospectus benchmark.</w:t>
      </w: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primarily represents a bond index fund not actively managed that tracks the Barclays Capital U.S. TIPS Index.</w:t>
      </w:r>
    </w:p>
    <w:p>
      <w:pPr>
        <w:spacing w:after="0" w:line="11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following assumed benefit payments under the Company Plan and PEP, which were used in the calculation of projected benefit obligations, are expected to be paid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6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6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 2022 and thereafter</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r>
    </w:tbl>
    <w:p>
      <w:pPr>
        <w:spacing w:after="0" w:line="11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the PEP, as a result of the Acquisition, the Company also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 of the participating employees. The pension benefit obligation as of the Acquisition date was $32.8. For the 2015 period, the beginning of the year is February 19, 2015. The components of the net periodic pension cost for the year ended December 31, 2016 and for the ten months ended December 31, 2015,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 Ended December 31,</w:t>
            </w:r>
          </w:p>
        </w:tc>
        <w:tc>
          <w:tcPr>
            <w:tcW w:w="200" w:type="dxa"/>
            <w:vAlign w:val="bottom"/>
          </w:tcPr>
          <w:p>
            <w:pPr>
              <w:spacing w:after="0"/>
              <w:rPr>
                <w:sz w:val="18"/>
                <w:szCs w:val="18"/>
                <w:color w:val="auto"/>
              </w:rPr>
            </w:pP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Ten Months Ended</w:t>
            </w:r>
          </w:p>
        </w:tc>
      </w:tr>
      <w:tr>
        <w:trPr>
          <w:trHeight w:val="234"/>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2015</w:t>
            </w:r>
          </w:p>
        </w:tc>
      </w:tr>
      <w:tr>
        <w:trPr>
          <w:trHeight w:val="34"/>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Curtailment gain</w:t>
            </w:r>
          </w:p>
        </w:tc>
        <w:tc>
          <w:tcPr>
            <w:tcW w:w="140" w:type="dxa"/>
            <w:vAlign w:val="bottom"/>
          </w:tcPr>
          <w:p>
            <w:pPr>
              <w:spacing w:after="0"/>
              <w:rPr>
                <w:sz w:val="21"/>
                <w:szCs w:val="21"/>
                <w:color w:val="auto"/>
              </w:rPr>
            </w:pPr>
          </w:p>
        </w:tc>
        <w:tc>
          <w:tcPr>
            <w:tcW w:w="2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Assumptions used to determine defined benefit plan cost</w:t>
            </w:r>
          </w:p>
        </w:tc>
        <w:tc>
          <w:tcPr>
            <w:tcW w:w="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4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7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500" w:firstLine="243"/>
        <w:spacing w:after="0" w:line="282" w:lineRule="auto"/>
        <w:rPr>
          <w:sz w:val="20"/>
          <w:szCs w:val="20"/>
          <w:color w:val="auto"/>
        </w:rPr>
      </w:pPr>
      <w:r>
        <w:rPr>
          <w:rFonts w:ascii="Times New Roman" w:cs="Times New Roman" w:eastAsia="Times New Roman" w:hAnsi="Times New Roman"/>
          <w:sz w:val="18"/>
          <w:szCs w:val="18"/>
          <w:color w:val="auto"/>
        </w:rPr>
        <w:t>The change in the projected benefit obligation, the funded status of the plan and a reconciliation of such funded status to the amounts reported in the consolidated balance sheet as of December 31, 2016 and December 31, 2015 is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10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loss</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benefits paid</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benefits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Curtailments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year</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6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4"/>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accumulated benefit obligation was $7.5 and $30.9 as of December 31, 2016 and December 31, 2015, respectively.</w:t>
      </w:r>
    </w:p>
    <w:p>
      <w:pPr>
        <w:spacing w:after="0" w:line="13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assumed benefit payments under the SERP, which were used in the calculation of projected benefit obligations, are expected to be paid as follows:</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46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4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2022 and thereafter</w:t>
            </w:r>
          </w:p>
        </w:tc>
        <w:tc>
          <w:tcPr>
            <w:tcW w:w="46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r>
    </w:tbl>
    <w:p>
      <w:pPr>
        <w:spacing w:after="0" w:line="6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a result of the Acquisition, the Company sponsors two defined benefit pension plans for the benefit of its employees at two U.K. subsidiaries (U.K. Plans) and one defined benefit pension plan for the benefit of its employees at a German subsidiary (German Plan), all of which are legacy plans of previously acquired companies. Benefit amounts for all three plans are based upon years of service and compensation. The German Plan is unfunded while the U.K. Plans are funded. The Company’s funding policy has been to contribute annually amounts at least equal to the local statutory funding requirements.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U.K. Plans</w:t>
            </w:r>
          </w:p>
        </w:tc>
        <w:tc>
          <w:tcPr>
            <w:tcW w:w="1840" w:type="dxa"/>
            <w:vAlign w:val="bottom"/>
          </w:tcPr>
          <w:p>
            <w:pPr>
              <w:spacing w:after="0"/>
              <w:rPr>
                <w:sz w:val="20"/>
                <w:szCs w:val="20"/>
                <w:color w:val="auto"/>
              </w:rPr>
            </w:pPr>
          </w:p>
        </w:tc>
      </w:tr>
      <w:tr>
        <w:trPr>
          <w:trHeight w:val="34"/>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r>
      <w:tr>
        <w:trPr>
          <w:trHeight w:val="225"/>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Ten Months Ended December 31,</w:t>
            </w:r>
          </w:p>
        </w:tc>
      </w:tr>
      <w:tr>
        <w:trPr>
          <w:trHeight w:val="234"/>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720" w:type="dxa"/>
            <w:vAlign w:val="bottom"/>
          </w:tcPr>
          <w:p>
            <w:pPr>
              <w:spacing w:after="0"/>
              <w:rPr>
                <w:sz w:val="20"/>
                <w:szCs w:val="20"/>
                <w:color w:val="auto"/>
              </w:rPr>
            </w:pPr>
          </w:p>
        </w:tc>
        <w:tc>
          <w:tcPr>
            <w:tcW w:w="18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participant contributions</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Defined benefit plan costs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Assumptions used to determine defined benefit plan cost:</w:t>
            </w:r>
          </w:p>
        </w:tc>
        <w:tc>
          <w:tcPr>
            <w:tcW w:w="1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Salary increases</w:t>
            </w:r>
          </w:p>
        </w:tc>
        <w:tc>
          <w:tcPr>
            <w:tcW w:w="120" w:type="dxa"/>
            <w:vAlign w:val="bottom"/>
            <w:shd w:val="clear" w:color="auto" w:fill="CCEEFF"/>
          </w:tcPr>
          <w:p>
            <w:pPr>
              <w:spacing w:after="0"/>
              <w:rPr>
                <w:sz w:val="21"/>
                <w:szCs w:val="21"/>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1420"/>
          </w:cols>
          <w:pgMar w:left="240" w:top="121" w:right="239" w:bottom="1440" w:gutter="0" w:footer="0" w:header="0"/>
          <w:type w:val="continuous"/>
        </w:sectPr>
      </w:pPr>
    </w:p>
    <w:bookmarkStart w:id="114" w:name="page115"/>
    <w:bookmarkEnd w:id="114"/>
    <w:p>
      <w:pPr>
        <w:spacing w:after="0" w:line="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German Plan</w:t>
            </w:r>
          </w:p>
        </w:tc>
        <w:tc>
          <w:tcPr>
            <w:tcW w:w="1800" w:type="dxa"/>
            <w:vAlign w:val="bottom"/>
          </w:tcPr>
          <w:p>
            <w:pPr>
              <w:spacing w:after="0"/>
              <w:rPr>
                <w:sz w:val="20"/>
                <w:szCs w:val="20"/>
                <w:color w:val="auto"/>
              </w:rPr>
            </w:pPr>
          </w:p>
        </w:tc>
      </w:tr>
      <w:tr>
        <w:trPr>
          <w:trHeight w:val="34"/>
        </w:trPr>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r>
      <w:tr>
        <w:trPr>
          <w:trHeight w:val="225"/>
        </w:trPr>
        <w:tc>
          <w:tcPr>
            <w:tcW w:w="6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Ten Months Ended December 31,</w:t>
            </w:r>
          </w:p>
        </w:tc>
      </w:tr>
      <w:tr>
        <w:trPr>
          <w:trHeight w:val="234"/>
        </w:trPr>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760" w:type="dxa"/>
            <w:vAlign w:val="bottom"/>
          </w:tcPr>
          <w:p>
            <w:pPr>
              <w:spacing w:after="0"/>
              <w:rPr>
                <w:sz w:val="20"/>
                <w:szCs w:val="20"/>
                <w:color w:val="auto"/>
              </w:rPr>
            </w:pPr>
          </w:p>
        </w:tc>
        <w:tc>
          <w:tcPr>
            <w:tcW w:w="18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20" w:type="dxa"/>
            <w:vAlign w:val="bottom"/>
          </w:tcPr>
          <w:p>
            <w:pPr>
              <w:spacing w:after="0"/>
              <w:rPr>
                <w:sz w:val="21"/>
                <w:szCs w:val="21"/>
                <w:color w:val="auto"/>
              </w:rPr>
            </w:pPr>
          </w:p>
        </w:tc>
        <w:tc>
          <w:tcPr>
            <w:tcW w:w="2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defined benefit plan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weighted average expected long-term rate of return on assets of the U.K Plans is based on the target asset allocation and the average rate of growth expected for the asset classes invested. The rate of expected growth is derived from a combination of historic returns, current market indicators, the expected risk premium for each asset class over the risk-free rate and the opinion of professional advisors.</w:t>
      </w:r>
    </w:p>
    <w:p>
      <w:pPr>
        <w:spacing w:after="0" w:line="8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change in the projected benefit obligation and plan assets, the funded status of the plan and a reconciliation of such funded status to the amounts reported in the consolidated balance sheet as of December 31, 2016 and December 31, 2015 is as follows:</w:t>
      </w:r>
    </w:p>
    <w:p>
      <w:pPr>
        <w:sectPr>
          <w:pgSz w:w="11900" w:h="16857" w:orient="portrait"/>
          <w:cols w:equalWidth="0" w:num="1">
            <w:col w:w="11420"/>
          </w:cols>
          <w:pgMar w:left="240" w:top="121" w:right="239" w:bottom="0" w:gutter="0" w:footer="0" w:header="0"/>
        </w:sectPr>
      </w:pP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Change in projected benefit obligation: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41910</wp:posOffset>
            </wp:positionV>
            <wp:extent cx="32416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101" w:lineRule="exact"/>
        <w:rPr>
          <w:sz w:val="20"/>
          <w:szCs w:val="20"/>
          <w:color w:val="auto"/>
        </w:rPr>
      </w:pPr>
    </w:p>
    <w:p>
      <w:pPr>
        <w:sectPr>
          <w:pgSz w:w="11900" w:h="16857" w:orient="portrait"/>
          <w:cols w:equalWidth="0" w:num="2">
            <w:col w:w="7740" w:space="720"/>
            <w:col w:w="2960"/>
          </w:cols>
          <w:pgMar w:left="240" w:top="121" w:right="239" w:bottom="0" w:gutter="0" w:footer="0" w:header="0"/>
          <w:type w:val="continuous"/>
        </w:sect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Service cost</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cost</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Actuarial (gain) loss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Benefits paid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Foreign currency exchange rate changes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Times New Roman" w:cs="Times New Roman" w:eastAsia="Times New Roman" w:hAnsi="Times New Roman"/>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51435</wp:posOffset>
            </wp:positionV>
            <wp:extent cx="1586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256.0</w:t>
      </w:r>
    </w:p>
    <w:p>
      <w:pPr>
        <w:spacing w:after="0" w:line="6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(8.4)</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(4.5)</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51435</wp:posOffset>
            </wp:positionV>
            <wp:extent cx="15862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3" w:lineRule="exact"/>
        <w:rPr>
          <w:sz w:val="20"/>
          <w:szCs w:val="20"/>
          <w:color w:val="auto"/>
        </w:rPr>
      </w:pPr>
    </w:p>
    <w:p>
      <w:pPr>
        <w:sectPr>
          <w:pgSz w:w="11900" w:h="16857" w:orient="portrait"/>
          <w:cols w:equalWidth="0" w:num="3">
            <w:col w:w="5600" w:space="720"/>
            <w:col w:w="2420" w:space="180"/>
            <w:col w:w="2500"/>
          </w:cols>
          <w:pgMar w:left="240" w:top="121" w:right="239" w:bottom="0" w:gutter="0" w:footer="0" w:header="0"/>
          <w:type w:val="continuous"/>
        </w:sectPr>
      </w:pP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Change in projected benefit obligation: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41910</wp:posOffset>
            </wp:positionV>
            <wp:extent cx="32416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101" w:lineRule="exact"/>
        <w:rPr>
          <w:sz w:val="20"/>
          <w:szCs w:val="20"/>
          <w:color w:val="auto"/>
        </w:rPr>
      </w:pPr>
    </w:p>
    <w:p>
      <w:pPr>
        <w:sectPr>
          <w:pgSz w:w="11900" w:h="16857" w:orient="portrait"/>
          <w:cols w:equalWidth="0" w:num="2">
            <w:col w:w="7660" w:space="720"/>
            <w:col w:w="3040"/>
          </w:cols>
          <w:pgMar w:left="240" w:top="121" w:right="239" w:bottom="0" w:gutter="0" w:footer="0" w:header="0"/>
          <w:type w:val="continuous"/>
        </w:sect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Service cost</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cost</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Actuarial (gain) loss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Benefits paid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Foreign currency exchange rate changes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Times New Roman" w:cs="Times New Roman" w:eastAsia="Times New Roman" w:hAnsi="Times New Roman"/>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0.9</w:t>
      </w:r>
    </w:p>
    <w:p>
      <w:pPr>
        <w:spacing w:after="0" w:line="6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5.3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51435</wp:posOffset>
            </wp:positionV>
            <wp:extent cx="1586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29.4</w:t>
      </w:r>
    </w:p>
    <w:p>
      <w:pPr>
        <w:spacing w:after="0" w:line="6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0.4</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(5.8)</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(0.2)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51435</wp:posOffset>
            </wp:positionV>
            <wp:extent cx="15862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3" w:lineRule="exact"/>
        <w:rPr>
          <w:sz w:val="20"/>
          <w:szCs w:val="20"/>
          <w:color w:val="auto"/>
        </w:rPr>
      </w:pPr>
    </w:p>
    <w:p>
      <w:pPr>
        <w:sectPr>
          <w:pgSz w:w="11900" w:h="16857" w:orient="portrait"/>
          <w:cols w:equalWidth="0" w:num="3">
            <w:col w:w="5600" w:space="720"/>
            <w:col w:w="2420" w:space="180"/>
            <w:col w:w="2500"/>
          </w:cols>
          <w:pgMar w:left="240" w:top="121" w:right="239" w:bottom="0" w:gutter="0" w:footer="0" w:header="0"/>
          <w:type w:val="continuous"/>
        </w:sectPr>
      </w:pP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Change in fair value of assets: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41910</wp:posOffset>
            </wp:positionV>
            <wp:extent cx="721233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205740"/>
                    </a:xfrm>
                    <a:prstGeom prst="rect">
                      <a:avLst/>
                    </a:prstGeom>
                    <a:noFill/>
                  </pic:spPr>
                </pic:pic>
              </a:graphicData>
            </a:graphic>
          </wp:anchor>
        </w:drawing>
      </w:r>
    </w:p>
    <w:p>
      <w:pPr>
        <w:spacing w:after="0" w:line="101" w:lineRule="exact"/>
        <w:rPr>
          <w:sz w:val="20"/>
          <w:szCs w:val="20"/>
          <w:color w:val="auto"/>
        </w:rPr>
      </w:pPr>
    </w:p>
    <w:p>
      <w:pPr>
        <w:sectPr>
          <w:pgSz w:w="11900" w:h="16857" w:orient="portrait"/>
          <w:cols w:equalWidth="0" w:num="2">
            <w:col w:w="7740" w:space="720"/>
            <w:col w:w="2960"/>
          </w:cols>
          <w:pgMar w:left="240" w:top="121" w:right="239" w:bottom="0" w:gutter="0" w:footer="0" w:header="0"/>
          <w:type w:val="continuous"/>
        </w:sect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Company contributions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Participant contributions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Actual return on assets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Benefits paid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Foreign currency exchange rate changes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 of plan assets at end of year</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Times New Roman" w:cs="Times New Roman" w:eastAsia="Times New Roman" w:hAnsi="Times New Roman"/>
          <w:sz w:val="18"/>
          <w:szCs w:val="18"/>
          <w:color w:val="auto"/>
        </w:rPr>
        <w:t>2016</w:t>
      </w:r>
    </w:p>
    <w:p>
      <w:pPr>
        <w:spacing w:after="0" w:line="9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34290</wp:posOffset>
            </wp:positionV>
            <wp:extent cx="721233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862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51435</wp:posOffset>
            </wp:positionV>
            <wp:extent cx="1586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8"/>
          <w:szCs w:val="18"/>
          <w:color w:val="auto"/>
        </w:rPr>
        <w:t>2015</w:t>
      </w:r>
    </w:p>
    <w:p>
      <w:pPr>
        <w:spacing w:after="0" w:line="9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232.6</w:t>
      </w:r>
    </w:p>
    <w:p>
      <w:pPr>
        <w:spacing w:after="0" w:line="6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6.6</w:t>
      </w:r>
    </w:p>
    <w:p>
      <w:pPr>
        <w:spacing w:after="0" w:line="6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(4.5)</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586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51435</wp:posOffset>
            </wp:positionV>
            <wp:extent cx="15862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3" w:lineRule="exact"/>
        <w:rPr>
          <w:sz w:val="20"/>
          <w:szCs w:val="20"/>
          <w:color w:val="auto"/>
        </w:rPr>
      </w:pPr>
    </w:p>
    <w:p>
      <w:pPr>
        <w:sectPr>
          <w:pgSz w:w="11900" w:h="16857" w:orient="portrait"/>
          <w:cols w:equalWidth="0" w:num="3">
            <w:col w:w="5600" w:space="720"/>
            <w:col w:w="2420" w:space="180"/>
            <w:col w:w="250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Funded status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Recorded as: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Other liabilities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U.K.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34290</wp:posOffset>
            </wp:positionV>
            <wp:extent cx="721233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19748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9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r>
      <w:tr>
        <w:trPr>
          <w:trHeight w:val="540"/>
        </w:trPr>
        <w:tc>
          <w:tcPr>
            <w:tcW w:w="60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-548005</wp:posOffset>
            </wp:positionV>
            <wp:extent cx="721233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-205105</wp:posOffset>
            </wp:positionV>
            <wp:extent cx="721233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ectPr>
          <w:pgSz w:w="11900" w:h="16857" w:orient="portrait"/>
          <w:cols w:equalWidth="0" w:num="2">
            <w:col w:w="5560" w:space="720"/>
            <w:col w:w="5140"/>
          </w:cols>
          <w:pgMar w:left="240" w:top="121" w:right="239"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9019"/>
          </w:cols>
          <w:pgMar w:left="1440" w:top="432" w:right="1440"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German Plan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309"/>
        </w:trPr>
        <w:tc>
          <w:tcPr>
            <w:tcW w:w="6240" w:type="dxa"/>
            <w:vAlign w:val="bottom"/>
            <w:tcBorders>
              <w:top w:val="single" w:sz="8" w:color="CCEEFF"/>
              <w:bottom w:val="single" w:sz="8" w:color="CCEEFF"/>
            </w:tcBorders>
            <w:shd w:val="clear" w:color="auto" w:fill="CCEEFF"/>
          </w:tcPr>
          <w:p>
            <w:pPr>
              <w:spacing w:after="0"/>
              <w:rPr>
                <w:sz w:val="24"/>
                <w:szCs w:val="24"/>
                <w:color w:val="auto"/>
              </w:rPr>
            </w:pPr>
          </w:p>
        </w:tc>
        <w:tc>
          <w:tcPr>
            <w:tcW w:w="176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74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1920" w:type="dxa"/>
            <w:vAlign w:val="bottom"/>
            <w:tcBorders>
              <w:top w:val="single" w:sz="8" w:color="auto"/>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2015</w:t>
            </w:r>
          </w:p>
        </w:tc>
      </w:tr>
      <w:tr>
        <w:trPr>
          <w:trHeight w:val="243"/>
        </w:trPr>
        <w:tc>
          <w:tcPr>
            <w:tcW w:w="6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760" w:type="dxa"/>
            <w:vAlign w:val="bottom"/>
            <w:tcBorders>
              <w:top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6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1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7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r>
      <w:tr>
        <w:trPr>
          <w:trHeight w:val="237"/>
        </w:trPr>
        <w:tc>
          <w:tcPr>
            <w:tcW w:w="6240" w:type="dxa"/>
            <w:vAlign w:val="bottom"/>
          </w:tcPr>
          <w:p>
            <w:pPr>
              <w:spacing w:after="0"/>
              <w:rPr>
                <w:sz w:val="20"/>
                <w:szCs w:val="20"/>
                <w:color w:val="auto"/>
              </w:rPr>
            </w:pPr>
          </w:p>
        </w:tc>
        <w:tc>
          <w:tcPr>
            <w:tcW w:w="1760" w:type="dxa"/>
            <w:vAlign w:val="bottom"/>
            <w:tcBorders>
              <w:top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62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contributed $6.8 in 2016 to the U.K. Plans and expects to contribute $6.1 in 2017. No contributions were made to the German plan during 2016, nor are any contributions expected to be made in 2017, as the plan is unfunded.</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for the U.K. Plans and the German Plan was $235.8 and $25.4 at December 31, 2016, respectively. The accumulated benefit obligation for the U.K. Plans and the German Plan was $215.1 and $20.6 at December 31, 2015, respectively.</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amounts recognized in accumulated other comprehensive income for the year ended December 31, 2016 and December 31, 2015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U.K. Plans</w:t>
            </w:r>
          </w:p>
        </w:tc>
        <w:tc>
          <w:tcPr>
            <w:tcW w:w="1800" w:type="dxa"/>
            <w:vAlign w:val="bottom"/>
          </w:tcPr>
          <w:p>
            <w:pPr>
              <w:spacing w:after="0"/>
              <w:rPr>
                <w:sz w:val="20"/>
                <w:szCs w:val="20"/>
                <w:color w:val="auto"/>
              </w:rPr>
            </w:pPr>
          </w:p>
        </w:tc>
      </w:tr>
      <w:tr>
        <w:trPr>
          <w:trHeight w:val="34"/>
        </w:trPr>
        <w:tc>
          <w:tcPr>
            <w:tcW w:w="61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140" w:type="dxa"/>
            <w:vAlign w:val="bottom"/>
          </w:tcPr>
          <w:p>
            <w:pPr>
              <w:spacing w:after="0"/>
              <w:rPr>
                <w:sz w:val="21"/>
                <w:szCs w:val="21"/>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Tax benefit (deferred tax asset)</w:t>
            </w:r>
          </w:p>
        </w:tc>
        <w:tc>
          <w:tcPr>
            <w:tcW w:w="17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impact</w:t>
            </w:r>
          </w:p>
        </w:tc>
        <w:tc>
          <w:tcPr>
            <w:tcW w:w="1760" w:type="dxa"/>
            <w:vAlign w:val="bottom"/>
            <w:tcBorders>
              <w:bottom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6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benefit obligations:</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500"/>
        </w:trPr>
        <w:tc>
          <w:tcPr>
            <w:tcW w:w="6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German Plan</w:t>
            </w:r>
          </w:p>
        </w:tc>
        <w:tc>
          <w:tcPr>
            <w:tcW w:w="1800" w:type="dxa"/>
            <w:vAlign w:val="bottom"/>
          </w:tcPr>
          <w:p>
            <w:pPr>
              <w:spacing w:after="0"/>
              <w:rPr>
                <w:sz w:val="24"/>
                <w:szCs w:val="24"/>
                <w:color w:val="auto"/>
              </w:rPr>
            </w:pPr>
          </w:p>
        </w:tc>
      </w:tr>
      <w:tr>
        <w:trPr>
          <w:trHeight w:val="34"/>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2015</w:t>
            </w:r>
          </w:p>
        </w:tc>
      </w:tr>
      <w:tr>
        <w:trPr>
          <w:trHeight w:val="23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1760" w:type="dxa"/>
            <w:vAlign w:val="bottom"/>
            <w:tcBorders>
              <w:top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Tax expense (deferred tax liability)</w:t>
            </w:r>
          </w:p>
        </w:tc>
        <w:tc>
          <w:tcPr>
            <w:tcW w:w="17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impact</w:t>
            </w:r>
          </w:p>
        </w:tc>
        <w:tc>
          <w:tcPr>
            <w:tcW w:w="1760" w:type="dxa"/>
            <w:vAlign w:val="bottom"/>
            <w:tcBorders>
              <w:top w:val="single" w:sz="8" w:color="auto"/>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1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benefit obligations:</w:t>
            </w:r>
          </w:p>
        </w:tc>
        <w:tc>
          <w:tcPr>
            <w:tcW w:w="1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1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is $0.7 and $0.0 net actuarial loss for the U.K. Plans and German Plan, respectively required to be amortized from accumulated other comprehensive income into net periodic pension cost in 2017.</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investment policies for the U.K. Plans are set by the plan trustees, based upon the guidance of professional advisors and after consultation with the Company, taking into consideration the plans’ liabilities and future funding levels. The trustees have set the long-term investment policy largely in accordance with the asset allocation of a broadly diversified investment portfolio. Assets are generally invested within the target ranges as follows: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2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60.0%</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80" w:type="dxa"/>
            <w:vAlign w:val="bottom"/>
            <w:shd w:val="clear" w:color="auto" w:fill="CCEEFF"/>
          </w:tcPr>
          <w:p>
            <w:pPr>
              <w:spacing w:after="0"/>
              <w:rPr>
                <w:sz w:val="23"/>
                <w:szCs w:val="23"/>
                <w:color w:val="auto"/>
              </w:rPr>
            </w:pPr>
          </w:p>
        </w:tc>
      </w:tr>
      <w:tr>
        <w:trPr>
          <w:trHeight w:val="24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24"/>
        </w:trPr>
        <w:tc>
          <w:tcPr>
            <w:tcW w:w="80" w:type="dxa"/>
            <w:vAlign w:val="bottom"/>
          </w:tcPr>
          <w:p>
            <w:pPr>
              <w:spacing w:after="0"/>
              <w:rPr>
                <w:sz w:val="24"/>
                <w:szCs w:val="24"/>
                <w:color w:val="auto"/>
              </w:rPr>
            </w:pP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weighted average asset allocation of the U.K. Plans as of December 31, 2016 by asset category is as follows: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December 31, 2016</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20" w:type="dxa"/>
            <w:vAlign w:val="bottom"/>
            <w:tcBorders>
              <w:bottom w:val="single" w:sz="8" w:color="CCEEFF"/>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70.0%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13.0%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20" w:type="dxa"/>
            <w:vAlign w:val="bottom"/>
            <w:tcBorders>
              <w:bottom w:val="single" w:sz="8" w:color="CCEEFF"/>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13.0%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11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Investments are made in pooled investment funds. Pooled investment fund managers are regulated by the Financial Conduct Authority in the U.K. and operate under terms which contain restrictions on the way in which the portfolios are managed and</w:t>
      </w:r>
    </w:p>
    <w:p>
      <w:pPr>
        <w:sectPr>
          <w:pgSz w:w="11900" w:h="16838" w:orient="portrait"/>
          <w:cols w:equalWidth="0" w:num="1">
            <w:col w:w="11420"/>
          </w:cols>
          <w:pgMar w:left="240" w:top="121" w:right="239"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1420"/>
          </w:cols>
          <w:pgMar w:left="240" w:top="121" w:right="239" w:bottom="0" w:gutter="0" w:footer="0" w:header="0"/>
          <w:type w:val="continuous"/>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require the managers to ensure that suitable internal operating procedures are in place. The trustees have set performance objectives for each fund manager and routinely monitor and assess the managers’ performance against such objectives. Annuities represent annuity buy-in insurance policies purchased by the plan trustees from large, financially sound insurers. The cash flows from the annuities are intended to match the plan’s obligations to specific groups of participants, typically those participants currently receiving benefits.</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fair value of the Company’s U.K. Plans' assets as of December 31, 2016 and December 31, 2015, by asset category,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December 31, 2016</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December 31, 2015</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represent pooled investment vehicles offered by investment managers, which are generally comprised of investments in equities, bonds, property and cash. The plans’ trustees hold units in these funds, the value of which is determined by the number of units held multiplied by the unit price calculated by the investment managers. That unit price is derived based on the market value of the securities that comprise the fund, which are determined by quoted prices in active markets. No element of the valuation is based on inputs made by the plans’ trustees.</w:t>
      </w:r>
    </w:p>
    <w:p>
      <w:pPr>
        <w:spacing w:after="0" w:line="1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Annuities represent annuity buy-in insurance policies, whereby the insurer pays the pension payments for the lifetime of the members covered. The annuities are assets of the plan and payments from the insurer are made to the plans’ trustees, who then use those proceeds to pay the pensioners. The cash flows from the annuities are intended to effectively match the payments to the pensioners covered by the policy. As such, these assets are valued actuarially based upon the value of the liabilities with which they are associated. As the valuation of these assets is judgmental, and there are no observable inputs associated with the valuation, these assets are classified as Level 3 in the fair value hierarchy.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future benefit payments are as follows:</w:t>
            </w:r>
          </w:p>
        </w:tc>
        <w:tc>
          <w:tcPr>
            <w:tcW w:w="188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51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6280" w:type="dxa"/>
            <w:vAlign w:val="bottom"/>
          </w:tcPr>
          <w:p>
            <w:pPr>
              <w:spacing w:after="0"/>
              <w:rPr>
                <w:sz w:val="24"/>
                <w:szCs w:val="24"/>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U.K. Plans</w:t>
            </w:r>
          </w:p>
        </w:tc>
        <w:tc>
          <w:tcPr>
            <w:tcW w:w="69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German Plan</w:t>
            </w:r>
          </w:p>
        </w:tc>
      </w:tr>
      <w:tr>
        <w:trPr>
          <w:trHeight w:val="34"/>
        </w:trPr>
        <w:tc>
          <w:tcPr>
            <w:tcW w:w="62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90" w:type="dxa"/>
            <w:vAlign w:val="bottom"/>
            <w:tcBorders>
              <w:bottom w:val="single" w:sz="8" w:color="auto"/>
            </w:tcBorders>
          </w:tcPr>
          <w:p>
            <w:pPr>
              <w:spacing w:after="0"/>
              <w:rPr>
                <w:sz w:val="2"/>
                <w:szCs w:val="2"/>
                <w:color w:val="auto"/>
              </w:rPr>
            </w:pPr>
          </w:p>
        </w:tc>
        <w:tc>
          <w:tcPr>
            <w:tcW w:w="51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880" w:type="dxa"/>
            <w:vAlign w:val="bottom"/>
            <w:tcBorders>
              <w:bottom w:val="single" w:sz="8" w:color="CCEEFF"/>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51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90" w:type="dxa"/>
            <w:vAlign w:val="bottom"/>
          </w:tcPr>
          <w:p>
            <w:pPr>
              <w:spacing w:after="0"/>
              <w:rPr>
                <w:sz w:val="2"/>
                <w:szCs w:val="2"/>
                <w:color w:val="auto"/>
              </w:rPr>
            </w:pPr>
          </w:p>
        </w:tc>
        <w:tc>
          <w:tcPr>
            <w:tcW w:w="51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80" w:type="dxa"/>
            <w:vAlign w:val="bottom"/>
            <w:tcBorders>
              <w:bottom w:val="single" w:sz="8" w:color="CCEEFF"/>
            </w:tcBorders>
            <w:shd w:val="clear" w:color="auto" w:fill="CCEEFF"/>
          </w:tcPr>
          <w:p>
            <w:pPr>
              <w:spacing w:after="0"/>
              <w:rPr>
                <w:sz w:val="21"/>
                <w:szCs w:val="21"/>
                <w:color w:val="auto"/>
              </w:rPr>
            </w:pPr>
          </w:p>
        </w:tc>
        <w:tc>
          <w:tcPr>
            <w:tcW w:w="69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51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 2021-2026</w:t>
            </w:r>
          </w:p>
        </w:tc>
        <w:tc>
          <w:tcPr>
            <w:tcW w:w="1880" w:type="dxa"/>
            <w:vAlign w:val="bottom"/>
          </w:tcPr>
          <w:p>
            <w:pPr>
              <w:spacing w:after="0"/>
              <w:rPr>
                <w:sz w:val="21"/>
                <w:szCs w:val="21"/>
                <w:color w:val="auto"/>
              </w:rPr>
            </w:pPr>
          </w:p>
        </w:tc>
        <w:tc>
          <w:tcPr>
            <w:tcW w:w="69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51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retiree health and welfare plan</w:t>
      </w:r>
    </w:p>
    <w:p>
      <w:pPr>
        <w:spacing w:after="0" w:line="13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As a result of the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 The net periodic post-retirement benefit cost for the year ended December 31, 2016 and December 31, 2015 was $(2.0) and $0.2, respectively, and the pension benefit obligation as of the Acquisition date was $6.3.</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components of net periodic post-retirement benefit cost for 2016 are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34"/>
        </w:trPr>
        <w:tc>
          <w:tcPr>
            <w:tcW w:w="7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2016</w:t>
            </w:r>
          </w:p>
        </w:tc>
        <w:tc>
          <w:tcPr>
            <w:tcW w:w="4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7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periodic post-retirement benefit cost</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periodic post-retirement benefit cost:</w:t>
            </w: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cost trend rate</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63"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change in the projected post-retirement benefit obligation, the funded status of the plan and the reconciliation of such funded status to the amounts reported in the consolidated balance sheets as of December 31, 2016 and December 31, 2015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2016</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w:t>
            </w: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amendments</w:t>
            </w:r>
          </w:p>
        </w:tc>
        <w:tc>
          <w:tcPr>
            <w:tcW w:w="1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year</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0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color w:val="auto"/>
                <w:w w:val="99"/>
              </w:rPr>
              <w:t>The amounts recognized in accumulated other comprehensive income as of December 31, 2016 are as follows: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8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Year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31, 2016</w:t>
            </w: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Deferred tax benefit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impact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Assumptions used to determine benefit obligation:</w:t>
            </w: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Healthcare cost trend rate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 one percentage point (1%) increase or decrease in the assumed healthcare cost trend rate would not impact the net service and interest cost components of the net periodic post-retirement benefit cost or the post-retirement benefit obligation since future increases in plan costs are paid by participant contributions. The Company expects to contribute $0.1 to the post-employment retiree health and welfare plan in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future gross benefit payments are as follows:</w:t>
            </w:r>
          </w:p>
        </w:tc>
        <w:tc>
          <w:tcPr>
            <w:tcW w:w="3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35"/>
        </w:trPr>
        <w:tc>
          <w:tcPr>
            <w:tcW w:w="72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4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4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4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 and thereafter</w:t>
            </w:r>
          </w:p>
        </w:tc>
        <w:tc>
          <w:tcPr>
            <w:tcW w:w="34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Medical Plan</w:t>
      </w:r>
    </w:p>
    <w:p>
      <w:pPr>
        <w:spacing w:after="0" w:line="13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20"/>
          </w:cols>
          <w:pgMar w:left="240" w:top="121" w:right="239" w:bottom="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4"/>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Post-retirement medical plan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Amounts included in accumulated other comprehensive earnings consist of unamortized net loss of $6.9. The accumulated other comprehensive earnings that are expected to be recognized as components of the post-retirement medical plan costs during 2017 are $6.9 related to amortization of the net gain resulting from the shift of Medicare-eligible participants to private exchanges.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summary of the changes in the accumulated post-retirement benefit obligation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r>
      <w:tr>
        <w:trPr>
          <w:trHeight w:val="34"/>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amendment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Recorded as: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88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weighted-average discount rates used in the calculation of the accumulated post-retirement benefit obligation were 3.8% and 4.4% as of December 31, 2016 and 2015, respectively. The healthcare cost trend rate was removed due to the expectation of future funding to be at the same level as the previous year's funding.</w:t>
      </w:r>
    </w:p>
    <w:p>
      <w:pPr>
        <w:spacing w:after="0" w:line="8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The following assumed benefit payments under the Company's post-retirement benefit plan, which reflect expected future service, as appropriate, and were used in the calculation of projected benefit obligations, are expected to be paid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 2022 and thereafter</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2001, the Board approved the Deferred Compensation Plan (DCP) under which certain of the Company's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this plan were $54.2 and $46.4 at December 31, 2016 and 2015, respectively. Deferred amounts are the Company's general unsecured obligations and are subject to claims by the Company's creditors. The Company's general assets may be used to fund obligations and pay DCP benefits.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December 31, 2016 and 2015 were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w w:val="99"/>
              </w:rPr>
              <w:t>Fair Value Measurements as of</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2016</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260" w:type="dxa"/>
            <w:vAlign w:val="bottom"/>
          </w:tcPr>
          <w:p>
            <w:pPr>
              <w:spacing w:after="0"/>
              <w:rPr>
                <w:sz w:val="23"/>
                <w:szCs w:val="23"/>
                <w:color w:val="auto"/>
              </w:rPr>
            </w:pPr>
          </w:p>
        </w:tc>
        <w:tc>
          <w:tcPr>
            <w:tcW w:w="306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 2016</w:t>
            </w:r>
          </w:p>
        </w:tc>
        <w:tc>
          <w:tcPr>
            <w:tcW w:w="260" w:type="dxa"/>
            <w:vAlign w:val="bottom"/>
          </w:tcPr>
          <w:p>
            <w:pPr>
              <w:spacing w:after="0"/>
              <w:rPr>
                <w:sz w:val="21"/>
                <w:szCs w:val="21"/>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Level 2</w:t>
            </w:r>
          </w:p>
        </w:tc>
        <w:tc>
          <w:tcPr>
            <w:tcW w:w="3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3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6"/>
          </w:tcPr>
          <w:p>
            <w:pPr>
              <w:ind w:left="800"/>
              <w:spacing w:after="0"/>
              <w:rPr>
                <w:sz w:val="20"/>
                <w:szCs w:val="20"/>
                <w:color w:val="auto"/>
              </w:rPr>
            </w:pPr>
            <w:r>
              <w:rPr>
                <w:rFonts w:ascii="Times New Roman" w:cs="Times New Roman" w:eastAsia="Times New Roman" w:hAnsi="Times New Roman"/>
                <w:sz w:val="18"/>
                <w:szCs w:val="18"/>
                <w:color w:val="auto"/>
                <w:w w:val="99"/>
              </w:rPr>
              <w:t>Fair Value Measurements as of</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2015</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260" w:type="dxa"/>
            <w:vAlign w:val="bottom"/>
          </w:tcPr>
          <w:p>
            <w:pPr>
              <w:spacing w:after="0"/>
              <w:rPr>
                <w:sz w:val="23"/>
                <w:szCs w:val="23"/>
                <w:color w:val="auto"/>
              </w:rPr>
            </w:pPr>
          </w:p>
        </w:tc>
        <w:tc>
          <w:tcPr>
            <w:tcW w:w="306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60" w:type="dxa"/>
            <w:vAlign w:val="bottom"/>
          </w:tcPr>
          <w:p>
            <w:pPr>
              <w:spacing w:after="0"/>
              <w:rPr>
                <w:sz w:val="21"/>
                <w:szCs w:val="21"/>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Level 2</w:t>
            </w:r>
          </w:p>
        </w:tc>
        <w:tc>
          <w:tcPr>
            <w:tcW w:w="3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34"/>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noncontrolling interest put is valued at its contractually determined value, which approximates fair value. During the year ended December 31, 2016, the carrying value of the noncontrolling interest put increased by $0.4 consisting of a $0.1 increase in the contractually determined value and a $0.3 increase for foreign currency translation.</w:t>
      </w:r>
    </w:p>
    <w:p>
      <w:pPr>
        <w:spacing w:after="0" w:line="82"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8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$79.3 and $177.1 as of December 31, 2016 and 2015, respectively. The fair market value of the senior notes, based on market pricing, was approximately $5,254.5 and $5,457.4 as of December 31, 2016 and 2015, respectively. The Company's note and debt instruments are considered level 2 instruments, as the fair market values of these instruments are determined using other observable inputs.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DERIVATIVE INSTRUMENTS AND HEDGING ACTIVITIES</w:t>
      </w:r>
    </w:p>
    <w:p>
      <w:pPr>
        <w:spacing w:after="0" w:line="13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(see Interest Rate Swap section below). Although the Company’s zero-coupon subordinated notes contain features that are considered to be embedded derivative instruments (see Embedded Derivative section below), the Company does not hold or issue derivative financial instruments for trading purposes. The Company does not believe that its exposure to market risk is material to the Company’s financial position or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 term debt. These derivative financial</w:t>
      </w:r>
    </w:p>
    <w:p>
      <w:pPr>
        <w:sectPr>
          <w:pgSz w:w="11900" w:h="16838" w:orient="portrait"/>
          <w:cols w:equalWidth="0" w:num="1">
            <w:col w:w="11420"/>
          </w:cols>
          <w:pgMar w:left="240" w:top="12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instruments are accounted for as fair value hedges of the Senior Notes due 2020. These interest rate swaps are included in other long term assets or liabilities, as applicable, and added to the value of the senior notes, with an aggregate fair value of $14.6 at December 31, 2016.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Embedded Derivatives Related to the Zero-Coupon Subordinated Notes</w:t>
      </w:r>
    </w:p>
    <w:p>
      <w:pPr>
        <w:spacing w:after="0" w:line="256"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89" w:lineRule="exact"/>
        <w:rPr>
          <w:sz w:val="20"/>
          <w:szCs w:val="20"/>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89"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The Company believes these embedded derivatives had no fair value at December 31, 2016 and 2015. These embedded derivatives also had no impact on the consolidated statements of operations for the years ended December 31, 2016, 2015 and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Instruments</w:t>
      </w:r>
    </w:p>
    <w:p>
      <w:pPr>
        <w:spacing w:after="0" w:line="25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2016.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Years Ended December 31,</w:t>
            </w:r>
          </w:p>
        </w:tc>
        <w:tc>
          <w:tcPr>
            <w:tcW w:w="900" w:type="dxa"/>
            <w:vAlign w:val="bottom"/>
          </w:tcPr>
          <w:p>
            <w:pPr>
              <w:spacing w:after="0"/>
              <w:rPr>
                <w:sz w:val="24"/>
                <w:szCs w:val="24"/>
                <w:color w:val="auto"/>
              </w:rPr>
            </w:pPr>
          </w:p>
        </w:tc>
      </w:tr>
      <w:tr>
        <w:trPr>
          <w:trHeight w:val="3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r>
      <w:tr>
        <w:trPr>
          <w:trHeight w:val="34"/>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117.8</w:t>
            </w:r>
          </w:p>
        </w:tc>
      </w:tr>
      <w:tr>
        <w:trPr>
          <w:trHeight w:val="243"/>
        </w:trPr>
        <w:tc>
          <w:tcPr>
            <w:tcW w:w="7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284.1</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Surrender of restricted stock awards and performance shares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Conversion of zero-coupon convertible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7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years ended December 31, 2016, 2015, and 2014.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211"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Prior to the first quarter of 2015, the CODM managed the operating results of the Company as two segments: commercial laboratory diagnostics and other. In connection with the Acquisition, the Company changed its operating segments to align with how the CODM evaluates financial information used to allocate resources and assess performance of the Company following the Acquisition. The segment information presented in these financial statements has been conformed to present segments on this revised basis for all prior periods. Under the new organizational structure, the CODM manages the Company under two segments: LCD and CDD. LCD includes the Company's legacy LabCorp business, and the Company's nutritional chemistry and food safety business, which was previously part of Covance, but excludes LabCorp’s legacy clinical trials testing business, which is now part of CDD. CDD includes Covance's legacy business, and LabCorp’s legacy clinical trials testing business, but excludes Covance's nutritional chemistry and food safety business, which is now part of LCD.</w:t>
      </w:r>
    </w:p>
    <w:p>
      <w:pPr>
        <w:sectPr>
          <w:pgSz w:w="11900" w:h="16838" w:orient="portrait"/>
          <w:cols w:equalWidth="0" w:num="1">
            <w:col w:w="11420"/>
          </w:cols>
          <w:pgMar w:left="240" w:top="121" w:right="239" w:bottom="102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ectPr>
          <w:pgSz w:w="11900" w:h="16838" w:orient="portrait"/>
          <w:cols w:equalWidth="0" w:num="1">
            <w:col w:w="11420"/>
          </w:cols>
          <w:pgMar w:left="240" w:top="121" w:right="239" w:bottom="1020" w:gutter="0" w:footer="0" w:header="0"/>
          <w:type w:val="continuous"/>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asset information is not presented because it is not used by the CODM at the segment level. Operating earnings (loss) of each segment represents net revenues less directly identifiable expenses to arrive at operating income for the segment. General management and administrative corporate expenses are included in general corporate expenses below.</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2015, the Company refined its methodology for how it allocates corporate expenses between the segments, which impacted segment results and has been applied to prior periods for comparative purposes.</w:t>
      </w:r>
    </w:p>
    <w:p>
      <w:pPr>
        <w:spacing w:after="0" w:line="108"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LCD</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CDD</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9,437.2</w:t>
            </w: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100" w:type="dxa"/>
            <w:vAlign w:val="bottom"/>
            <w:tcBorders>
              <w:top w:val="single" w:sz="8" w:color="auto"/>
            </w:tcBorders>
          </w:tcPr>
          <w:p>
            <w:pPr>
              <w:spacing w:after="0"/>
              <w:rPr>
                <w:sz w:val="20"/>
                <w:szCs w:val="20"/>
                <w:color w:val="auto"/>
              </w:rPr>
            </w:pPr>
          </w:p>
        </w:tc>
        <w:tc>
          <w:tcPr>
            <w:tcW w:w="120" w:type="dxa"/>
            <w:vAlign w:val="bottom"/>
            <w:gridSpan w:val="3"/>
          </w:tcPr>
          <w:p>
            <w:pPr>
              <w:spacing w:after="0"/>
              <w:rPr>
                <w:sz w:val="20"/>
                <w:szCs w:val="20"/>
                <w:color w:val="auto"/>
              </w:rPr>
            </w:pPr>
          </w:p>
        </w:tc>
        <w:tc>
          <w:tcPr>
            <w:tcW w:w="2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earnings (loss):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LCD</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CDD</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 net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(270.8)</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attributable to Laboratory Corporation of America Holdings</w:t>
            </w:r>
          </w:p>
        </w:tc>
        <w:tc>
          <w:tcPr>
            <w:tcW w:w="30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22"/>
                <w:szCs w:val="22"/>
                <w:color w:val="auto"/>
              </w:rPr>
            </w:pPr>
          </w:p>
        </w:tc>
        <w:tc>
          <w:tcPr>
            <w:tcW w:w="3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LCD</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270.9</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245.8</w:t>
            </w:r>
          </w:p>
        </w:tc>
        <w:tc>
          <w:tcPr>
            <w:tcW w:w="32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CDD</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490.5</w:t>
            </w:r>
          </w:p>
        </w:tc>
        <w:tc>
          <w:tcPr>
            <w:tcW w:w="4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434.3</w:t>
            </w:r>
          </w:p>
        </w:tc>
        <w:tc>
          <w:tcPr>
            <w:tcW w:w="3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Intercompany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LCD</w:t>
            </w:r>
          </w:p>
        </w:tc>
        <w:tc>
          <w:tcPr>
            <w:tcW w:w="300" w:type="dxa"/>
            <w:vAlign w:val="bottom"/>
          </w:tcPr>
          <w:p>
            <w:pPr>
              <w:spacing w:after="0"/>
              <w:rPr>
                <w:sz w:val="20"/>
                <w:szCs w:val="20"/>
                <w:color w:val="auto"/>
              </w:rPr>
            </w:pPr>
          </w:p>
        </w:tc>
        <w:tc>
          <w:tcPr>
            <w:tcW w:w="90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color w:val="auto"/>
              </w:rPr>
              <w:t>CDD</w:t>
            </w:r>
          </w:p>
        </w:tc>
        <w:tc>
          <w:tcPr>
            <w:tcW w:w="1220" w:type="dxa"/>
            <w:vAlign w:val="bottom"/>
            <w:gridSpan w:val="8"/>
          </w:tcPr>
          <w:p>
            <w:pPr>
              <w:jc w:val="right"/>
              <w:ind w:right="20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distribution of net revenues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6,593.9</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20" w:type="dxa"/>
            <w:vAlign w:val="bottom"/>
          </w:tcPr>
          <w:p>
            <w:pPr>
              <w:spacing w:after="0"/>
              <w:rPr>
                <w:sz w:val="22"/>
                <w:szCs w:val="22"/>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2"/>
                <w:szCs w:val="22"/>
                <w:color w:val="auto"/>
              </w:rPr>
            </w:pPr>
          </w:p>
        </w:tc>
        <w:tc>
          <w:tcPr>
            <w:tcW w:w="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LCD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CDD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distribution of property, plant and equipment, net</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gridSpan w:val="4"/>
            <w:vMerge w:val="continue"/>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2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778.5</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639.3</w:t>
            </w:r>
          </w:p>
        </w:tc>
        <w:tc>
          <w:tcPr>
            <w:tcW w:w="32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831.9</w:t>
            </w:r>
          </w:p>
        </w:tc>
        <w:tc>
          <w:tcPr>
            <w:tcW w:w="40" w:type="dxa"/>
            <w:vAlign w:val="bottom"/>
          </w:tcPr>
          <w:p>
            <w:pPr>
              <w:spacing w:after="0"/>
              <w:rPr>
                <w:sz w:val="22"/>
                <w:szCs w:val="22"/>
                <w:color w:val="auto"/>
              </w:rPr>
            </w:pP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886.7</w:t>
            </w:r>
          </w:p>
        </w:tc>
        <w:tc>
          <w:tcPr>
            <w:tcW w:w="3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9019"/>
          </w:cols>
          <w:pgMar w:left="1440" w:top="580" w:right="1440"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 QUARTERLY DATA (UNAUDITED)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following is a summary of unaudited quarterly data:</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color w:val="auto"/>
                <w:w w:val="99"/>
              </w:rPr>
              <w:t>Year Ended December 31, 2016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w:t>
            </w: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w:t>
            </w:r>
          </w:p>
        </w:tc>
      </w:tr>
      <w:tr>
        <w:trPr>
          <w:trHeight w:val="34"/>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9,437.2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3,180.5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r>
      <w:tr>
        <w:trPr>
          <w:trHeight w:val="500"/>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color w:val="auto"/>
                <w:w w:val="99"/>
              </w:rPr>
              <w:t>Year Ended December 31, 2015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1st</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2nd</w:t>
            </w:r>
          </w:p>
        </w:tc>
        <w:tc>
          <w:tcPr>
            <w:tcW w:w="2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3rd</w:t>
            </w: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4th</w:t>
            </w:r>
          </w:p>
        </w:tc>
        <w:tc>
          <w:tcPr>
            <w:tcW w:w="30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w:t>
            </w: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Quarter</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Quarter</w:t>
            </w: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w:t>
            </w:r>
          </w:p>
        </w:tc>
      </w:tr>
      <w:tr>
        <w:trPr>
          <w:trHeight w:val="34"/>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8,505.7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2,903.3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Laboratory Corporation of America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the first quarter of 2016, the Company finalized measurement periods adjustments and incorrectly recorded them retrospectively to the interim periods in 2015. The final measurement period adjustment consisted of foreign cumulative translation adjustments related to the final allocation of goodwill and intangibles to the applicable international geographies which was completed in the first quarter of 2016. As a result, the amounts of Other comprehensive income before tax for the first, second and third quarters of 2015 were inappropriately recast for the foreign currency translation adjustments of $122.2, $(115.6), and $104.7, respectively. The cumulative foreign currency adjustment should have been recorded in the first quarter of 2016 which would have reduced the foreign currency translation adjustment amount by $80.4.</w:t>
      </w:r>
    </w:p>
    <w:p>
      <w:pPr>
        <w:spacing w:after="0" w:line="9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reported amounts of Other comprehensive loss before tax were $(289.9), $149.0, $(207.5), and $138.3 and should have been $(167.7), $33.4, $(102.8), and $57.9 for the first, second and third quarters of 2015 and the first quarter of 2016 respectively. The Company concluded that these errors were not material individually or in the aggregate to any of the periods impacted. However, the Company will correct the foreign currency errors in the interim Consolidated Statements of Comprehensive Earnings for each of the affected periods when presented again.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1420"/>
          </w:cols>
          <w:pgMar w:left="240" w:top="121" w:right="2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LABORATORY CORPORATION OF AMERICA HOLDINGS AND SUBSIDIARIES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VALUATION AND QUALIFYING ACCOUNTS AND RESERVES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Years Ended December 31, 2016, 2015 and 2014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Balance at</w:t>
            </w:r>
          </w:p>
        </w:tc>
        <w:tc>
          <w:tcPr>
            <w:tcW w:w="3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Additions</w:t>
            </w:r>
          </w:p>
        </w:tc>
        <w:tc>
          <w:tcPr>
            <w:tcW w:w="380" w:type="dxa"/>
            <w:vAlign w:val="bottom"/>
          </w:tcPr>
          <w:p>
            <w:pPr>
              <w:spacing w:after="0"/>
              <w:rPr>
                <w:sz w:val="18"/>
                <w:szCs w:val="18"/>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beginning</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Charged to Costs and</w:t>
            </w:r>
          </w:p>
        </w:tc>
        <w:tc>
          <w:tcPr>
            <w:tcW w:w="38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at end</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of year</w:t>
            </w: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Expense</w:t>
            </w: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(Deductions)Additions</w:t>
            </w:r>
          </w:p>
        </w:tc>
        <w:tc>
          <w:tcPr>
            <w:tcW w:w="34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of year</w:t>
            </w:r>
          </w:p>
        </w:tc>
        <w:tc>
          <w:tcPr>
            <w:tcW w:w="0" w:type="dxa"/>
            <w:vAlign w:val="bottom"/>
          </w:tcPr>
          <w:p>
            <w:pPr>
              <w:spacing w:after="0"/>
              <w:rPr>
                <w:sz w:val="1"/>
                <w:szCs w:val="1"/>
                <w:color w:val="auto"/>
              </w:rPr>
            </w:pPr>
          </w:p>
        </w:tc>
      </w:tr>
      <w:tr>
        <w:trPr>
          <w:trHeight w:val="34"/>
        </w:trPr>
        <w:tc>
          <w:tcPr>
            <w:tcW w:w="4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Applied against asset accounts:</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2015:</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allowance-deferred tax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Applied against asset accounts: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allowance-deferred tax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4280" w:hanging="5532"/>
        <w:spacing w:after="0" w:line="564"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(Deductions) Additions consists primarily of write-offs of accounts receivable amounts. F-47</w:t>
      </w:r>
    </w:p>
    <w:p>
      <w:pPr>
        <w:sectPr>
          <w:pgSz w:w="11900" w:h="16838" w:orient="portrait"/>
          <w:cols w:equalWidth="0" w:num="1">
            <w:col w:w="11320"/>
          </w:cols>
          <w:pgMar w:left="240" w:top="121" w:right="339"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COMPUTATION OF RATIOS OF EARNINGS TO FIXED CHARGES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ratio information)</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Fiscal Years Ended December 31,</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944.2</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915.6</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826.7</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726.0</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1,105.5</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Equity in the income of investees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distributions received from equity investees</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1,106.7</w:t>
            </w:r>
          </w:p>
        </w:tc>
        <w:tc>
          <w:tcPr>
            <w:tcW w:w="0" w:type="dxa"/>
            <w:vAlign w:val="bottom"/>
          </w:tcPr>
          <w:p>
            <w:pPr>
              <w:spacing w:after="0"/>
              <w:rPr>
                <w:sz w:val="1"/>
                <w:szCs w:val="1"/>
                <w:color w:val="auto"/>
              </w:rPr>
            </w:pPr>
          </w:p>
        </w:tc>
      </w:tr>
      <w:tr>
        <w:trPr>
          <w:trHeight w:val="55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long-term and</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including</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expense</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554"/>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Portion of rental expense as can be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demonstrated to be representative</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interest factor (a)</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charges</w:t>
            </w:r>
          </w:p>
        </w:tc>
        <w:tc>
          <w:tcPr>
            <w:tcW w:w="2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 and</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 charges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1,113.6</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1,086.5</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1,010.1</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1,096.7</w:t>
            </w:r>
          </w:p>
        </w:tc>
        <w:tc>
          <w:tcPr>
            <w:tcW w:w="22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1,422.9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Income from continuing operations before tax and rental expense for the period ended December 31, 2015 has been revised.</w:t>
      </w:r>
    </w:p>
    <w:p>
      <w:pPr>
        <w:sectPr>
          <w:pgSz w:w="11900" w:h="16838" w:orient="portrait"/>
          <w:cols w:equalWidth="0" w:num="1">
            <w:col w:w="11140"/>
          </w:cols>
          <w:pgMar w:left="240" w:top="279" w:right="519" w:bottom="1440" w:gutter="0" w:footer="0" w:header="0"/>
        </w:sectPr>
      </w:pPr>
    </w:p>
    <w:bookmarkStart w:id="127" w:name="page128"/>
    <w:bookmarkEnd w:id="127"/>
    <w:p>
      <w:pPr>
        <w:jc w:val="right"/>
        <w:ind w:right="2379"/>
        <w:spacing w:after="0"/>
        <w:tabs>
          <w:tab w:leader="none" w:pos="2400" w:val="left"/>
        </w:tabs>
        <w:rPr>
          <w:sz w:val="20"/>
          <w:szCs w:val="20"/>
          <w:color w:val="auto"/>
        </w:rPr>
      </w:pPr>
      <w:r>
        <w:rPr>
          <w:rFonts w:ascii="Times New Roman" w:cs="Times New Roman" w:eastAsia="Times New Roman" w:hAnsi="Times New Roman"/>
          <w:sz w:val="22"/>
          <w:szCs w:val="22"/>
          <w:b w:val="1"/>
          <w:bCs w:val="1"/>
          <w:color w:val="auto"/>
        </w:rPr>
        <w:t>Exhibit 21</w:t>
      </w:r>
      <w:r>
        <w:rPr>
          <w:sz w:val="20"/>
          <w:szCs w:val="20"/>
          <w:color w:val="auto"/>
        </w:rPr>
        <w:tab/>
      </w:r>
      <w:r>
        <w:rPr>
          <w:rFonts w:ascii="Times New Roman" w:cs="Times New Roman" w:eastAsia="Times New Roman" w:hAnsi="Times New Roman"/>
          <w:sz w:val="21"/>
          <w:szCs w:val="21"/>
          <w:b w:val="1"/>
          <w:bCs w:val="1"/>
          <w:color w:val="auto"/>
        </w:rPr>
        <w:t>LIST OF SUBSIDIARIES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1957285 Ontario Inc. dba Quality Underwriting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2089729 Ontario,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2248848 Ontario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3065619 Nova Scotia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3257959 Nova Scotia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8165335 Canada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8348596 Canada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896988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9279-3280 Quebec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Accupath Diagnostic Laboratories,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Beacon Laboratory Benefit Solutions,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Bode Cellmark Forensics,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CannAmm GP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CannAmm Limited Partnership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Cellmark Forensics,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Center for Disease Detection,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Center for Disease Detection International,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Centrex Clinical Laboratories,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Clearstone Central Laboratories (U.S.)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Clearstone Holdings (International)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Clipper Holdings,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 Coagulation Consultants,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Correlagen Diagnostics,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Curalab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Cytometry Associates,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Czura Thornton (Hong Kong)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DCL Acquisition,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DCL Sub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Decision Diagnostics, L.L.C. (aka DaVinici/Medicorp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Diagnostic Services,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DIANON Systems,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DL Holdings Limited Partnership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 Gamma Laboratory Partnership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G.P.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Holdco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Laboratories Limited Partnership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Laboratories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Northwest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Realty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DynaLifeDX</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DynalifeDX Infrastructure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Endocrine Sciences,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Genetic Counseling,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Genetic Laboratories,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Esoterix,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Execmed Health Services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FirstSource Laboratory Solutions,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 Dynacare Central Medical Laboratories GP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 Dynacare Central Medical Laboratory Limited Partnership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GDML Medical Laboratories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GeneScreen, Inc.</w:t>
      </w:r>
    </w:p>
    <w:p>
      <w:pPr>
        <w:sectPr>
          <w:pgSz w:w="11900" w:h="16838" w:orient="portrait"/>
          <w:cols w:equalWidth="0" w:num="1">
            <w:col w:w="9399"/>
          </w:cols>
          <w:pgMar w:left="1060" w:top="581" w:right="1440" w:bottom="946"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color w:val="auto"/>
        </w:rPr>
        <w:t>Health Testing Centers,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Health Trans Services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HHLA Lab-In-An-Envelope,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Healthcare Laboratory of America,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IDX Pathology,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Impact Genetics Corporation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Impact Genetics,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Kaleida LabCorp,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 Delivery Service of New York City,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Belgium Holdings,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BVBA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Laboratories (Canada)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Central Laboratories (China)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Development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Health System Diagnostics,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Japan, G.K.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Nebraska,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Neon Luxembourg S.à r.l.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Specialty Testing Billing Service,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Specialty Testing Group,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Tennessee,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LabCorp UK Holdings,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Laboratoire Bio-Medic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 (LCA)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Laboratory Corporation of America Holdings (LCAH)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LabWest,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Lifecodes Corporation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LipoScience,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Litholink Corporation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MedAxio Insurance Medical Services GP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MedAxio Insurance Medical Services LP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Diagnostics,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Laboratories,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MEDTOX Scientific,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Monogram Biosciences,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National Genetics Institute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Brighton Business Center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Imaging Diagnostics,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Molecular Diagnostics Ventures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NWT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Orchid Cellmark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Orchid Cellmark ULC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 Labs,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 Lab, Incorporated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Pee Dee Pathology Associates,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Persys Technology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Princeton Diagnostic Laboratories of America,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Protedyne Corporation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ReliaGene Technologies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Biosciences (India) Pvt.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Center for Molecular Medicine,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Sequenom,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SW/DL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Tandem Labs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Biomarker Factory,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Viro-Med Laboratories, Inc.</w:t>
      </w:r>
    </w:p>
    <w:p>
      <w:pPr>
        <w:sectPr>
          <w:pgSz w:w="11900" w:h="16838" w:orient="portrait"/>
          <w:cols w:equalWidth="0" w:num="1">
            <w:col w:w="9399"/>
          </w:cols>
          <w:pgMar w:left="1060" w:top="747" w:right="1440" w:bottom="716"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auto"/>
        </w:rPr>
        <w:t>Covance Inc. Operating Entities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CJB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(Argentina) SA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(Asia) Pte.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(Canada)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(Polska) Sp.Zo.O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Asia-Pacific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Austria GmbH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Bioanalytical Services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Brazil Pharmaceutical Services Limitada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Central Laboratory Services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Central Laboratory Services Limited Partnership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Central Laboratory Services S.a r.l..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Chile Services Limitada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and Periapproval Services AG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and Periapproval Services GmbH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and Periapproval Services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and Periapproval Services SA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and Periapproval Services S.a r.l.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Product Developments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Research Unit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Research Unit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Clinical Research, L.P.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CLS Holdings Limited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CLS Holdings Partnership LP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Colombia Services Limitada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CRU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Denmark Aps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Development Services (Pty)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Hong Kong Holdings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Hong Kong Services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Hungaria Consultancy Limited Liability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India Pharmaceutical Services Private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International Holdings B.V.</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Japan Co.,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Korea Services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Laboratories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Laboratories Korea Company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Laboratories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Luxembourg S.a r.l.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Market Access Services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Mexico Services, S. DE R. L. De C.V.</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Neon Luxembourg S.a r.l.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New Zealand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Periapproval Services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Peru Services S.A.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Pharmaceutical Research and Development (Beijing) Co.,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Pharmaceutical Research and Development (Shanghai) Co.,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Preclinical Services GmbH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Pty.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Research Holdings,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Research Products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Services (Thailand)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Services Malaysia Sdn. Bhd.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Specialty Pharmacy LLC</w:t>
      </w:r>
    </w:p>
    <w:p>
      <w:pPr>
        <w:sectPr>
          <w:pgSz w:w="11900" w:h="16838" w:orient="portrait"/>
          <w:cols w:equalWidth="0" w:num="1">
            <w:col w:w="9399"/>
          </w:cols>
          <w:pgMar w:left="1060" w:top="745" w:right="1440" w:bottom="716"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color w:val="auto"/>
        </w:rPr>
        <w:t>Covance Taiwan Services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US Holdings Limited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US Holdings Partnership LP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Virtual Central Laboratory B.V.</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CRPP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Fairfax Storage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Hazpen Trustees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IFN Research,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Food Network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Food Network,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Medaxial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 Foods International Holdings,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Covance Charitable Foundation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National Food Laboratory, LLC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Covance Inc. Inactive Entities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Classic Laboratory Services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Genomics Laboratory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Latin America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Covance Preclinical Corporation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PMD Properties,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SLJK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REIM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SPHN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JSG R&amp;D LLC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Nexigent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 Covance GP, Inc.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Dynacare non-operating entities identified subsequent to the acquisition of Dynacare Inc. on July 25, 2002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1004679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563911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794475 Ontario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829318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854512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879606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900747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925893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942487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942489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942491 Ontario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942492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947342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949235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958069 Ontario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977681 Ontario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978550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978551 Ontario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Amherstview Medical Centre Developments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DHG Place Du Centre Clinique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Canada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Dynacare International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Glen Davis Equities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L.R.C. Management Service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Lawrence-Curlew Medical Centre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Roselat Developments Limited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 Joseph's Health Centre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Stockwin Corporation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Thistle Place Care Corp.</w:t>
      </w:r>
    </w:p>
    <w:p>
      <w:pPr>
        <w:sectPr>
          <w:pgSz w:w="11900" w:h="16838" w:orient="portrait"/>
          <w:cols w:equalWidth="0" w:num="1">
            <w:col w:w="9399"/>
          </w:cols>
          <w:pgMar w:left="1060" w:top="747" w:right="1440" w:bottom="689"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color w:val="auto"/>
        </w:rPr>
        <w:t>Toronto Argyro Medical Laboratories Ltd.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Woodstock Medical Arts Building Inc.</w:t>
      </w:r>
    </w:p>
    <w:p>
      <w:pPr>
        <w:sectPr>
          <w:pgSz w:w="11900" w:h="16838" w:orient="portrait"/>
          <w:cols w:equalWidth="0" w:num="1">
            <w:col w:w="9399"/>
          </w:cols>
          <w:pgMar w:left="1060" w:top="747"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S-3ASR (No. 333-200740) and Form S-8 (No. 333-102602, No. 333-90764, No. 333-97745, No. 333-150704, No. 333-181107, No. 333-211324 and No. 333-211323) of Laboratory Corporation of America Holdings of our report dated February 27, 2017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3" w:lineRule="auto"/>
        <w:rPr>
          <w:sz w:val="20"/>
          <w:szCs w:val="20"/>
          <w:color w:val="auto"/>
        </w:rPr>
      </w:pPr>
      <w:r>
        <w:rPr>
          <w:rFonts w:ascii="Times New Roman" w:cs="Times New Roman" w:eastAsia="Times New Roman" w:hAnsi="Times New Roman"/>
          <w:sz w:val="18"/>
          <w:szCs w:val="18"/>
          <w:color w:val="auto"/>
        </w:rPr>
        <w:t>Charlotte, North Carolina</w:t>
      </w:r>
    </w:p>
    <w:p>
      <w:pPr>
        <w:spacing w:after="0"/>
        <w:rPr>
          <w:sz w:val="20"/>
          <w:szCs w:val="20"/>
          <w:color w:val="auto"/>
        </w:rPr>
      </w:pPr>
      <w:r>
        <w:rPr>
          <w:rFonts w:ascii="Times New Roman" w:cs="Times New Roman" w:eastAsia="Times New Roman" w:hAnsi="Times New Roman"/>
          <w:sz w:val="18"/>
          <w:szCs w:val="18"/>
          <w:color w:val="auto"/>
        </w:rPr>
        <w:t>February 27, 2017</w:t>
      </w:r>
    </w:p>
    <w:p>
      <w:pPr>
        <w:sectPr>
          <w:pgSz w:w="11900" w:h="16838" w:orient="portrait"/>
          <w:cols w:equalWidth="0" w:num="1">
            <w:col w:w="11420"/>
          </w:cols>
          <w:pgMar w:left="240" w:top="104"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Kerrii B. Anderson</w:t>
      </w:r>
    </w:p>
    <w:p>
      <w:pPr>
        <w:sectPr>
          <w:pgSz w:w="11900" w:h="16838" w:orient="portrait"/>
          <w:cols w:equalWidth="0" w:num="1">
            <w:col w:w="11420"/>
          </w:cols>
          <w:pgMar w:left="240" w:top="104"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200" w:lineRule="exact"/>
        <w:rPr>
          <w:sz w:val="20"/>
          <w:szCs w:val="20"/>
          <w:color w:val="auto"/>
        </w:rPr>
      </w:pPr>
    </w:p>
    <w:p>
      <w:pPr>
        <w:spacing w:after="0" w:line="295" w:lineRule="exact"/>
        <w:rPr>
          <w:sz w:val="20"/>
          <w:szCs w:val="20"/>
          <w:color w:val="auto"/>
        </w:rPr>
      </w:pPr>
    </w:p>
    <w:p>
      <w:pPr>
        <w:ind w:left="6360"/>
        <w:spacing w:after="0"/>
        <w:tabs>
          <w:tab w:leader="none" w:pos="7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34290</wp:posOffset>
            </wp:positionV>
            <wp:extent cx="27184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Jean-Luc Bélingard</w:t>
      </w:r>
    </w:p>
    <w:p>
      <w:pPr>
        <w:sectPr>
          <w:pgSz w:w="11900" w:h="16838" w:orient="portrait"/>
          <w:cols w:equalWidth="0" w:num="1">
            <w:col w:w="11420"/>
          </w:cols>
          <w:pgMar w:left="240" w:top="104"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Exhibit 24.3</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D. Gary Gilliland, M.D., Ph.D</w:t>
      </w:r>
    </w:p>
    <w:p>
      <w:pPr>
        <w:sectPr>
          <w:pgSz w:w="11900" w:h="16838" w:orient="portrait"/>
          <w:cols w:equalWidth="0" w:num="1">
            <w:col w:w="11420"/>
          </w:cols>
          <w:pgMar w:left="240" w:top="104"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Exhibit 24.4</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6360"/>
        <w:spacing w:after="0"/>
        <w:tabs>
          <w:tab w:leader="none" w:pos="7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34290</wp:posOffset>
            </wp:positionV>
            <wp:extent cx="2718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Garheng Kong, M.D., Ph.D.</w:t>
      </w:r>
    </w:p>
    <w:p>
      <w:pPr>
        <w:sectPr>
          <w:pgSz w:w="11900" w:h="16838" w:orient="portrait"/>
          <w:cols w:equalWidth="0" w:num="1">
            <w:col w:w="11420"/>
          </w:cols>
          <w:pgMar w:left="240" w:top="104"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Exhibit 24.5</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54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E. MITTELSTAEDT,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Robert E. Mittelstaedt, Jr.</w:t>
      </w:r>
    </w:p>
    <w:p>
      <w:pPr>
        <w:sectPr>
          <w:pgSz w:w="11900" w:h="16838" w:orient="portrait"/>
          <w:cols w:equalWidth="0" w:num="1">
            <w:col w:w="11420"/>
          </w:cols>
          <w:pgMar w:left="240" w:top="104"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Exhibit 24.6</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Peter M. Neupert</w:t>
      </w:r>
    </w:p>
    <w:p>
      <w:pPr>
        <w:sectPr>
          <w:pgSz w:w="11900" w:h="16838" w:orient="portrait"/>
          <w:cols w:equalWidth="0" w:num="1">
            <w:col w:w="11420"/>
          </w:cols>
          <w:pgMar w:left="240" w:top="104"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Exhibit 24.7</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RICHELLE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Richelle Parham</w:t>
      </w:r>
    </w:p>
    <w:p>
      <w:pPr>
        <w:sectPr>
          <w:pgSz w:w="11900" w:h="16838" w:orient="portrait"/>
          <w:cols w:equalWidth="0" w:num="1">
            <w:col w:w="11420"/>
          </w:cols>
          <w:pgMar w:left="240" w:top="73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Exhibit 24.8</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Adam H. Schechter</w:t>
      </w:r>
    </w:p>
    <w:p>
      <w:pPr>
        <w:sectPr>
          <w:pgSz w:w="11900" w:h="16838" w:orient="portrait"/>
          <w:cols w:equalWidth="0" w:num="1">
            <w:col w:w="11420"/>
          </w:cols>
          <w:pgMar w:left="240" w:top="104"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Exhibit 24.9</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44" w:lineRule="exact"/>
        <w:rPr>
          <w:sz w:val="20"/>
          <w:szCs w:val="20"/>
          <w:color w:val="auto"/>
        </w:rPr>
      </w:pPr>
    </w:p>
    <w:p>
      <w:pPr>
        <w:jc w:val="both"/>
        <w:ind w:firstLine="243"/>
        <w:spacing w:after="0" w:line="210" w:lineRule="auto"/>
        <w:rPr>
          <w:sz w:val="20"/>
          <w:szCs w:val="20"/>
          <w:color w:val="auto"/>
        </w:rPr>
      </w:pPr>
      <w:r>
        <w:rPr>
          <w:rFonts w:ascii="Times New Roman" w:cs="Times New Roman" w:eastAsia="Times New Roman" w:hAnsi="Times New Roman"/>
          <w:sz w:val="18"/>
          <w:szCs w:val="18"/>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2016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WITNESS WHEREOF, the undersigned has signed these presents in this 27th day of February, 2017.</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 Sanders Williams, M.D.</w:t>
      </w:r>
    </w:p>
    <w:p>
      <w:pPr>
        <w:sectPr>
          <w:pgSz w:w="11900" w:h="16838" w:orient="portrait"/>
          <w:cols w:equalWidth="0" w:num="1">
            <w:col w:w="11420"/>
          </w:cols>
          <w:pgMar w:left="240" w:top="104"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Laboratory Corporation of America Holdings;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20" w:hanging="8"/>
        <w:spacing w:after="0" w:line="282" w:lineRule="auto"/>
        <w:tabs>
          <w:tab w:leader="none" w:pos="52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4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2017</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Laboratory Corporation of America Holdings;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20" w:hanging="8"/>
        <w:spacing w:after="0" w:line="282" w:lineRule="auto"/>
        <w:tabs>
          <w:tab w:leader="none" w:pos="52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4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2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2017</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62" w:lineRule="exact"/>
        <w:rPr>
          <w:sz w:val="20"/>
          <w:szCs w:val="20"/>
          <w:color w:val="auto"/>
        </w:rPr>
      </w:pPr>
    </w:p>
    <w:p>
      <w:pPr>
        <w:ind w:firstLine="656"/>
        <w:spacing w:after="0" w:line="282" w:lineRule="auto"/>
        <w:tabs>
          <w:tab w:leader="none" w:pos="9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of the Company for the Period Ended December 31, 2016 filed on the date hereof with the Securities and Exchange Commission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87" w:lineRule="exact"/>
        <w:rPr>
          <w:sz w:val="20"/>
          <w:szCs w:val="20"/>
          <w:color w:val="auto"/>
        </w:rPr>
      </w:pPr>
    </w:p>
    <w:p>
      <w:pPr>
        <w:ind w:left="57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February 27, 2017</w:t>
      </w:r>
    </w:p>
    <w:p>
      <w:pPr>
        <w:spacing w:after="0" w:line="200" w:lineRule="exact"/>
        <w:rPr>
          <w:sz w:val="20"/>
          <w:szCs w:val="20"/>
          <w:color w:val="auto"/>
        </w:rPr>
      </w:pPr>
    </w:p>
    <w:p>
      <w:pPr>
        <w:spacing w:after="0" w:line="214" w:lineRule="exact"/>
        <w:rPr>
          <w:sz w:val="20"/>
          <w:szCs w:val="20"/>
          <w:color w:val="auto"/>
        </w:rPr>
      </w:pPr>
    </w:p>
    <w:p>
      <w:pPr>
        <w:ind w:left="57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February 27, 2017</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3"/>
    </w:lvl>
  </w:abstractNum>
  <w:abstractNum w:abstractNumId="16">
    <w:nsid w:val="6CEAF087"/>
    <w:multiLevelType w:val="hybridMultilevel"/>
    <w:lvl w:ilvl="0">
      <w:lvlJc w:val="left"/>
      <w:lvlText w:val="(%1)"/>
      <w:numFmt w:val="lowerLetter"/>
      <w:start w:val="7"/>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3"/>
    </w:lvl>
  </w:abstractNum>
  <w:abstractNum w:abstractNumId="22">
    <w:nsid w:val="5577F8E1"/>
    <w:multiLevelType w:val="hybridMultilevel"/>
    <w:lvl w:ilvl="0">
      <w:lvlJc w:val="left"/>
      <w:lvlText w:val="%1."/>
      <w:numFmt w:val="decimal"/>
      <w:start w:val="37"/>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bullet"/>
      <w:start w:val="1"/>
    </w:lvl>
  </w:abstractNum>
  <w:abstractNum w:abstractNumId="26">
    <w:nsid w:val="77465F01"/>
    <w:multiLevelType w:val="hybridMultilevel"/>
    <w:lvl w:ilvl="0">
      <w:lvlJc w:val="left"/>
      <w:lvlText w:val="2"/>
      <w:numFmt w:val="bullet"/>
      <w:start w:val="1"/>
    </w:lvl>
  </w:abstractNum>
  <w:abstractNum w:abstractNumId="27">
    <w:nsid w:val="7724C67E"/>
    <w:multiLevelType w:val="hybridMultilevel"/>
    <w:lvl w:ilvl="0">
      <w:lvlJc w:val="left"/>
      <w:lvlText w:val="3"/>
      <w:numFmt w:val="bullet"/>
      <w:start w:val="1"/>
    </w:lvl>
  </w:abstractNum>
  <w:abstractNum w:abstractNumId="28">
    <w:nsid w:val="5C482A97"/>
    <w:multiLevelType w:val="hybridMultilevel"/>
    <w:lvl w:ilvl="0">
      <w:lvlJc w:val="left"/>
      <w:lvlText w:val="4"/>
      <w:numFmt w:val="bullet"/>
      <w:start w:val="1"/>
    </w:lvl>
  </w:abstractNum>
  <w:abstractNum w:abstractNumId="29">
    <w:nsid w:val="2463B9EA"/>
    <w:multiLevelType w:val="hybridMultilevel"/>
    <w:lvl w:ilvl="0">
      <w:lvlJc w:val="left"/>
      <w:lvlText w:val="(%1)"/>
      <w:numFmt w:val="lowerLetter"/>
      <w:start w:val="1"/>
    </w:lvl>
    <w:lvl w:ilvl="1">
      <w:lvlJc w:val="left"/>
      <w:lvlText w:val="(%2)"/>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4"/>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4"/>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4"/>
    </w:lvl>
  </w:abstractNum>
  <w:abstractNum w:abstractNumId="38">
    <w:nsid w:val="2A487CB0"/>
    <w:multiLevelType w:val="hybridMultilevel"/>
    <w:lvl w:ilvl="0">
      <w:lvlJc w:val="left"/>
      <w:lvlText w:val="%1."/>
      <w:numFmt w:val="decimal"/>
      <w:start w:val="16"/>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6"/>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2019-12-29T08:50:28Z</dcterms:created>
  <dcterms:modified xsi:type="dcterms:W3CDTF">2019-12-29T08:50:28Z</dcterms:modified>
</cp:coreProperties>
</file>