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3"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QUARTERLY REPORT PURSUANT TO SECTION 13 OR 15(d)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880" w:type="dxa"/>
            <w:vAlign w:val="bottom"/>
          </w:tcPr>
          <w:p>
            <w:pPr>
              <w:spacing w:after="0"/>
              <w:rPr>
                <w:sz w:val="20"/>
                <w:szCs w:val="20"/>
                <w:color w:val="auto"/>
              </w:rPr>
            </w:pPr>
          </w:p>
        </w:tc>
        <w:tc>
          <w:tcPr>
            <w:tcW w:w="9340" w:type="dxa"/>
            <w:vAlign w:val="bottom"/>
            <w:gridSpan w:val="8"/>
          </w:tcPr>
          <w:p>
            <w:pPr>
              <w:jc w:val="center"/>
              <w:ind w:right="184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tc>
      </w:tr>
      <w:tr>
        <w:trPr>
          <w:trHeight w:val="412"/>
        </w:trPr>
        <w:tc>
          <w:tcPr>
            <w:tcW w:w="1880" w:type="dxa"/>
            <w:vAlign w:val="bottom"/>
          </w:tcPr>
          <w:p>
            <w:pPr>
              <w:spacing w:after="0"/>
              <w:rPr>
                <w:sz w:val="24"/>
                <w:szCs w:val="24"/>
                <w:color w:val="auto"/>
              </w:rPr>
            </w:pPr>
          </w:p>
        </w:tc>
        <w:tc>
          <w:tcPr>
            <w:tcW w:w="4440" w:type="dxa"/>
            <w:vAlign w:val="bottom"/>
            <w:gridSpan w:val="5"/>
          </w:tcPr>
          <w:p>
            <w:pPr>
              <w:ind w:left="2460"/>
              <w:spacing w:after="0"/>
              <w:rPr>
                <w:sz w:val="20"/>
                <w:szCs w:val="20"/>
                <w:color w:val="auto"/>
              </w:rPr>
            </w:pPr>
            <w:r>
              <w:rPr>
                <w:rFonts w:ascii="Times New Roman" w:cs="Times New Roman" w:eastAsia="Times New Roman" w:hAnsi="Times New Roman"/>
                <w:sz w:val="18"/>
                <w:szCs w:val="18"/>
                <w:color w:val="auto"/>
              </w:rPr>
              <w:t>Commission File Number</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1-11353</w:t>
            </w: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5"/>
        </w:trPr>
        <w:tc>
          <w:tcPr>
            <w:tcW w:w="1880" w:type="dxa"/>
            <w:vAlign w:val="bottom"/>
          </w:tcPr>
          <w:p>
            <w:pPr>
              <w:spacing w:after="0"/>
              <w:rPr>
                <w:sz w:val="24"/>
                <w:szCs w:val="24"/>
                <w:color w:val="auto"/>
              </w:rPr>
            </w:pPr>
          </w:p>
        </w:tc>
        <w:tc>
          <w:tcPr>
            <w:tcW w:w="9340" w:type="dxa"/>
            <w:vAlign w:val="bottom"/>
            <w:gridSpan w:val="8"/>
          </w:tcPr>
          <w:p>
            <w:pPr>
              <w:jc w:val="center"/>
              <w:ind w:right="1860"/>
              <w:spacing w:after="0"/>
              <w:rPr>
                <w:sz w:val="20"/>
                <w:szCs w:val="20"/>
                <w:color w:val="auto"/>
              </w:rPr>
            </w:pPr>
            <w:r>
              <w:rPr>
                <w:rFonts w:ascii="Times New Roman" w:cs="Times New Roman" w:eastAsia="Times New Roman" w:hAnsi="Times New Roman"/>
                <w:sz w:val="32"/>
                <w:szCs w:val="32"/>
                <w:b w:val="1"/>
                <w:bCs w:val="1"/>
                <w:color w:val="auto"/>
              </w:rPr>
              <w:t>LABCORP HOLDINGS INC.</w:t>
            </w:r>
          </w:p>
        </w:tc>
      </w:tr>
      <w:tr>
        <w:trPr>
          <w:trHeight w:val="232"/>
        </w:trPr>
        <w:tc>
          <w:tcPr>
            <w:tcW w:w="1880" w:type="dxa"/>
            <w:vAlign w:val="bottom"/>
          </w:tcPr>
          <w:p>
            <w:pPr>
              <w:spacing w:after="0"/>
              <w:rPr>
                <w:sz w:val="20"/>
                <w:szCs w:val="20"/>
                <w:color w:val="auto"/>
              </w:rPr>
            </w:pPr>
          </w:p>
        </w:tc>
        <w:tc>
          <w:tcPr>
            <w:tcW w:w="9340" w:type="dxa"/>
            <w:vAlign w:val="bottom"/>
            <w:gridSpan w:val="8"/>
          </w:tcPr>
          <w:p>
            <w:pPr>
              <w:jc w:val="center"/>
              <w:ind w:right="1860"/>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339"/>
        </w:trPr>
        <w:tc>
          <w:tcPr>
            <w:tcW w:w="1880" w:type="dxa"/>
            <w:vAlign w:val="bottom"/>
          </w:tcPr>
          <w:p>
            <w:pPr>
              <w:spacing w:after="0"/>
              <w:rPr>
                <w:sz w:val="24"/>
                <w:szCs w:val="24"/>
                <w:color w:val="auto"/>
              </w:rPr>
            </w:pPr>
          </w:p>
        </w:tc>
        <w:tc>
          <w:tcPr>
            <w:tcW w:w="444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gridSpan w:val="2"/>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8"/>
              </w:rPr>
              <w:t>99-2588107</w:t>
            </w:r>
          </w:p>
        </w:tc>
        <w:tc>
          <w:tcPr>
            <w:tcW w:w="20" w:type="dxa"/>
            <w:vAlign w:val="bottom"/>
          </w:tcPr>
          <w:p>
            <w:pPr>
              <w:spacing w:after="0"/>
              <w:rPr>
                <w:sz w:val="24"/>
                <w:szCs w:val="24"/>
                <w:color w:val="auto"/>
              </w:rPr>
            </w:pPr>
          </w:p>
        </w:tc>
      </w:tr>
      <w:tr>
        <w:trPr>
          <w:trHeight w:val="232"/>
        </w:trPr>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320" w:type="dxa"/>
            <w:vAlign w:val="bottom"/>
            <w:tcBorders>
              <w:top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34"/>
        </w:trPr>
        <w:tc>
          <w:tcPr>
            <w:tcW w:w="1880" w:type="dxa"/>
            <w:vAlign w:val="bottom"/>
          </w:tcPr>
          <w:p>
            <w:pPr>
              <w:spacing w:after="0"/>
              <w:rPr>
                <w:sz w:val="24"/>
                <w:szCs w:val="24"/>
                <w:color w:val="auto"/>
              </w:rPr>
            </w:pPr>
          </w:p>
        </w:tc>
        <w:tc>
          <w:tcPr>
            <w:tcW w:w="444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358 South Main Street</w:t>
            </w:r>
          </w:p>
        </w:tc>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18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Burlington,</w:t>
            </w:r>
          </w:p>
        </w:tc>
        <w:tc>
          <w:tcPr>
            <w:tcW w:w="4440" w:type="dxa"/>
            <w:vAlign w:val="bottom"/>
            <w:gridSpan w:val="5"/>
          </w:tcPr>
          <w:p>
            <w:pPr>
              <w:ind w:left="16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4880" w:type="dxa"/>
            <w:vAlign w:val="bottom"/>
            <w:gridSpan w:val="2"/>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7"/>
              </w:rPr>
              <w:t>27215</w:t>
            </w:r>
          </w:p>
        </w:tc>
        <w:tc>
          <w:tcPr>
            <w:tcW w:w="20" w:type="dxa"/>
            <w:vAlign w:val="bottom"/>
          </w:tcPr>
          <w:p>
            <w:pPr>
              <w:spacing w:after="0"/>
              <w:rPr>
                <w:sz w:val="20"/>
                <w:szCs w:val="20"/>
                <w:color w:val="auto"/>
              </w:rPr>
            </w:pPr>
          </w:p>
        </w:tc>
      </w:tr>
      <w:tr>
        <w:trPr>
          <w:trHeight w:val="232"/>
        </w:trPr>
        <w:tc>
          <w:tcPr>
            <w:tcW w:w="5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00" w:type="dxa"/>
            <w:vAlign w:val="bottom"/>
            <w:gridSpan w:val="2"/>
          </w:tcPr>
          <w:p>
            <w:pPr>
              <w:spacing w:after="0"/>
              <w:rPr>
                <w:sz w:val="20"/>
                <w:szCs w:val="20"/>
                <w:color w:val="auto"/>
              </w:rPr>
            </w:pPr>
          </w:p>
        </w:tc>
        <w:tc>
          <w:tcPr>
            <w:tcW w:w="680" w:type="dxa"/>
            <w:vAlign w:val="bottom"/>
            <w:tcBorders>
              <w:top w:val="single" w:sz="8" w:color="auto"/>
            </w:tcBorders>
            <w:gridSpan w:val="2"/>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300" w:type="dxa"/>
            <w:vAlign w:val="bottom"/>
            <w:tcBorders>
              <w:top w:val="single" w:sz="8" w:color="auto"/>
            </w:tcBorders>
          </w:tcPr>
          <w:p>
            <w:pPr>
              <w:jc w:val="center"/>
              <w:ind w:right="1151"/>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307" w:lineRule="exact"/>
        <w:rPr>
          <w:sz w:val="24"/>
          <w:szCs w:val="24"/>
          <w:color w:val="auto"/>
        </w:rPr>
      </w:pPr>
    </w:p>
    <w:p>
      <w:pPr>
        <w:ind w:right="3220" w:firstLine="3225"/>
        <w:spacing w:after="0" w:line="402" w:lineRule="auto"/>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r>
        <w:rPr>
          <w:rFonts w:ascii="Times New Roman" w:cs="Times New Roman" w:eastAsia="Times New Roman" w:hAnsi="Times New Roman"/>
          <w:sz w:val="18"/>
          <w:szCs w:val="18"/>
          <w:color w:val="auto"/>
        </w:rPr>
        <w:t xml:space="preserve"> Securities registered pursuant to Section 12(b) of the Exchange Act.</w:t>
      </w:r>
    </w:p>
    <w:p>
      <w:pPr>
        <w:sectPr>
          <w:pgSz w:w="11900" w:h="16838" w:orient="portrait"/>
          <w:cols w:equalWidth="0" w:num="1">
            <w:col w:w="11240"/>
          </w:cols>
          <w:pgMar w:left="320" w:top="972" w:right="339" w:bottom="1440" w:gutter="0" w:footer="0" w:header="0"/>
        </w:sectPr>
      </w:pPr>
    </w:p>
    <w:p>
      <w:pPr>
        <w:spacing w:after="0" w:line="80" w:lineRule="exact"/>
        <w:rPr>
          <w:sz w:val="24"/>
          <w:szCs w:val="24"/>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27" w:lineRule="exact"/>
        <w:rPr>
          <w:sz w:val="24"/>
          <w:szCs w:val="24"/>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Common Stock, $0.10 par value</w:t>
      </w:r>
      <w:r>
        <w:rPr>
          <w:sz w:val="20"/>
          <w:szCs w:val="20"/>
          <w:color w:val="auto"/>
        </w:rPr>
        <w:tab/>
      </w:r>
      <w:r>
        <w:rPr>
          <w:rFonts w:ascii="Times New Roman" w:cs="Times New Roman" w:eastAsia="Times New Roman" w:hAnsi="Times New Roman"/>
          <w:sz w:val="18"/>
          <w:szCs w:val="18"/>
          <w:color w:val="auto"/>
        </w:rPr>
        <w:t>LH</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2" w:right="339" w:bottom="1440" w:gutter="0" w:footer="0" w:header="0"/>
          <w:type w:val="continuous"/>
        </w:sectPr>
      </w:pPr>
    </w:p>
    <w:p>
      <w:pPr>
        <w:spacing w:after="0" w:line="2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3"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12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7"/>
              </w:rPr>
              <w:t>Class</w:t>
            </w:r>
          </w:p>
        </w:tc>
        <w:tc>
          <w:tcPr>
            <w:tcW w:w="254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8"/>
              </w:rPr>
              <w:t>Shares Outstanding</w:t>
            </w:r>
          </w:p>
        </w:tc>
        <w:tc>
          <w:tcPr>
            <w:tcW w:w="1540" w:type="dxa"/>
            <w:vAlign w:val="bottom"/>
          </w:tcPr>
          <w:p>
            <w:pPr>
              <w:spacing w:after="0"/>
              <w:rPr>
                <w:sz w:val="18"/>
                <w:szCs w:val="18"/>
                <w:color w:val="auto"/>
              </w:rPr>
            </w:pPr>
          </w:p>
        </w:tc>
        <w:tc>
          <w:tcPr>
            <w:tcW w:w="2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47"/>
        </w:trPr>
        <w:tc>
          <w:tcPr>
            <w:tcW w:w="46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8"/>
              </w:rPr>
              <w:t>Common Stock $0.10 par value</w:t>
            </w: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83,963,277</w:t>
            </w:r>
          </w:p>
        </w:tc>
        <w:tc>
          <w:tcPr>
            <w:tcW w:w="1160" w:type="dxa"/>
            <w:vAlign w:val="bottom"/>
          </w:tcPr>
          <w:p>
            <w:pPr>
              <w:spacing w:after="0"/>
              <w:rPr>
                <w:sz w:val="21"/>
                <w:szCs w:val="21"/>
                <w:color w:val="auto"/>
              </w:rPr>
            </w:pPr>
          </w:p>
        </w:tc>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August 1, 2024</w:t>
            </w:r>
          </w:p>
        </w:tc>
      </w:tr>
      <w:tr>
        <w:trPr>
          <w:trHeight w:val="966"/>
        </w:trPr>
        <w:tc>
          <w:tcPr>
            <w:tcW w:w="1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20"/>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5"/>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5860" w:type="dxa"/>
            <w:vAlign w:val="bottom"/>
            <w:gridSpan w:val="10"/>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320" w:type="dxa"/>
            <w:vAlign w:val="bottom"/>
            <w:gridSpan w:val="9"/>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w:t>
            </w:r>
          </w:p>
        </w:tc>
        <w:tc>
          <w:tcPr>
            <w:tcW w:w="4600" w:type="dxa"/>
            <w:vAlign w:val="bottom"/>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Six Months Ended June 30,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Three and Six Months Ended June 30, 2024 and 2023</w:t>
            </w:r>
          </w:p>
        </w:tc>
        <w:tc>
          <w:tcPr>
            <w:tcW w:w="36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39"/>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Changes in Shareholders’ Equity</w:t>
            </w:r>
          </w:p>
        </w:tc>
        <w:tc>
          <w:tcPr>
            <w:tcW w:w="304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24"/>
                <w:szCs w:val="24"/>
                <w:color w:val="auto"/>
              </w:rPr>
            </w:pP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Three and Six Months Ended June 30, 2024 and 2023</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47"/>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Six Months Ended June 30, 2024 and 2023</w:t>
            </w:r>
          </w:p>
        </w:tc>
        <w:tc>
          <w:tcPr>
            <w:tcW w:w="4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Unaudited Condensed Consolidated Financial Statements</w:t>
            </w:r>
          </w:p>
        </w:tc>
        <w:tc>
          <w:tcPr>
            <w:tcW w:w="3480" w:type="dxa"/>
            <w:vAlign w:val="bottom"/>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40" w:type="dxa"/>
            <w:vAlign w:val="bottom"/>
          </w:tcPr>
          <w:p>
            <w:pPr>
              <w:spacing w:after="0"/>
              <w:rPr>
                <w:sz w:val="24"/>
                <w:szCs w:val="24"/>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6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40" w:type="dxa"/>
            <w:vAlign w:val="bottom"/>
          </w:tcPr>
          <w:p>
            <w:pPr>
              <w:spacing w:after="0"/>
              <w:rPr>
                <w:sz w:val="24"/>
                <w:szCs w:val="24"/>
                <w:color w:val="auto"/>
              </w:rPr>
            </w:pPr>
          </w:p>
        </w:tc>
      </w:tr>
      <w:tr>
        <w:trPr>
          <w:trHeight w:val="567"/>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7"/>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40" w:type="dxa"/>
            <w:vAlign w:val="bottom"/>
          </w:tcPr>
          <w:p>
            <w:pPr>
              <w:spacing w:after="0"/>
              <w:rPr>
                <w:sz w:val="24"/>
                <w:szCs w:val="24"/>
                <w:color w:val="auto"/>
              </w:rPr>
            </w:pPr>
          </w:p>
        </w:tc>
      </w:tr>
      <w:tr>
        <w:trPr>
          <w:trHeight w:val="86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140" w:type="dxa"/>
            <w:vAlign w:val="bottom"/>
            <w:gridSpan w:val="11"/>
          </w:tcPr>
          <w:p>
            <w:pPr>
              <w:jc w:val="center"/>
              <w:ind w:left="3931"/>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7"/>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2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3,765.4</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7"/>
        </w:trPr>
        <w:tc>
          <w:tcPr>
            <w:tcW w:w="7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7"/>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2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3,225.2</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2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3"/>
        </w:trPr>
        <w:tc>
          <w:tcPr>
            <w:tcW w:w="734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Common stock, $0.10 par value, 83.8 and 83.9 shares outstanding at June 30, 2024, and December</w:t>
            </w: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2023, respectively</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7,888.2</w:t>
            </w:r>
          </w:p>
        </w:tc>
      </w:tr>
      <w:tr>
        <w:trPr>
          <w:trHeight w:val="233"/>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3"/>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7,875.0</w:t>
            </w:r>
          </w:p>
        </w:tc>
      </w:tr>
      <w:tr>
        <w:trPr>
          <w:trHeight w:val="25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240" w:type="dxa"/>
            <w:vAlign w:val="bottom"/>
            <w:gridSpan w:val="6"/>
          </w:tcPr>
          <w:p>
            <w:pPr>
              <w:jc w:val="center"/>
              <w:ind w:left="281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0" w:type="dxa"/>
            <w:vAlign w:val="bottom"/>
            <w:gridSpan w:val="8"/>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80" w:type="dxa"/>
            <w:vAlign w:val="bottom"/>
            <w:gridSpan w:val="5"/>
          </w:tcPr>
          <w:p>
            <w:pPr>
              <w:jc w:val="center"/>
              <w:ind w:left="3071"/>
              <w:spacing w:after="0"/>
              <w:rPr>
                <w:sz w:val="20"/>
                <w:szCs w:val="20"/>
                <w:color w:val="auto"/>
              </w:rPr>
            </w:pPr>
            <w:r>
              <w:rPr>
                <w:rFonts w:ascii="Times New Roman" w:cs="Times New Roman" w:eastAsia="Times New Roman" w:hAnsi="Times New Roman"/>
                <w:sz w:val="18"/>
                <w:szCs w:val="18"/>
                <w:b w:val="1"/>
                <w:bCs w:val="1"/>
                <w:color w:val="auto"/>
                <w:w w:val="98"/>
              </w:rPr>
              <w:t>(in millions, except per share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40" w:type="dxa"/>
            <w:vAlign w:val="bottom"/>
            <w:gridSpan w:val="2"/>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20" w:type="dxa"/>
            <w:vAlign w:val="bottom"/>
          </w:tcPr>
          <w:p>
            <w:pPr>
              <w:spacing w:after="0"/>
              <w:rPr>
                <w:sz w:val="24"/>
                <w:szCs w:val="24"/>
                <w:color w:val="auto"/>
              </w:rPr>
            </w:pPr>
          </w:p>
        </w:tc>
        <w:tc>
          <w:tcPr>
            <w:tcW w:w="2200" w:type="dxa"/>
            <w:vAlign w:val="bottom"/>
            <w:gridSpan w:val="4"/>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4,379.2</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76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continuing operations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earnings per share discontinued operations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76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 continuing operations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 discontinued operations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06"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INDEX</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560" w:type="dxa"/>
            <w:vAlign w:val="bottom"/>
            <w:tcBorders>
              <w:top w:val="single" w:sz="8" w:color="0000FF"/>
            </w:tcBorders>
          </w:tcPr>
          <w:p>
            <w:pPr>
              <w:spacing w:after="0"/>
              <w:rPr>
                <w:sz w:val="24"/>
                <w:szCs w:val="24"/>
                <w:color w:val="auto"/>
              </w:rPr>
            </w:pPr>
          </w:p>
        </w:tc>
        <w:tc>
          <w:tcPr>
            <w:tcW w:w="7140" w:type="dxa"/>
            <w:vAlign w:val="bottom"/>
            <w:gridSpan w:val="4"/>
          </w:tcPr>
          <w:p>
            <w:pPr>
              <w:jc w:val="center"/>
              <w:ind w:left="291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8480" w:type="dxa"/>
            <w:vAlign w:val="bottom"/>
            <w:gridSpan w:val="8"/>
          </w:tcPr>
          <w:p>
            <w:pPr>
              <w:jc w:val="center"/>
              <w:ind w:left="15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EARNINGS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5940" w:type="dxa"/>
            <w:vAlign w:val="bottom"/>
          </w:tcPr>
          <w:p>
            <w:pPr>
              <w:jc w:val="center"/>
              <w:ind w:left="409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940" w:type="dxa"/>
            <w:vAlign w:val="bottom"/>
          </w:tcPr>
          <w:p>
            <w:pPr>
              <w:jc w:val="center"/>
              <w:ind w:left="409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20" w:type="dxa"/>
            <w:vAlign w:val="bottom"/>
          </w:tcPr>
          <w:p>
            <w:pPr>
              <w:spacing w:after="0"/>
              <w:rPr>
                <w:sz w:val="17"/>
                <w:szCs w:val="17"/>
                <w:color w:val="auto"/>
              </w:rPr>
            </w:pPr>
          </w:p>
        </w:tc>
        <w:tc>
          <w:tcPr>
            <w:tcW w:w="2200" w:type="dxa"/>
            <w:vAlign w:val="bottom"/>
            <w:gridSpan w:val="4"/>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27"/>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0"/>
        </w:trPr>
        <w:tc>
          <w:tcPr>
            <w:tcW w:w="6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7"/>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earnings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color w:val="auto"/>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2"/>
                <w:szCs w:val="12"/>
                <w:color w:val="auto"/>
              </w:rPr>
            </w:pPr>
          </w:p>
        </w:tc>
        <w:tc>
          <w:tcPr>
            <w:tcW w:w="96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Common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11"/>
                <w:szCs w:val="11"/>
                <w:color w:val="auto"/>
              </w:rPr>
            </w:pPr>
          </w:p>
        </w:tc>
        <w:tc>
          <w:tcPr>
            <w:tcW w:w="96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3"/>
                <w:szCs w:val="13"/>
                <w:color w:val="auto"/>
              </w:rPr>
              <w:t>Shareholders’</w:t>
            </w: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rPr>
              <w:t>Capital</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Earnings (Loss)</w:t>
            </w: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20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Fortrea Holdings Inc. spin-off</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67"/>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8.1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8,836.2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8,785.0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20" w:type="dxa"/>
            <w:vAlign w:val="bottom"/>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7.7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20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2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Labcorp Holdings Inc.</w:t>
            </w:r>
          </w:p>
        </w:tc>
        <w:tc>
          <w:tcPr>
            <w:tcW w:w="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tcBorders>
              <w:top w:val="single" w:sz="8" w:color="CCEEFF"/>
            </w:tcBorders>
            <w:vMerge w:val="continue"/>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share settlement tax payments from issuance of stock to employees</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2"/>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72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common stock</w:t>
            </w: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7.7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8,177.6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INDEX</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59"/>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LABCORP HOLDINGS INC. AND SUBSIDIARIES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supplies inventory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prepaid expenses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unearned revenue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discontinued operating activities</w:t>
            </w:r>
          </w:p>
        </w:tc>
        <w:tc>
          <w:tcPr>
            <w:tcW w:w="2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47"/>
        </w:trPr>
        <w:tc>
          <w:tcPr>
            <w:tcW w:w="40" w:type="dxa"/>
            <w:vAlign w:val="bottom"/>
          </w:tcPr>
          <w:p>
            <w:pPr>
              <w:spacing w:after="0"/>
              <w:rPr>
                <w:sz w:val="21"/>
                <w:szCs w:val="21"/>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0"/>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continuing investing activities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33"/>
        </w:trPr>
        <w:tc>
          <w:tcPr>
            <w:tcW w:w="4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discontinued investing activities</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3"/>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2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7"/>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0"/>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continuing financing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3"/>
        </w:trPr>
        <w:tc>
          <w:tcPr>
            <w:tcW w:w="4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2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1,609.1</w:t>
            </w:r>
          </w:p>
        </w:tc>
      </w:tr>
      <w:tr>
        <w:trPr>
          <w:trHeight w:val="233"/>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r>
      <w:tr>
        <w:trPr>
          <w:trHeight w:val="220"/>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 of discontinued operations at end of period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0"/>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06"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2"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Labcorp® Holdings Inc. (Labcorp®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6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April 25, 2024, the Company announced plans to implement a new public holding company structure, with Labcorp Holdings Inc. as the new holding company. On May 17, 2024, the Company completed the holding company reorganization (Reorganization) and Labcorp Holdings Inc. became the successor issuer to Laboratory Corporation of America Holdings (LCAH). The new holding company has no independent assets or operations and its sole ownership interest is in LCAH.</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(Dx) and Biopharma Laboratory Services (BLS), formerly Drug Development. For further financial information about these segments, see Note 12 (Business Segment Information) to the Condensed Consolidated Financial Statements. During the three months ended June 30, 2024, Dx and BLS contributed approximately 78% and 22%, respectively, of revenues to the Company. During the six months ended June 30, 2024, Dx and BLS contributed approximately 78% and 22%, respectively, of revenues to the Company.</w:t>
      </w:r>
    </w:p>
    <w:p>
      <w:pPr>
        <w:spacing w:after="0" w:line="10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condensed consolidated financial statements and notes are presented in accordance with the rules and regulations of the Securities and Exchange Commission (SEC) and do not contain certain information included in the Company’s fiscal year 2023 Annual Report on Form 10-K (Annual Report). Therefore, these interim statements should be read in conjunction with the consolidated financial statements and notes thereto contained in the Company’s Annual Report.</w:t>
      </w:r>
    </w:p>
    <w:p>
      <w:pPr>
        <w:spacing w:after="0" w:line="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10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June 30, 2023 (the Distribution Date), Labcorp completed the previously announced separation (the Separation) from the Company of Fortrea Holdings Inc. (Fortrea), formerly the Company's Clinical Development and Commercialization Services (CDCS) business, into a separate, publicly-traded company. All historical operating results of Fortrea are presented as Discontinued Operations, net of tax, in the Condensed Consolidated Statements of Operations. The spin-off is expected to be treated as tax-free for the Company and its shareholders for U.S. federal income tax purposes.</w:t>
      </w:r>
    </w:p>
    <w:p>
      <w:pPr>
        <w:spacing w:after="0" w:line="100"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8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In June 2023, Fortrea, prior to the Separation and while a subsidiary of the Company, issued $570.0 of 7.500% senior secured notes due 2030 (the Fortrea Notes). The proceeds from the Fortrea Notes were used to fund cash payments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approximately $1,600.0 to the Company in connection with the Separation. The Company does not guarantee the Fortrea Notes following the Separation. Also in June 2023, Fortrea entered into three floating secured overnight financing rate (SOFR) credit facilities totaling $1,520.0. These are comprised of a $450.0 Revolver maturing June 30, 2028; a $500.0 Term Loan A maturing June 30, 2028; and a $570.0 Term Loan B maturing June 30, 2030.</w:t>
      </w:r>
    </w:p>
    <w:p>
      <w:pPr>
        <w:spacing w:after="0" w:line="84" w:lineRule="exact"/>
        <w:rPr>
          <w:sz w:val="20"/>
          <w:szCs w:val="20"/>
          <w:color w:val="auto"/>
        </w:rPr>
      </w:pPr>
    </w:p>
    <w:p>
      <w:pPr>
        <w:jc w:val="both"/>
        <w:ind w:right="20" w:firstLine="240"/>
        <w:spacing w:after="0" w:line="253"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but the service fees are included in other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30"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Earnings from discontinued operations, net of tax in the Consolidated Statements of Operations reflect the after-tax results of Fortrea's business and Separation-related fees, and do not include any allocation of general corporate overhead expense or interest expense of the Company.</w:t>
      </w:r>
    </w:p>
    <w:p>
      <w:pPr>
        <w:spacing w:after="0" w:line="70"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from Discontinued Operations, Net of Tax in the Condensed Consolidated Statements of Operations for the three and six months ended June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7"/>
        </w:trPr>
        <w:tc>
          <w:tcPr>
            <w:tcW w:w="67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2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r>
      <w:tr>
        <w:trPr>
          <w:trHeight w:val="22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revenues by segment and by payers/customer groups for the three and six months ended June 30,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3440" w:type="dxa"/>
            <w:vAlign w:val="bottom"/>
            <w:tcBorders>
              <w:top w:val="single" w:sz="8" w:color="auto"/>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40" w:type="dxa"/>
            <w:vAlign w:val="bottom"/>
            <w:tcBorders>
              <w:top w:val="single" w:sz="8" w:color="auto"/>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60" w:type="dxa"/>
            <w:vAlign w:val="bottom"/>
            <w:tcBorders>
              <w:right w:val="single" w:sz="8" w:color="auto"/>
            </w:tcBorders>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96"/>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3400" w:type="dxa"/>
            <w:vAlign w:val="bottom"/>
            <w:tcBorders>
              <w:top w:val="single" w:sz="8" w:color="auto"/>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400" w:type="dxa"/>
            <w:vAlign w:val="bottom"/>
            <w:tcBorders>
              <w:top w:val="single" w:sz="8" w:color="auto"/>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92"/>
        </w:trPr>
        <w:tc>
          <w:tcPr>
            <w:tcW w:w="2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8"/>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Third party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60" w:type="dxa"/>
            <w:vAlign w:val="bottom"/>
            <w:tcBorders>
              <w:right w:val="single" w:sz="8" w:color="auto"/>
            </w:tcBorders>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0"/>
        </w:trPr>
        <w:tc>
          <w:tcPr>
            <w:tcW w:w="28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20" w:firstLine="240"/>
        <w:spacing w:after="0" w:line="275" w:lineRule="auto"/>
        <w:rPr>
          <w:sz w:val="20"/>
          <w:szCs w:val="20"/>
          <w:color w:val="auto"/>
        </w:rPr>
      </w:pPr>
      <w:r>
        <w:rPr>
          <w:rFonts w:ascii="Times New Roman" w:cs="Times New Roman" w:eastAsia="Times New Roman" w:hAnsi="Times New Roman"/>
          <w:sz w:val="18"/>
          <w:szCs w:val="18"/>
          <w:color w:val="auto"/>
        </w:rPr>
        <w:t>Revenues in the U.S. were $2,698.8 (83.8%) and $2,537.0 (83.6%) for the three months ended June 30, 2024 and 2023, respectively, and were $5,353.4 (83.7%) and $5,094.4 (83.9%) for the six months ended June 30, 2024 and 2023,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provides information about accounts receivable, unbilled services, and unearned revenue from contracts with customers as of June 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2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unbilled services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right="40" w:firstLine="240"/>
        <w:spacing w:after="0" w:line="276"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$26.8 and $20.2 for the three months ended June 30, 2024 and 2023, respectively, and $77.8 and $72.8 for the six months ended June 30, 2024 and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6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The Company estimates future expected losses on accounts receivable, unbilled services and notes receivable over the remaining collection period of the instrument. The rollforward for the allowance for credit losses for the six months ended June 30, 2024,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Unbilled</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Note and Other</w:t>
            </w:r>
          </w:p>
        </w:tc>
        <w:tc>
          <w:tcPr>
            <w:tcW w:w="240" w:type="dxa"/>
            <w:vAlign w:val="bottom"/>
          </w:tcPr>
          <w:p>
            <w:pPr>
              <w:spacing w:after="0"/>
              <w:rPr>
                <w:sz w:val="18"/>
                <w:szCs w:val="18"/>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Receivables</w:t>
            </w: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7"/>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credit loss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write offs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credit loss expense in the first six months primarily related to the collection risk from several biotech receivable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ACQUISITIONS AND DISPOSITIONS</w:t>
      </w:r>
    </w:p>
    <w:p>
      <w:pPr>
        <w:spacing w:after="0" w:line="14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the Company acquired several businesses and related assets for cash of approximately $293.1. These acquisitions consisted of the clinical and outreach businesses of Baystate Medical Center ($116.6), Providence Medical Foundation ($54.9), and Westpac Labs, Inc. ($97.7) and an escrow payment of $23.9 for selected assets of the Invitae Corporation that is anticipated to close on August 5, 2024. The preliminary purchase considerations for these acquisitions were allocated under the acquisition method of accounting to the estimated fair market value of the net assets acquired, including approximately $159.4 in identifiable intangible assets. A residual amount of tax deductible goodwill of approximately $141.7 was recorded as of June 30, 2024. The amortization period for non-compete agreements and customer list assets acquired from these businesses are 5 and 15 years, respectively. The valuation of acquired assets and assumed liabilities, include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Amounts Acquired</w:t>
            </w:r>
          </w:p>
        </w:tc>
        <w:tc>
          <w:tcPr>
            <w:tcW w:w="140" w:type="dxa"/>
            <w:vAlign w:val="bottom"/>
          </w:tcPr>
          <w:p>
            <w:pPr>
              <w:spacing w:after="0"/>
              <w:rPr>
                <w:sz w:val="16"/>
                <w:szCs w:val="16"/>
                <w:color w:val="auto"/>
              </w:rPr>
            </w:pPr>
          </w:p>
        </w:tc>
        <w:tc>
          <w:tcPr>
            <w:tcW w:w="17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Providence</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w w:val="99"/>
              </w:rPr>
              <w:t>Adjustments for Prior</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Baystate</w:t>
            </w: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Westpac Labs,</w:t>
            </w:r>
          </w:p>
        </w:tc>
        <w:tc>
          <w:tcPr>
            <w:tcW w:w="160" w:type="dxa"/>
            <w:vAlign w:val="bottom"/>
          </w:tcPr>
          <w:p>
            <w:pPr>
              <w:spacing w:after="0"/>
              <w:rPr>
                <w:sz w:val="13"/>
                <w:szCs w:val="13"/>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Invitae</w:t>
            </w:r>
          </w:p>
        </w:tc>
        <w:tc>
          <w:tcPr>
            <w:tcW w:w="200" w:type="dxa"/>
            <w:vAlign w:val="bottom"/>
          </w:tcPr>
          <w:p>
            <w:pPr>
              <w:spacing w:after="0"/>
              <w:rPr>
                <w:sz w:val="13"/>
                <w:szCs w:val="13"/>
                <w:color w:val="auto"/>
              </w:rPr>
            </w:pPr>
          </w:p>
        </w:tc>
        <w:tc>
          <w:tcPr>
            <w:tcW w:w="1280" w:type="dxa"/>
            <w:vAlign w:val="bottom"/>
          </w:tcPr>
          <w:p>
            <w:pPr>
              <w:jc w:val="center"/>
              <w:ind w:right="72"/>
              <w:spacing w:after="0" w:line="160" w:lineRule="exact"/>
              <w:rPr>
                <w:sz w:val="20"/>
                <w:szCs w:val="20"/>
                <w:color w:val="auto"/>
              </w:rPr>
            </w:pPr>
            <w:r>
              <w:rPr>
                <w:rFonts w:ascii="Times New Roman" w:cs="Times New Roman" w:eastAsia="Times New Roman" w:hAnsi="Times New Roman"/>
                <w:sz w:val="16"/>
                <w:szCs w:val="16"/>
                <w:b w:val="1"/>
                <w:bCs w:val="1"/>
                <w:color w:val="auto"/>
              </w:rPr>
              <w:t>During the Six</w:t>
            </w:r>
          </w:p>
        </w:tc>
        <w:tc>
          <w:tcPr>
            <w:tcW w:w="1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Year Acquisitions During</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w w:val="97"/>
              </w:rPr>
              <w:t>Medical</w:t>
            </w: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Months Ended June</w:t>
            </w:r>
          </w:p>
        </w:tc>
        <w:tc>
          <w:tcPr>
            <w:tcW w:w="140" w:type="dxa"/>
            <w:vAlign w:val="bottom"/>
          </w:tcPr>
          <w:p>
            <w:pPr>
              <w:spacing w:after="0"/>
              <w:rPr>
                <w:sz w:val="13"/>
                <w:szCs w:val="13"/>
                <w:color w:val="auto"/>
              </w:rPr>
            </w:pPr>
          </w:p>
        </w:tc>
        <w:tc>
          <w:tcPr>
            <w:tcW w:w="172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6"/>
                <w:szCs w:val="16"/>
                <w:b w:val="1"/>
                <w:bCs w:val="1"/>
                <w:color w:val="auto"/>
              </w:rPr>
              <w:t>the Six Months Ended</w:t>
            </w:r>
          </w:p>
        </w:tc>
        <w:tc>
          <w:tcPr>
            <w:tcW w:w="0" w:type="dxa"/>
            <w:vAlign w:val="bottom"/>
          </w:tcPr>
          <w:p>
            <w:pPr>
              <w:spacing w:after="0"/>
              <w:rPr>
                <w:sz w:val="1"/>
                <w:szCs w:val="1"/>
                <w:color w:val="auto"/>
              </w:rPr>
            </w:pPr>
          </w:p>
        </w:tc>
      </w:tr>
      <w:tr>
        <w:trPr>
          <w:trHeight w:val="220"/>
        </w:trPr>
        <w:tc>
          <w:tcPr>
            <w:tcW w:w="32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Medical Center</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Foundation</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Inc.</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Corporation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30, 2024</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escrow payment made in 2023</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March 28, 2024, the Company announced that it entered into an agreement to acquire selected assets of BioReference Health, a wholly owned subsidiary of OPKO Health for $237.5. The transaction is anticipated to close in the third quarter of 2024, subject to customary closing conditions for a transaction of this type, including applicable regulatory approvals. Through this transaction Labcorp will acquire laboratory testing businesses focused on clinical diagnostics and reproductive and women's health across the United States, outside of New York and New Jersey.</w:t>
      </w:r>
    </w:p>
    <w:p>
      <w:pPr>
        <w:spacing w:after="0" w:line="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April 24, 2024, the Company announced that it has been selected as the winning bidder for select assets of Invitae, a leading medical genetics company. On May 6, 2024, the United States Bankruptcy Court approved the previously announced bid by Labcorp to acquire the assets of Invitae. The purchase price for the transaction is $239.0. The transaction is anticipated to close on August 5, 2024, subject to customary closing conditions for a transaction of this type, including applicable regulatory approvals. Through this transaction, the Company would acquire assets being auctioned through a voluntary bankruptcy protection process.</w:t>
      </w:r>
    </w:p>
    <w:p>
      <w:pPr>
        <w:spacing w:after="0" w:line="9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2023, the Company acquired two businesses and the related assets for cash of approximately $136.9. These acquisitions consisted of Jefferson Health and Valley Medical Laboratories in British Columbia which expanded the Company's presence in the northeastern U.S. and Canada. The preliminary purchase considerations for these acquisitions were allocated under the acquisition method of accounting to the estimated fair market value of the net assets acquired, including approximately $84.1 in identifiable intangible assets. A residual amount of non-tax deductible goodwill of approximately $50.8 was recorded as of June 30, 2023. The amortization period for non-compete agreements and customer list assets acquired from these businesses are 7 and 15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six months ended June 30, 2023, the Company recorded several measurement period adjustments for 2022 acquisitions, relating to final valuations and deferred tax true-ups. The adjustments include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Measurement Period Adjustments During Six</w:t>
            </w:r>
          </w:p>
        </w:tc>
      </w:tr>
      <w:tr>
        <w:trPr>
          <w:trHeight w:val="220"/>
        </w:trPr>
        <w:tc>
          <w:tcPr>
            <w:tcW w:w="7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Months Ended June 30, 2023</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3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0"/>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7"/>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200" w:type="dxa"/>
            <w:vAlign w:val="bottom"/>
            <w:tcBorders>
              <w:bottom w:val="single" w:sz="8" w:color="auto"/>
            </w:tcBorders>
            <w:shd w:val="clear" w:color="auto" w:fill="CCEEFF"/>
          </w:tcPr>
          <w:p>
            <w:pPr>
              <w:spacing w:after="0"/>
              <w:rPr>
                <w:sz w:val="19"/>
                <w:szCs w:val="19"/>
                <w:color w:val="auto"/>
              </w:rPr>
            </w:pPr>
          </w:p>
        </w:tc>
        <w:tc>
          <w:tcPr>
            <w:tcW w:w="3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Had the Company's total 2024 and 2023 acquisitions been completed as of January 1, the Company's pro forma results would have been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Three Months Ended June</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Pr>
          <w:p>
            <w:pPr>
              <w:spacing w:after="0"/>
              <w:rPr>
                <w:sz w:val="17"/>
                <w:szCs w:val="17"/>
                <w:color w:val="auto"/>
              </w:rPr>
            </w:pPr>
          </w:p>
        </w:tc>
        <w:tc>
          <w:tcPr>
            <w:tcW w:w="15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Six Months Ended</w:t>
            </w:r>
          </w:p>
        </w:tc>
      </w:tr>
      <w:tr>
        <w:trPr>
          <w:trHeight w:val="236"/>
        </w:trPr>
        <w:tc>
          <w:tcPr>
            <w:tcW w:w="4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color w:val="auto"/>
                <w:w w:val="96"/>
              </w:rPr>
              <w:t>June 30,</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June 30,</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24"/>
        </w:trPr>
        <w:tc>
          <w:tcPr>
            <w:tcW w:w="4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color w:val="auto"/>
                <w:w w:val="94"/>
              </w:rPr>
              <w:t>2023</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3,220.9</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3,100.5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6,206.5</w:t>
            </w:r>
          </w:p>
        </w:tc>
      </w:tr>
      <w:tr>
        <w:trPr>
          <w:trHeight w:val="173"/>
        </w:trPr>
        <w:tc>
          <w:tcPr>
            <w:tcW w:w="41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Net earnings from continuing operations attributable to</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1"/>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Labcorp Holdings Inc.</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205.3</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193.4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bl>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During the six months ended June 30, 2024, the Company sold the assets of its Beacon Laboratory Benefit Solutions, Inc. for $13.5 and recorded a gain of $4.9.</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the Company by the weighted average number of shares of the Company's common stock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 for the three and six months ended June 30: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w w:val="99"/>
              </w:rPr>
              <w:t>Six Months Ended June 30,</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Earnings</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00" w:type="dxa"/>
            <w:vAlign w:val="bottom"/>
            <w:gridSpan w:val="2"/>
          </w:tcPr>
          <w:p>
            <w:pPr>
              <w:jc w:val="right"/>
              <w:ind w:right="3"/>
              <w:spacing w:after="0" w:line="137" w:lineRule="exact"/>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05"/>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98"/>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Dilutive effect of</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0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employee stock options</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awards</w:t>
            </w: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Net earnings including</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impact of dilutive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9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33"/>
        </w:trPr>
        <w:tc>
          <w:tcPr>
            <w:tcW w:w="432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6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r>
      <w:tr>
        <w:trPr>
          <w:trHeight w:val="227"/>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2024,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BLS</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Total</w:t>
            </w:r>
          </w:p>
        </w:tc>
      </w:tr>
      <w:tr>
        <w:trPr>
          <w:trHeight w:val="22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6,142.5</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0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6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6,220.2</w:t>
            </w:r>
          </w:p>
        </w:tc>
      </w:tr>
      <w:tr>
        <w:trPr>
          <w:trHeight w:val="20"/>
        </w:trPr>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8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1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3"/>
        </w:trPr>
        <w:tc>
          <w:tcPr>
            <w:tcW w:w="3380" w:type="dxa"/>
            <w:vAlign w:val="bottom"/>
          </w:tcPr>
          <w:p>
            <w:pPr>
              <w:spacing w:after="0"/>
              <w:rPr>
                <w:sz w:val="15"/>
                <w:szCs w:val="15"/>
                <w:color w:val="auto"/>
              </w:rPr>
            </w:pPr>
          </w:p>
        </w:tc>
        <w:tc>
          <w:tcPr>
            <w:tcW w:w="126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5"/>
                <w:szCs w:val="15"/>
                <w:color w:val="auto"/>
              </w:rPr>
            </w:pPr>
          </w:p>
        </w:tc>
        <w:tc>
          <w:tcPr>
            <w:tcW w:w="1380" w:type="dxa"/>
            <w:vAlign w:val="bottom"/>
            <w:gridSpan w:val="2"/>
          </w:tcPr>
          <w:p>
            <w:pPr>
              <w:jc w:val="right"/>
              <w:ind w:right="340"/>
              <w:spacing w:after="0" w:line="173"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7"/>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Net</w:t>
            </w:r>
          </w:p>
        </w:tc>
      </w:tr>
      <w:tr>
        <w:trPr>
          <w:trHeight w:val="22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0"/>
        </w:trPr>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3,342.0</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for the three and six months ended June 30, 2024, and 2023, was $62.2 and $51.5 and $122.3 and $104.9, respectively. The amortization expense for the net carrying amount of intangible assets is estimated to be $125.0 for the remainder of fiscal 2024, $237.2 in fiscal 2025, $228.2 in fiscal 2026, $216.9 in fiscal 2027, $209.1 in fiscal 2028, and $1,735.8 thereafter.</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at June 30, 2024, and December 31, 2023,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20"/>
                <w:szCs w:val="20"/>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 senior notes due 2024</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3.25% senior notes due 2024</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 at June 30, 2024, and December 31, 2023,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24"/>
                <w:szCs w:val="24"/>
                <w:color w:val="auto"/>
              </w:rPr>
            </w:pPr>
          </w:p>
        </w:tc>
        <w:tc>
          <w:tcPr>
            <w:tcW w:w="1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2025</w:t>
            </w:r>
          </w:p>
        </w:tc>
        <w:tc>
          <w:tcPr>
            <w:tcW w:w="3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2"/>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January 13, 2023.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was $20.0 outstanding on the Company's current revolving credit facility and $90.7 in outstanding letters of credit on the Company's subfacility as of June 30, 2024. As of June 30, 2024, the effective interest rate on the revolving credit facility was 6.44%. The credit facility expires on April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June 30, 2024, and expects that it will remain in compliance with its existing debt covenants for the next twelve months.</w:t>
      </w:r>
    </w:p>
    <w:p>
      <w:pPr>
        <w:spacing w:after="0" w:line="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4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$0.10 per share. The Company is authorized to issue up to 30.0 shares of preferred stock, par value $0.10 per share. There were no preferred shares outstanding as of June 30, 2024, and December 31, 2023.</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changes in common shares issued during the six months ended June 30, 2024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4225"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December 31, 2023</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Shares repurchased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at June 30, 2024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83.9</w:t>
      </w:r>
    </w:p>
    <w:p>
      <w:pPr>
        <w:spacing w:after="0" w:line="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0.4</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12065</wp:posOffset>
            </wp:positionV>
            <wp:extent cx="1692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15875</wp:posOffset>
            </wp:positionV>
            <wp:extent cx="169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227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41275</wp:posOffset>
            </wp:positionV>
            <wp:extent cx="1692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8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the Company purchased 0.5 shares of its common stock at an average price of $202.66 for a total cost of $100.0. As of June 30, 2024, the Company had outstanding authorization from the board of directors to purchase up to $430.4 of the Company's common stock. On July 24, 2024, the Board adopted a new share repurchase plan authorizing up to $1,000.0 of the Company's shares in addition to the remaining amount outstanding under the previous plan. In aggregate, the share repurchase authorization is $1,430.4.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2024, the Company paid $122.5 in common stock dividends. On July 25, 2024, the Company announced a cash dividend of $0.72 per share of common stock for the third quarter, or approximately $61.2 in the aggregate. The dividend will be payable on September 13, 2024, to stockholders of record of all issued and outstanding shares of common stock as of the close of business on August 29, 2024. The declaration and payment of any future dividends will be at the discretion of the Company's board of directors.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Earnings (Loss)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earnings (loss) during the six months ended June 30, 2024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Foreign Currency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Net Benefit Plan</w:t>
            </w:r>
          </w:p>
        </w:tc>
        <w:tc>
          <w:tcPr>
            <w:tcW w:w="180" w:type="dxa"/>
            <w:vAlign w:val="bottom"/>
          </w:tcPr>
          <w:p>
            <w:pPr>
              <w:spacing w:after="0"/>
              <w:rPr>
                <w:sz w:val="16"/>
                <w:szCs w:val="16"/>
                <w:color w:val="auto"/>
              </w:rPr>
            </w:pP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color w:val="auto"/>
              </w:rPr>
              <w:t>Translation</w:t>
            </w:r>
          </w:p>
        </w:tc>
        <w:tc>
          <w:tcPr>
            <w:tcW w:w="1280" w:type="dxa"/>
            <w:vAlign w:val="bottom"/>
            <w:gridSpan w:val="3"/>
            <w:vMerge w:val="continue"/>
          </w:tcPr>
          <w:p>
            <w:pPr>
              <w:spacing w:after="0"/>
              <w:rPr>
                <w:sz w:val="13"/>
                <w:szCs w:val="13"/>
                <w:color w:val="auto"/>
              </w:rPr>
            </w:pPr>
          </w:p>
        </w:tc>
        <w:tc>
          <w:tcPr>
            <w:tcW w:w="17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Comprehensive Earnings</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154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w w:val="97"/>
              </w:rPr>
              <w:t>(Loss)</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160" w:type="dxa"/>
            <w:vAlign w:val="bottom"/>
          </w:tcPr>
          <w:p>
            <w:pPr>
              <w:spacing w:after="0"/>
              <w:rPr>
                <w:sz w:val="20"/>
                <w:szCs w:val="20"/>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2"/>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42"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(and/or its subsidiaries and affiliates)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(MCOs) reviewing billing practices or requesting comment on allegations of billing irregularities that are brought to their attention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8"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6"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When loss contingencies are not both probable and reasonably estimable, the Company does not establish separate reserves.</w:t>
      </w:r>
    </w:p>
    <w:p>
      <w:pPr>
        <w:spacing w:after="0" w:line="1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9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9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On August 31, 2015, the Company was served with a putative class action lawsuit, </w:t>
      </w:r>
      <w:r>
        <w:rPr>
          <w:rFonts w:ascii="Times New Roman" w:cs="Times New Roman" w:eastAsia="Times New Roman" w:hAnsi="Times New Roman"/>
          <w:sz w:val="18"/>
          <w:szCs w:val="18"/>
          <w:i w:val="1"/>
          <w:iCs w:val="1"/>
          <w:color w:val="auto"/>
        </w:rPr>
        <w:t>Patty Davis v. Laboratory Corporation of America, et al.</w:t>
      </w:r>
      <w:r>
        <w:rPr>
          <w:rFonts w:ascii="Times New Roman" w:cs="Times New Roman" w:eastAsia="Times New Roman" w:hAnsi="Times New Roman"/>
          <w:sz w:val="18"/>
          <w:szCs w:val="18"/>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9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On December 29, 2021, the Company was served with a putative class action lawsuit, </w:t>
      </w:r>
      <w:r>
        <w:rPr>
          <w:rFonts w:ascii="Times New Roman" w:cs="Times New Roman" w:eastAsia="Times New Roman" w:hAnsi="Times New Roman"/>
          <w:sz w:val="18"/>
          <w:szCs w:val="18"/>
          <w:i w:val="1"/>
          <w:iCs w:val="1"/>
          <w:color w:val="auto"/>
        </w:rPr>
        <w:t>Nathaniel J. Nolan, et al. v. Laboratory Corporation of America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 filed in the U.S. District Court for the Middle District of North Carolina. The complaint alleges that the Company's patient acknowledgement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On April 10, 2024, the U.S. Court of Appeals for the Fourth Circuit issued an order affirming in part, reversing in part, and remanding the case to the District Court for further proceedings. The Company will vigorously defend the lawsuit.</w:t>
      </w:r>
    </w:p>
    <w:p>
      <w:pPr>
        <w:spacing w:after="0" w:line="9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8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1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92"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 asserts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9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8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The Company will vigorously defend the lawsuit.</w:t>
      </w:r>
    </w:p>
    <w:p>
      <w:pPr>
        <w:spacing w:after="0" w:line="94"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 xml:space="preserve">On October 16, 2020, Ravgen Inc. filed a patent infringement lawsuit, </w:t>
      </w:r>
      <w:r>
        <w:rPr>
          <w:rFonts w:ascii="Times New Roman" w:cs="Times New Roman" w:eastAsia="Times New Roman" w:hAnsi="Times New Roman"/>
          <w:sz w:val="17"/>
          <w:szCs w:val="17"/>
          <w:i w:val="1"/>
          <w:iCs w:val="1"/>
          <w:color w:val="auto"/>
        </w:rPr>
        <w:t>Ravgen Inc. v. Laboratory Corporation of America Holdings</w:t>
      </w:r>
      <w:r>
        <w:rPr>
          <w:rFonts w:ascii="Times New Roman" w:cs="Times New Roman" w:eastAsia="Times New Roman" w:hAnsi="Times New Roman"/>
          <w:sz w:val="17"/>
          <w:szCs w:val="17"/>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95" w:lineRule="exact"/>
        <w:rPr>
          <w:sz w:val="20"/>
          <w:szCs w:val="20"/>
          <w:color w:val="auto"/>
        </w:rPr>
      </w:pPr>
    </w:p>
    <w:p>
      <w:pPr>
        <w:jc w:val="both"/>
        <w:ind w:firstLine="280"/>
        <w:spacing w:after="0" w:line="249" w:lineRule="auto"/>
        <w:rPr>
          <w:sz w:val="20"/>
          <w:szCs w:val="20"/>
          <w:color w:val="auto"/>
        </w:rPr>
      </w:pPr>
      <w:r>
        <w:rPr>
          <w:rFonts w:ascii="Times New Roman" w:cs="Times New Roman" w:eastAsia="Times New Roman" w:hAnsi="Times New Roman"/>
          <w:sz w:val="18"/>
          <w:szCs w:val="18"/>
          <w:color w:val="auto"/>
        </w:rPr>
        <w:t xml:space="preserve">On May 14, 2020, the Company was served with a putative class action lawsuit, </w:t>
      </w:r>
      <w:r>
        <w:rPr>
          <w:rFonts w:ascii="Times New Roman" w:cs="Times New Roman" w:eastAsia="Times New Roman" w:hAnsi="Times New Roman"/>
          <w:sz w:val="18"/>
          <w:szCs w:val="18"/>
          <w:i w:val="1"/>
          <w:iCs w:val="1"/>
          <w:color w:val="auto"/>
        </w:rPr>
        <w:t>Jose Bermejo v. Laboratory Corporation of America (Bermejo I)</w:t>
      </w:r>
      <w:r>
        <w:rPr>
          <w:rFonts w:ascii="Times New Roman" w:cs="Times New Roman" w:eastAsia="Times New Roman" w:hAnsi="Times New Roman"/>
          <w:sz w:val="18"/>
          <w:szCs w:val="18"/>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Times New Roman" w:cs="Times New Roman" w:eastAsia="Times New Roman" w:hAnsi="Times New Roman"/>
          <w:sz w:val="18"/>
          <w:szCs w:val="18"/>
          <w:i w:val="1"/>
          <w:iCs w:val="1"/>
          <w:color w:val="auto"/>
        </w:rPr>
        <w:t>Jose Bermejo v. Laboratory Corporation of America (Bermejo II),</w:t>
      </w:r>
      <w:r>
        <w:rPr>
          <w:rFonts w:ascii="Times New Roman" w:cs="Times New Roman" w:eastAsia="Times New Roman" w:hAnsi="Times New Roman"/>
          <w:sz w:val="18"/>
          <w:szCs w:val="18"/>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pending resolution of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The second lawsuit seeks to recover civil penalties and recovery of attorney's fees and costs. On February 24, 2022, the parties entered into a Memorandum of Understanding of the terms of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The court granted preliminary approval of the parties’ settlement agreement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lawsuit on March 17, 2023, and of the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 on November 29, 2023. The settlement funds for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Bermejo II </w:t>
      </w:r>
      <w:r>
        <w:rPr>
          <w:rFonts w:ascii="Times New Roman" w:cs="Times New Roman" w:eastAsia="Times New Roman" w:hAnsi="Times New Roman"/>
          <w:sz w:val="18"/>
          <w:szCs w:val="18"/>
          <w:color w:val="auto"/>
        </w:rPr>
        <w:t>settlements have been transferred to a claims administrator for processing. Once the claims administration is completed, the parties will seek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approval from the court.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18"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On June 14, 2021, a single plaintiff filed a Private Attorney General Act lawsuit, </w:t>
      </w:r>
      <w:r>
        <w:rPr>
          <w:rFonts w:ascii="Times New Roman" w:cs="Times New Roman" w:eastAsia="Times New Roman" w:hAnsi="Times New Roman"/>
          <w:sz w:val="18"/>
          <w:szCs w:val="18"/>
          <w:i w:val="1"/>
          <w:iCs w:val="1"/>
          <w:color w:val="auto"/>
        </w:rPr>
        <w:t>Becker v. Laboratory Corporation of America</w:t>
      </w:r>
      <w:r>
        <w:rPr>
          <w:rFonts w:ascii="Times New Roman" w:cs="Times New Roman" w:eastAsia="Times New Roman" w:hAnsi="Times New Roman"/>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w:t>
      </w:r>
      <w:r>
        <w:rPr>
          <w:rFonts w:ascii="Times New Roman" w:cs="Times New Roman" w:eastAsia="Times New Roman" w:hAnsi="Times New Roman"/>
          <w:sz w:val="18"/>
          <w:szCs w:val="18"/>
          <w:i w:val="1"/>
          <w:iCs w:val="1"/>
          <w:color w:val="auto"/>
        </w:rPr>
        <w:t>Becker</w:t>
      </w:r>
      <w:r>
        <w:rPr>
          <w:rFonts w:ascii="Times New Roman" w:cs="Times New Roman" w:eastAsia="Times New Roman" w:hAnsi="Times New Roman"/>
          <w:sz w:val="18"/>
          <w:szCs w:val="18"/>
          <w:color w:val="auto"/>
        </w:rPr>
        <w:t xml:space="preserve"> lawsuit.</w:t>
      </w:r>
    </w:p>
    <w:p>
      <w:pPr>
        <w:spacing w:after="0" w:line="100"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 xml:space="preserve">On November 23, 2021, the Company was served with a single plaintiff Private Attorney General Act lawsuit, </w:t>
      </w:r>
      <w:r>
        <w:rPr>
          <w:rFonts w:ascii="Times New Roman" w:cs="Times New Roman" w:eastAsia="Times New Roman" w:hAnsi="Times New Roman"/>
          <w:sz w:val="18"/>
          <w:szCs w:val="18"/>
          <w:i w:val="1"/>
          <w:iCs w:val="1"/>
          <w:color w:val="auto"/>
        </w:rPr>
        <w:t>Poole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w:t>
      </w:r>
      <w:r>
        <w:rPr>
          <w:rFonts w:ascii="Times New Roman" w:cs="Times New Roman" w:eastAsia="Times New Roman" w:hAnsi="Times New Roman"/>
          <w:sz w:val="18"/>
          <w:szCs w:val="18"/>
          <w:color w:val="auto"/>
        </w:rPr>
        <w:t>, filed in the Superior Court of California, County of Kern, alleging various violations of the California Labor Code, including that Plaintiff was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Times New Roman" w:cs="Times New Roman" w:eastAsia="Times New Roman" w:hAnsi="Times New Roman"/>
          <w:sz w:val="18"/>
          <w:szCs w:val="18"/>
          <w:i w:val="1"/>
          <w:iCs w:val="1"/>
          <w:color w:val="auto"/>
        </w:rPr>
        <w:t>Bermejo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Bermejo II</w:t>
      </w:r>
      <w:r>
        <w:rPr>
          <w:rFonts w:ascii="Times New Roman" w:cs="Times New Roman" w:eastAsia="Times New Roman" w:hAnsi="Times New Roman"/>
          <w:sz w:val="18"/>
          <w:szCs w:val="18"/>
          <w:color w:val="auto"/>
        </w:rPr>
        <w:t xml:space="preserve"> lawsuits, if approved by the court, will resolve the portion of the </w:t>
      </w:r>
      <w:r>
        <w:rPr>
          <w:rFonts w:ascii="Times New Roman" w:cs="Times New Roman" w:eastAsia="Times New Roman" w:hAnsi="Times New Roman"/>
          <w:sz w:val="18"/>
          <w:szCs w:val="18"/>
          <w:i w:val="1"/>
          <w:iCs w:val="1"/>
          <w:color w:val="auto"/>
        </w:rPr>
        <w:t>Poole</w:t>
      </w:r>
      <w:r>
        <w:rPr>
          <w:rFonts w:ascii="Times New Roman" w:cs="Times New Roman" w:eastAsia="Times New Roman" w:hAnsi="Times New Roman"/>
          <w:sz w:val="18"/>
          <w:szCs w:val="18"/>
          <w:color w:val="auto"/>
        </w:rPr>
        <w:t xml:space="preserve"> lawsuit relating to service representatives and senior service representatives.</w:t>
      </w:r>
    </w:p>
    <w:p>
      <w:pPr>
        <w:spacing w:after="0" w:line="90"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October 5, 2020, the Company was served with a putative class action lawsuit, </w:t>
      </w:r>
      <w:r>
        <w:rPr>
          <w:rFonts w:ascii="Times New Roman" w:cs="Times New Roman" w:eastAsia="Times New Roman" w:hAnsi="Times New Roman"/>
          <w:sz w:val="18"/>
          <w:szCs w:val="18"/>
          <w:i w:val="1"/>
          <w:iCs w:val="1"/>
          <w:color w:val="auto"/>
        </w:rPr>
        <w:t>Williams v. LabCorp Employer Services, Inc. et al.</w:t>
      </w:r>
      <w:r>
        <w:rPr>
          <w:rFonts w:ascii="Times New Roman" w:cs="Times New Roman" w:eastAsia="Times New Roman" w:hAnsi="Times New Roman"/>
          <w:sz w:val="18"/>
          <w:szCs w:val="18"/>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which received court preliminary approval on December 13, 2023. Settlement proceeds were transferred to the settlement fund administrator in January 2024 and have been distributed by the settlement fund administrator. A case review is scheduled by the court for September 13, 2024, at which time the court is expected to sua sponte dismiss the lawsuit given its resolution by settlement.</w:t>
      </w:r>
    </w:p>
    <w:p>
      <w:pPr>
        <w:spacing w:after="0" w:line="94"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The Company will vigorously defend the lawsuit.</w:t>
      </w:r>
    </w:p>
    <w:p>
      <w:pPr>
        <w:spacing w:after="0" w:line="11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February 7, 2022, the Company was served with a Subpoena Duces Tecum issued by the DOJ in Camden, New Jersey requiring the production of documents related to non-invasive prenatal screening tests. The Company responded to the DOJ.</w:t>
      </w:r>
    </w:p>
    <w:p>
      <w:pPr>
        <w:spacing w:after="0" w:line="7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84" w:lineRule="exact"/>
        <w:rPr>
          <w:sz w:val="20"/>
          <w:szCs w:val="20"/>
          <w:color w:val="auto"/>
        </w:rPr>
      </w:pPr>
    </w:p>
    <w:p>
      <w:pPr>
        <w:jc w:val="both"/>
        <w:ind w:right="20" w:firstLine="240"/>
        <w:spacing w:after="0" w:line="306" w:lineRule="auto"/>
        <w:rPr>
          <w:sz w:val="20"/>
          <w:szCs w:val="20"/>
          <w:color w:val="auto"/>
        </w:rPr>
      </w:pPr>
      <w:r>
        <w:rPr>
          <w:rFonts w:ascii="Times New Roman" w:cs="Times New Roman" w:eastAsia="Times New Roman" w:hAnsi="Times New Roman"/>
          <w:sz w:val="17"/>
          <w:szCs w:val="17"/>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p>
    <w:p>
      <w:pPr>
        <w:spacing w:after="0" w:line="46"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8"/>
          <w:szCs w:val="18"/>
          <w:color w:val="auto"/>
        </w:rPr>
        <w:t xml:space="preserve">On February 13, 2024, a putative class action lawsuit, </w:t>
      </w:r>
      <w:r>
        <w:rPr>
          <w:rFonts w:ascii="Times New Roman" w:cs="Times New Roman" w:eastAsia="Times New Roman" w:hAnsi="Times New Roman"/>
          <w:sz w:val="18"/>
          <w:szCs w:val="18"/>
          <w:i w:val="1"/>
          <w:iCs w:val="1"/>
          <w:color w:val="auto"/>
        </w:rPr>
        <w:t>Michael Wiggins and Teri Stevens v. Laboratory Corporation of America Holdings</w:t>
      </w:r>
      <w:r>
        <w:rPr>
          <w:rFonts w:ascii="Times New Roman" w:cs="Times New Roman" w:eastAsia="Times New Roman" w:hAnsi="Times New Roman"/>
          <w:sz w:val="18"/>
          <w:szCs w:val="18"/>
          <w:color w:val="auto"/>
        </w:rPr>
        <w:t>, was filed in the U.S. District Court for the Eastern District of Pennsylvania, alleging that the Company’s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website includes a computer code created by Google that sent information to Google related to Plaintiffs and their online activities. Plaintiffs assert statutory and common law claims against the Company and seek to represent a class of all persons whose health information was allegedly shared with Google from the Company’s website before March 8, 2023. Plaintiffs seek an injunction, damages, attorneys’ fees, and costs. On April 12, 2024, the Company filed a Motion to Compel Arbitration and Stay Proceedings. The Company will vigorously defend the lawsuit.</w:t>
      </w:r>
    </w:p>
    <w:p>
      <w:pPr>
        <w:spacing w:after="0" w:line="10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4" w:lineRule="exact"/>
        <w:rPr>
          <w:sz w:val="20"/>
          <w:szCs w:val="20"/>
          <w:color w:val="auto"/>
        </w:rPr>
      </w:pPr>
    </w:p>
    <w:p>
      <w:pPr>
        <w:ind w:left="460" w:hanging="453"/>
        <w:spacing w:after="0"/>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2"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as of June 30, 2024, and December 31, 2023,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11"/>
          </w:tcPr>
          <w:p>
            <w:pPr>
              <w:jc w:val="center"/>
              <w:ind w:right="7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60" w:type="dxa"/>
            <w:vAlign w:val="bottom"/>
          </w:tcPr>
          <w:p>
            <w:pPr>
              <w:spacing w:after="0"/>
              <w:rPr>
                <w:sz w:val="19"/>
                <w:szCs w:val="19"/>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jc w:val="center"/>
              <w:ind w:right="7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60" w:type="dxa"/>
            <w:vAlign w:val="bottom"/>
          </w:tcPr>
          <w:p>
            <w:pPr>
              <w:spacing w:after="0"/>
              <w:rPr>
                <w:sz w:val="20"/>
                <w:szCs w:val="20"/>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8"/>
              </w:rPr>
              <w:t>June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20"/>
                <w:szCs w:val="20"/>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173"/>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0"/>
                <w:szCs w:val="20"/>
                <w:color w:val="auto"/>
              </w:rPr>
            </w:pPr>
          </w:p>
        </w:tc>
      </w:tr>
      <w:tr>
        <w:trPr>
          <w:trHeight w:val="395"/>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1"/>
          </w:tcPr>
          <w:p>
            <w:pPr>
              <w:jc w:val="center"/>
              <w:ind w:right="31"/>
              <w:spacing w:after="0"/>
              <w:rPr>
                <w:sz w:val="20"/>
                <w:szCs w:val="20"/>
                <w:color w:val="auto"/>
              </w:rPr>
            </w:pPr>
            <w:r>
              <w:rPr>
                <w:rFonts w:ascii="Times New Roman" w:cs="Times New Roman" w:eastAsia="Times New Roman" w:hAnsi="Times New Roman"/>
                <w:sz w:val="18"/>
                <w:szCs w:val="18"/>
                <w:color w:val="auto"/>
                <w:w w:val="97"/>
              </w:rPr>
              <w:t>Fair Value Measurements as of</w:t>
            </w:r>
          </w:p>
        </w:tc>
        <w:tc>
          <w:tcPr>
            <w:tcW w:w="60" w:type="dxa"/>
            <w:vAlign w:val="bottom"/>
          </w:tcPr>
          <w:p>
            <w:pPr>
              <w:spacing w:after="0"/>
              <w:rPr>
                <w:sz w:val="24"/>
                <w:szCs w:val="24"/>
                <w:color w:val="auto"/>
              </w:rPr>
            </w:pPr>
          </w:p>
        </w:tc>
      </w:tr>
      <w:tr>
        <w:trPr>
          <w:trHeight w:val="227"/>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10"/>
          </w:tcPr>
          <w:p>
            <w:pPr>
              <w:jc w:val="center"/>
              <w:ind w:left="511"/>
              <w:spacing w:after="0"/>
              <w:rPr>
                <w:sz w:val="20"/>
                <w:szCs w:val="20"/>
                <w:color w:val="auto"/>
              </w:rPr>
            </w:pPr>
            <w:r>
              <w:rPr>
                <w:rFonts w:ascii="Times New Roman" w:cs="Times New Roman" w:eastAsia="Times New Roman" w:hAnsi="Times New Roman"/>
                <w:sz w:val="18"/>
                <w:szCs w:val="18"/>
                <w:color w:val="auto"/>
                <w:w w:val="97"/>
              </w:rPr>
              <w:t>December 31, 2023</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5"/>
              </w:rPr>
              <w:t>Fair Value as of</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1"/>
          </w:tcPr>
          <w:p>
            <w:pPr>
              <w:jc w:val="center"/>
              <w:ind w:right="31"/>
              <w:spacing w:after="0"/>
              <w:rPr>
                <w:sz w:val="20"/>
                <w:szCs w:val="20"/>
                <w:color w:val="auto"/>
              </w:rPr>
            </w:pPr>
            <w:r>
              <w:rPr>
                <w:rFonts w:ascii="Times New Roman" w:cs="Times New Roman" w:eastAsia="Times New Roman" w:hAnsi="Times New Roman"/>
                <w:sz w:val="18"/>
                <w:szCs w:val="18"/>
                <w:color w:val="auto"/>
                <w:w w:val="97"/>
              </w:rPr>
              <w:t>Using Fair Value Hierarchy</w:t>
            </w:r>
          </w:p>
        </w:tc>
        <w:tc>
          <w:tcPr>
            <w:tcW w:w="60" w:type="dxa"/>
            <w:vAlign w:val="bottom"/>
            <w:tcBorders>
              <w:bottom w:val="single" w:sz="8" w:color="auto"/>
            </w:tcBorders>
          </w:tcPr>
          <w:p>
            <w:pPr>
              <w:spacing w:after="0"/>
              <w:rPr>
                <w:sz w:val="20"/>
                <w:szCs w:val="20"/>
                <w:color w:val="auto"/>
              </w:rPr>
            </w:pPr>
          </w:p>
        </w:tc>
      </w:tr>
      <w:tr>
        <w:trPr>
          <w:trHeight w:val="233"/>
        </w:trPr>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December 31,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20"/>
                <w:szCs w:val="20"/>
                <w:color w:val="auto"/>
              </w:rPr>
            </w:pPr>
          </w:p>
        </w:tc>
      </w:tr>
      <w:tr>
        <w:trPr>
          <w:trHeight w:val="22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r>
      <w:tr>
        <w:trPr>
          <w:trHeight w:val="173"/>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173"/>
        </w:trPr>
        <w:tc>
          <w:tcPr>
            <w:tcW w:w="4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Accrued expenses and other;</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70"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deferred compensation plan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340" w:right="214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10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$4,812.3 and $4,850.4 as of June 30, 2024, and December 31, 2023, respectively. The Company's note and debt instruments are classified as Level 2 instruments, as the fair market values of these instruments are determined using other observable inputs.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Cross-Currency Swap</w:t>
      </w:r>
    </w:p>
    <w:p>
      <w:pPr>
        <w:spacing w:after="0" w:line="14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During the first quarter of 2024, the Company terminated its 2024 and 2025 USD to Swiss Franc cross currency swaps and entered into two new swaps, each with a notional value of $300.0 and maturity dates of 2031 and 2034, respectively. These cross currency swaps are included in Accrued expenses and other and other long-term liabilities as appropriate with an aggregate fair value of $103.6 and $109.0 as of June 30, 2024 and December 31, 2023,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Condensed Consolidated Statement of Comprehensive Earnings.</w:t>
      </w:r>
    </w:p>
    <w:p>
      <w:pPr>
        <w:spacing w:after="0" w:line="97" w:lineRule="exact"/>
        <w:rPr>
          <w:sz w:val="20"/>
          <w:szCs w:val="20"/>
          <w:color w:val="auto"/>
        </w:rPr>
      </w:pPr>
    </w:p>
    <w:p>
      <w:pPr>
        <w:ind w:left="440" w:hanging="433"/>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8"/>
                <w:szCs w:val="18"/>
                <w:color w:val="auto"/>
              </w:rPr>
              <w:t>Six Months Ended June 30,</w:t>
            </w:r>
          </w:p>
        </w:tc>
        <w:tc>
          <w:tcPr>
            <w:tcW w:w="560" w:type="dxa"/>
            <w:vAlign w:val="bottom"/>
            <w:tcBorders>
              <w:bottom w:val="single" w:sz="8" w:color="auto"/>
            </w:tcBorders>
          </w:tcPr>
          <w:p>
            <w:pPr>
              <w:spacing w:after="0"/>
              <w:rPr>
                <w:sz w:val="20"/>
                <w:szCs w:val="20"/>
                <w:color w:val="auto"/>
              </w:rPr>
            </w:pPr>
          </w:p>
        </w:tc>
      </w:tr>
      <w:tr>
        <w:trPr>
          <w:trHeight w:val="220"/>
        </w:trPr>
        <w:tc>
          <w:tcPr>
            <w:tcW w:w="7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1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0" w:lineRule="exact"/>
        <w:rPr>
          <w:sz w:val="20"/>
          <w:szCs w:val="20"/>
          <w:color w:val="auto"/>
        </w:rPr>
      </w:pPr>
    </w:p>
    <w:p>
      <w:pPr>
        <w:spacing w:after="0" w:line="206" w:lineRule="exact"/>
        <w:rPr>
          <w:sz w:val="20"/>
          <w:szCs w:val="20"/>
          <w:color w:val="auto"/>
        </w:rPr>
      </w:pPr>
    </w:p>
    <w:p>
      <w:pPr>
        <w:ind w:left="460" w:hanging="453"/>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4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and six months ended June 30, 2024, and 2023.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9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asset information is not presented because it is not used by the CODM at the segment level. The Corporate costs not allocated to segments include the costs of centralized functions, other charges such as acquisition expenses, spin-off costs, remaining unallocated costs of the CDCS business, and COVID-19 related costs unrelated to the segment. Centralized functions include corporate governance, executive management and related human resources, finance, legal, risk management, and information technology functions.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5" w:lineRule="exact"/>
        <w:rPr>
          <w:sz w:val="20"/>
          <w:szCs w:val="20"/>
          <w:color w:val="auto"/>
        </w:rPr>
      </w:pPr>
    </w:p>
    <w:p>
      <w:pPr>
        <w:jc w:val="center"/>
        <w:ind w:left="600" w:right="1880"/>
        <w:spacing w:after="0" w:line="250"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19"/>
                <w:szCs w:val="19"/>
                <w:color w:val="auto"/>
              </w:rPr>
            </w:pPr>
          </w:p>
        </w:tc>
        <w:tc>
          <w:tcPr>
            <w:tcW w:w="2740" w:type="dxa"/>
            <w:vAlign w:val="bottom"/>
            <w:gridSpan w:val="4"/>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0"/>
        </w:trPr>
        <w:tc>
          <w:tcPr>
            <w:tcW w:w="4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4,723.6</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6,071.5</w:t>
            </w:r>
          </w:p>
        </w:tc>
      </w:tr>
      <w:tr>
        <w:trPr>
          <w:trHeight w:val="193"/>
        </w:trPr>
        <w:tc>
          <w:tcPr>
            <w:tcW w:w="4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 w:lineRule="exact"/>
        <w:rPr>
          <w:sz w:val="20"/>
          <w:szCs w:val="20"/>
          <w:color w:val="auto"/>
        </w:rPr>
      </w:pPr>
    </w:p>
    <w:p>
      <w:pPr>
        <w:jc w:val="both"/>
        <w:ind w:firstLine="280"/>
        <w:spacing w:after="0" w:line="248" w:lineRule="auto"/>
        <w:rPr>
          <w:sz w:val="20"/>
          <w:szCs w:val="20"/>
          <w:color w:val="auto"/>
        </w:rPr>
      </w:pPr>
      <w:r>
        <w:rPr>
          <w:rFonts w:ascii="Times New Roman" w:cs="Times New Roman" w:eastAsia="Times New Roman" w:hAnsi="Times New Roman"/>
          <w:sz w:val="18"/>
          <w:szCs w:val="18"/>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8" w:lineRule="exact"/>
        <w:rPr>
          <w:sz w:val="20"/>
          <w:szCs w:val="20"/>
          <w:color w:val="auto"/>
        </w:rPr>
      </w:pPr>
    </w:p>
    <w:p>
      <w:pPr>
        <w:jc w:val="both"/>
        <w:ind w:left="640" w:hanging="553"/>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84"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2" w:lineRule="exact"/>
        <w:rPr>
          <w:rFonts w:ascii="Times New Roman" w:cs="Times New Roman" w:eastAsia="Times New Roman" w:hAnsi="Times New Roman"/>
          <w:sz w:val="17"/>
          <w:szCs w:val="17"/>
          <w:color w:val="auto"/>
        </w:rPr>
      </w:pPr>
    </w:p>
    <w:p>
      <w:pPr>
        <w:jc w:val="both"/>
        <w:ind w:left="640" w:hanging="553"/>
        <w:spacing w:after="0" w:line="25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2"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applicable licensing laws or regulations regarding the operation of clinical laboratories, the development and commercialization of laboratory-developed tests (LDTs), and the delivery of clinical laboratory test results, including, but not limited to, the U.S. Clinical Laboratory Improvement Act of 1967, the U.S. Clinical Laboratory Improvement Amendments of 1988, the European Union In Vitro Diagnostics Regulation, and similar laws and regulations in jurisdictions in which the Company conducts business;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government regulations or policies affecting the approval, availability of, and the selling and marketing of diagnostic tests, including LDTs,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8"/>
          <w:szCs w:val="18"/>
          <w:color w:val="auto"/>
        </w:rPr>
        <w:t>European Medicines Agency in the European Union, and similar regulations and policies of agencies in other jurisdictions in which the Company conducts business;</w:t>
      </w:r>
    </w:p>
    <w:p>
      <w:pPr>
        <w:spacing w:after="0" w:line="57" w:lineRule="exact"/>
        <w:rPr>
          <w:sz w:val="20"/>
          <w:szCs w:val="20"/>
          <w:color w:val="auto"/>
        </w:rPr>
      </w:pPr>
    </w:p>
    <w:p>
      <w:pPr>
        <w:jc w:val="both"/>
        <w:ind w:left="64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112" w:lineRule="exact"/>
        <w:rPr>
          <w:rFonts w:ascii="Times New Roman" w:cs="Times New Roman" w:eastAsia="Times New Roman" w:hAnsi="Times New Roman"/>
          <w:sz w:val="18"/>
          <w:szCs w:val="18"/>
          <w:color w:val="auto"/>
        </w:rPr>
      </w:pPr>
    </w:p>
    <w:p>
      <w:pPr>
        <w:jc w:val="both"/>
        <w:ind w:left="640" w:right="2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71" w:lineRule="exact"/>
        <w:rPr>
          <w:rFonts w:ascii="Times New Roman" w:cs="Times New Roman" w:eastAsia="Times New Roman" w:hAnsi="Times New Roman"/>
          <w:sz w:val="18"/>
          <w:szCs w:val="18"/>
          <w:color w:val="auto"/>
        </w:rPr>
      </w:pPr>
    </w:p>
    <w:p>
      <w:pPr>
        <w:jc w:val="both"/>
        <w:ind w:left="640" w:hanging="553"/>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7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managed care organizations (MCOs) as a result of changes in business models, including risk based or network approaches, out-sourced laboratory network management or utilization management companies, or other changes in strategy or business models by MCOs;</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choosing to insource services that are or could be purchased from the Company;</w:t>
      </w:r>
    </w:p>
    <w:p>
      <w:pPr>
        <w:spacing w:after="0" w:line="112" w:lineRule="exact"/>
        <w:rPr>
          <w:rFonts w:ascii="Times New Roman" w:cs="Times New Roman" w:eastAsia="Times New Roman" w:hAnsi="Times New Roman"/>
          <w:sz w:val="18"/>
          <w:szCs w:val="18"/>
          <w:color w:val="auto"/>
        </w:rPr>
      </w:pPr>
    </w:p>
    <w:p>
      <w:pPr>
        <w:ind w:left="640" w:right="2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 including large contracts and multiple contracts;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loss of business, or other harm from acts of animal rights activists or potential harm and/or liability arising from animal research activities;</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or the loss of significant personnel as a result of illness, increased competition for talent, wage growth, or other market factors beyond the Company’s control;</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products and services and defend against challenges to those rights;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geopolitical crises, including terrorism and war; public health crises and disease epidemics and pandemics, including, but not limited to the continued impact of COVID-19; and other events beyond the Company’s control;</w:t>
      </w:r>
    </w:p>
    <w:p>
      <w:pPr>
        <w:spacing w:after="0" w:line="7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testing products;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Company’s information technology systems, including with respect to testing turnaround time and billing processes, the failure of the Company or its third-party suppliers and vendors to maintain the security of business information or systems or to protect against cybersecurity incidents such as denial of service attacks, malware, ransomware, and computer viruses, delays or failures in the development and implementation of the Company’s automation platforms, or adverse effects from the use of or regulation of artificial intelligence and machine learning tools, any of which could result in a negative effect on the Company’s performance of services, a loss of business or increased costs, delays in cash collections,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7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71"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57"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57"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112" w:lineRule="exact"/>
        <w:rPr>
          <w:rFonts w:ascii="Times New Roman" w:cs="Times New Roman" w:eastAsia="Times New Roman" w:hAnsi="Times New Roman"/>
          <w:sz w:val="18"/>
          <w:szCs w:val="18"/>
          <w:color w:val="auto"/>
        </w:rPr>
      </w:pPr>
    </w:p>
    <w:p>
      <w:pPr>
        <w:ind w:left="64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57" w:lineRule="exact"/>
        <w:rPr>
          <w:rFonts w:ascii="Times New Roman" w:cs="Times New Roman" w:eastAsia="Times New Roman" w:hAnsi="Times New Roman"/>
          <w:sz w:val="18"/>
          <w:szCs w:val="18"/>
          <w:color w:val="auto"/>
        </w:rPr>
      </w:pPr>
    </w:p>
    <w:p>
      <w:pPr>
        <w:jc w:val="both"/>
        <w:ind w:left="640" w:hanging="553"/>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(FCPA), the U.K. Bribery Act, other applicable anti-corruption laws and regulations, trade sanction laws and regulations, and economic, political, legal and other operational risks associated with foreign jurisdictions;</w:t>
      </w:r>
    </w:p>
    <w:p>
      <w:pPr>
        <w:spacing w:after="0" w:line="71"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112" w:lineRule="exact"/>
        <w:rPr>
          <w:rFonts w:ascii="Times New Roman" w:cs="Times New Roman" w:eastAsia="Times New Roman" w:hAnsi="Times New Roman"/>
          <w:sz w:val="18"/>
          <w:szCs w:val="18"/>
          <w:color w:val="auto"/>
        </w:rPr>
      </w:pPr>
    </w:p>
    <w:p>
      <w:pPr>
        <w:ind w:left="640" w:hanging="55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w:t>
      </w:r>
    </w:p>
    <w:p>
      <w:pPr>
        <w:spacing w:after="0" w:line="112" w:lineRule="exact"/>
        <w:rPr>
          <w:rFonts w:ascii="Times New Roman" w:cs="Times New Roman" w:eastAsia="Times New Roman" w:hAnsi="Times New Roman"/>
          <w:sz w:val="18"/>
          <w:szCs w:val="18"/>
          <w:color w:val="auto"/>
        </w:rPr>
      </w:pPr>
    </w:p>
    <w:p>
      <w:pPr>
        <w:jc w:val="both"/>
        <w:ind w:left="640" w:hanging="553"/>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86" w:lineRule="exact"/>
        <w:rPr>
          <w:rFonts w:ascii="Times New Roman" w:cs="Times New Roman" w:eastAsia="Times New Roman" w:hAnsi="Times New Roman"/>
          <w:sz w:val="18"/>
          <w:szCs w:val="18"/>
          <w:color w:val="auto"/>
        </w:rPr>
      </w:pPr>
    </w:p>
    <w:p>
      <w:pPr>
        <w:ind w:left="640" w:right="20" w:hanging="553"/>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 to the expected benefits of the Reorganization, including, but not limited to the effect of the Reorganization on the Company's business generally, and unexpected issues that may arise as a result of the Reorganization.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Fortrea Holdings Inc.</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June 30, 2023, Labcorp completed the previously announced separation of Fortrea from the Company.</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All historical operating results of Fortrea are presented as Discontinued Operations, net of tax, in the Condensed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spin-off is expected to be treated as tax-free for the Company and its shareholders for U.S. federal income tax purposes.</w:t>
      </w:r>
    </w:p>
    <w:p>
      <w:pPr>
        <w:spacing w:after="0" w:line="120" w:lineRule="exact"/>
        <w:rPr>
          <w:sz w:val="20"/>
          <w:szCs w:val="20"/>
          <w:color w:val="auto"/>
        </w:rPr>
      </w:pPr>
    </w:p>
    <w:p>
      <w:pPr>
        <w:jc w:val="both"/>
        <w:ind w:firstLine="280"/>
        <w:spacing w:after="0" w:line="306" w:lineRule="auto"/>
        <w:rPr>
          <w:sz w:val="20"/>
          <w:szCs w:val="20"/>
          <w:color w:val="auto"/>
        </w:rPr>
      </w:pPr>
      <w:r>
        <w:rPr>
          <w:rFonts w:ascii="Times New Roman" w:cs="Times New Roman" w:eastAsia="Times New Roman" w:hAnsi="Times New Roman"/>
          <w:sz w:val="17"/>
          <w:szCs w:val="17"/>
          <w:color w:val="auto"/>
        </w:rPr>
        <w:t>As a result of the separation of Fortrea, the Company recast segment results to exclude the historical results of the CDCS business for all periods presented. The remaining operations of the previously reported Drug Development segment have been renamed the Biopharma Laboratory Services segment.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 except per share data)</w:t>
      </w:r>
    </w:p>
    <w:p>
      <w:pPr>
        <w:spacing w:after="0" w:line="12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Revenues for the six months ended June 30, 2024, were $6,397.5, an increase of 5.4% from $6,071.5 during the six months ended June 30, 2023. The increase was due to organic revenue of 3.0%, acquisitions, net of divestitures, of 2.1%, and favorable foreign currency translation of 0.2%. The 3.0% increase in organic revenue was driven by a 4.3% increase in the company's organic Base Business, partially offset by a 1.3% decrease in COVID-19 PCR testing (COVID-19 Testing). Compared to the Base Business last year, Base Business revenue grew 6.8%. Base Business includes Labcorp's operations except for COVID-19 Testing.</w:t>
      </w:r>
    </w:p>
    <w:p>
      <w:pPr>
        <w:spacing w:after="0" w:line="1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defines organic growth as the increase in revenue excluding the year-over-year impact of acquisitions, divestitures, and currency.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divestiture impact is considered for a twelve month period following the close of each transaction.</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244" w:lineRule="exact"/>
        <w:rPr>
          <w:sz w:val="20"/>
          <w:szCs w:val="20"/>
          <w:color w:val="auto"/>
        </w:rPr>
      </w:pPr>
    </w:p>
    <w:p>
      <w:pPr>
        <w:ind w:right="4920"/>
        <w:spacing w:after="0" w:line="3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June 30, 2024, compared with three months ended June 30, 2023 </w:t>
      </w:r>
      <w:r>
        <w:rPr>
          <w:rFonts w:ascii="Times New Roman" w:cs="Times New Roman" w:eastAsia="Times New Roman" w:hAnsi="Times New Roman"/>
          <w:sz w:val="18"/>
          <w:szCs w:val="18"/>
          <w:b w:val="1"/>
          <w:bCs w:val="1"/>
          <w:u w:val="single" w:color="auto"/>
          <w:color w:val="auto"/>
        </w:rPr>
        <w:t>Revenues</w:t>
      </w:r>
    </w:p>
    <w:tbl>
      <w:tblPr>
        <w:tblLayout w:type="fixed"/>
        <w:tblInd w:w="4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2,340.8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r>
      <w:tr>
        <w:trPr>
          <w:trHeight w:val="22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3,220.9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3,033.7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Total revenues for the three months ended June 30, 2024, were $3,220.9, an increase of 6.2% over $3,033.7 in the second quarter of 2023. The increase was due to organic revenue of 3.8%, acquisitions, net of divestitures, of 2.5%, partially offset by unfavorable foreign currency translation of 0.1%. The 3.8% increase in organic revenue was driven by a 4.5% increase in the company's organic Base Business, partially offset by a 0.7% decrease in COVID-19 Testing. Compared to Base Business last year, Base Business revenue grew 6.9%</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Base Business includes Labcorp's operations except for COVID-19 Testing.</w:t>
      </w:r>
    </w:p>
    <w:p>
      <w:pPr>
        <w:spacing w:after="0" w:line="10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revenues for the three months ended June 30, 2024, were $2,524.9, an increase of 7.9% over $2,340.8 in the second quarter of 2023. The increase was due to organic revenue of 4.7% and acquisitions, net of divestitures, of 3.2%, partially offset by unfavorable foreign currency translation of 0.1%. The 4.7% increase in organic growth was due to a 5.6% increase in the Base Business, partially offset by a 0.9% decrease in COVID-19 Testing. Total Base Business growth compared to the Base Business in the prior year was 8.9%.</w:t>
      </w:r>
    </w:p>
    <w:p>
      <w:pPr>
        <w:spacing w:after="0" w:line="10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Dx organic volume increased by 2.9% for the three months ended June 30, 2024, while total volume (measured by requisitions) increased by 5.7% as acquisition volume, net of divestitures, contributed 2.8%. Organic volume was up due to a 3.4% increase in the Base Business, partially offset by a 0.5% decrease in COVID-19 Testing. Price/mix increased by 2.1% due to organic Base Business growth of 2.2% and acquisitions of 0.4%, partially offset by a decrease in COVID-19 Testing of 0.4%. Base Business volume increased 6.3% compared to the Base Business last year. Price/mix was up 2.5% in the Base Business compared to the Base Business last year.</w:t>
      </w:r>
    </w:p>
    <w:p>
      <w:pPr>
        <w:spacing w:after="0" w:line="91"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BLS revenues for the three months ended June 30, 2024, were $707.0, an increase of 1.1% over $699.0 in the second quarter of 2023. The increase was due to organic growth of 1.2%, partially offset by unfavorable foreign currency translation of 0.1%.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4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60"/>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4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2"/>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increased 4.7% during the three months ended June 30, 2024, as compared with the corresponding period in 2023. Cost of revenues as a percentage of revenues during the three months ended June 30, 2024, decreased to 71.2% as compared to 72.2% in the corresponding period in 2023. This decrease in cost of revenues as a percent of revenues was primarily due to demand, LaunchPad savings, and CDCS costs in 2023 that do not qualify as discontinued operations, partially offset by higher personnel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557.8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was 17.3% and 16.7% during the three months ended June 30, 2024, and 2023, respectively. The increase is primarily due to higher personnel costs partially offset by LaunchPad savings and demand.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Amortization of Intangibles and Other Assets</w:t>
            </w:r>
          </w:p>
        </w:tc>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June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5" w:lineRule="exact"/>
        <w:rPr>
          <w:sz w:val="20"/>
          <w:szCs w:val="20"/>
          <w:color w:val="auto"/>
        </w:rPr>
      </w:pPr>
    </w:p>
    <w:p>
      <w:pPr>
        <w:jc w:val="both"/>
        <w:ind w:right="20"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no impairment charges during the three months ended June 30, 2024. The Company recorded impairment charges of $2.8 in intangible assets during the three months ended June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recorded net restructuring and other charges of $11.6. The charges were comprised of $9.2 related to severance and other personnel cost and $2.7 in facility-related costs. The charges were adjusted by the reversal of a previously established liability of $0.3 in unused facility-related costs.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three months ended June 30, 2023, the Company recorded net restructuring and other charges of $15.8. The charges were comprised of $5.2 related to severance and other personnel costs and $8.9 in facility closures, lease terminations, and general integration activities. The charges were adjusted by the reversal of a previously established liability of $0.6 in unused severance liabilities and the increase of a previously established liability of $2.3 in facility-related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28" w:lineRule="exact"/>
        <w:rPr>
          <w:sz w:val="20"/>
          <w:szCs w:val="20"/>
          <w:color w:val="auto"/>
        </w:rPr>
      </w:pPr>
    </w:p>
    <w:p>
      <w:pPr>
        <w:ind w:firstLine="240"/>
        <w:spacing w:after="0" w:line="27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June 30, 2024, as compared with the corresponding period in 2023, is primarily due to the repayment of the November 2023 $300.0 senior notes.</w:t>
      </w: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6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income (expense), net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bl>
    <w:p>
      <w:pPr>
        <w:spacing w:after="0" w:line="128" w:lineRule="exact"/>
        <w:rPr>
          <w:sz w:val="20"/>
          <w:szCs w:val="20"/>
          <w:color w:val="auto"/>
        </w:rPr>
      </w:pPr>
    </w:p>
    <w:p>
      <w:pPr>
        <w:jc w:val="both"/>
        <w:ind w:right="100" w:firstLine="321"/>
        <w:spacing w:after="0" w:line="284" w:lineRule="auto"/>
        <w:rPr>
          <w:sz w:val="20"/>
          <w:szCs w:val="20"/>
          <w:color w:val="auto"/>
        </w:rPr>
      </w:pPr>
      <w:r>
        <w:rPr>
          <w:rFonts w:ascii="Times New Roman" w:cs="Times New Roman" w:eastAsia="Times New Roman" w:hAnsi="Times New Roman"/>
          <w:sz w:val="17"/>
          <w:szCs w:val="17"/>
          <w:color w:val="auto"/>
        </w:rPr>
        <w:t>Equity method income (expense) represents the Company's ownership share in joint venture partnerships along with equity investments in other companies in the health care industry. The decrease in income for the three months ended June 30, 2024, as compared with the corresponding period in 2023, was partially due to the sale of the Company's interest in one joint venture and the acquisition of the remaining interest in another joint venture during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215.0 %</w:t>
            </w:r>
          </w:p>
        </w:tc>
      </w:tr>
    </w:tbl>
    <w:p>
      <w:pPr>
        <w:spacing w:after="0" w:line="115" w:lineRule="exact"/>
        <w:rPr>
          <w:sz w:val="20"/>
          <w:szCs w:val="20"/>
          <w:color w:val="auto"/>
        </w:rPr>
      </w:pPr>
    </w:p>
    <w:p>
      <w:pPr>
        <w:jc w:val="both"/>
        <w:ind w:right="100" w:firstLine="291"/>
        <w:spacing w:after="0" w:line="254" w:lineRule="auto"/>
        <w:rPr>
          <w:sz w:val="20"/>
          <w:szCs w:val="20"/>
          <w:color w:val="auto"/>
        </w:rPr>
      </w:pPr>
      <w:r>
        <w:rPr>
          <w:rFonts w:ascii="Times New Roman" w:cs="Times New Roman" w:eastAsia="Times New Roman" w:hAnsi="Times New Roman"/>
          <w:sz w:val="18"/>
          <w:szCs w:val="18"/>
          <w:color w:val="auto"/>
        </w:rPr>
        <w:t>The change in Other, net for the three months ended June 30, 2024, as compared to the three months ended June 30, 2023, is primarily due to $22.9 of transition services fees charged to Fortrea related to administrative and IT systems support. The costs to provide these services are included in operating income but the service fees are included in other income. In addition, the Company recorded investment losses of $1.5 for the three months ended June 30, 2024 compared to investment losses of $4.1 for the corresponding period of 2023. Foreign currency transaction losses of $1.9 were recognized for the three months ended June 30, 2024, as compared to losses of $11.2 for the corresponding period of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12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23.2 %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24.3 %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09" w:lineRule="exact"/>
        <w:rPr>
          <w:sz w:val="20"/>
          <w:szCs w:val="20"/>
          <w:color w:val="auto"/>
        </w:rPr>
      </w:pPr>
    </w:p>
    <w:p>
      <w:pPr>
        <w:jc w:val="both"/>
        <w:ind w:right="100" w:firstLine="280"/>
        <w:spacing w:after="0" w:line="306" w:lineRule="auto"/>
        <w:rPr>
          <w:sz w:val="20"/>
          <w:szCs w:val="20"/>
          <w:color w:val="auto"/>
        </w:rPr>
      </w:pPr>
      <w:r>
        <w:rPr>
          <w:rFonts w:ascii="Times New Roman" w:cs="Times New Roman" w:eastAsia="Times New Roman" w:hAnsi="Times New Roman"/>
          <w:sz w:val="17"/>
          <w:szCs w:val="17"/>
          <w:color w:val="auto"/>
        </w:rPr>
        <w:t>The current year and prior year effective tax rate differs from the U.S. federal statutory rate of 21.0% primarily due to state income taxes and the disallowance of certain executive compensation, which were partially offset by research and development tax credits and favorable foreign rate differentials.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pacing w:after="0" w:line="128" w:lineRule="exact"/>
        <w:rPr>
          <w:sz w:val="20"/>
          <w:szCs w:val="20"/>
          <w:color w:val="auto"/>
        </w:rPr>
      </w:pPr>
    </w:p>
    <w:p>
      <w:pPr>
        <w:jc w:val="both"/>
        <w:ind w:right="100" w:firstLine="320"/>
        <w:spacing w:after="0" w:line="306" w:lineRule="auto"/>
        <w:rPr>
          <w:sz w:val="20"/>
          <w:szCs w:val="20"/>
          <w:color w:val="auto"/>
        </w:rPr>
      </w:pPr>
      <w:r>
        <w:rPr>
          <w:rFonts w:ascii="Times New Roman" w:cs="Times New Roman" w:eastAsia="Times New Roman" w:hAnsi="Times New Roman"/>
          <w:sz w:val="17"/>
          <w:szCs w:val="17"/>
          <w:color w:val="auto"/>
        </w:rPr>
        <w:t>As a result of the spin-off of Fortrea, the Company recast the segment results to exclude the historical results of the CDCS business for all periods presented. The remaining operations of the previously reported Drug Development segment have been renamed the Biopharma Laboratory Services segment.</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40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8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Dx operating income was $441.5 for the three months ended June 30, 2024, an increase of $31.8 over operating income of $409.7 in the corresponding period of 2023. The increase in adjusted operating income was driven by organic demand, acquisitions, and LaunchPad savings, partially offset by higher personnel costs.</w:t>
      </w:r>
    </w:p>
    <w:p>
      <w:pPr>
        <w:spacing w:after="0" w:line="84" w:lineRule="exact"/>
        <w:rPr>
          <w:sz w:val="20"/>
          <w:szCs w:val="20"/>
          <w:color w:val="auto"/>
        </w:rPr>
      </w:pPr>
    </w:p>
    <w:p>
      <w:pPr>
        <w:jc w:val="both"/>
        <w:ind w:right="100" w:firstLine="280"/>
        <w:spacing w:after="0" w:line="276" w:lineRule="auto"/>
        <w:rPr>
          <w:sz w:val="20"/>
          <w:szCs w:val="20"/>
          <w:color w:val="auto"/>
        </w:rPr>
      </w:pPr>
      <w:r>
        <w:rPr>
          <w:rFonts w:ascii="Times New Roman" w:cs="Times New Roman" w:eastAsia="Times New Roman" w:hAnsi="Times New Roman"/>
          <w:sz w:val="18"/>
          <w:szCs w:val="18"/>
          <w:color w:val="auto"/>
        </w:rPr>
        <w:t>BLS operating income was $107.4 for the three months ended June 30, 2024, an increase of $2.8 over operating income of $104.6 in the corresponding period of 2023. The increase was due to organic growth and LaunchPad savings, partially offset by higher personnel costs.</w:t>
      </w:r>
    </w:p>
    <w:p>
      <w:pPr>
        <w:spacing w:after="0" w:line="84" w:lineRule="exact"/>
        <w:rPr>
          <w:sz w:val="20"/>
          <w:szCs w:val="20"/>
          <w:color w:val="auto"/>
        </w:rPr>
      </w:pPr>
    </w:p>
    <w:p>
      <w:pPr>
        <w:jc w:val="both"/>
        <w:ind w:right="100" w:firstLine="280"/>
        <w:spacing w:after="0" w:line="276"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expenses were $180.3 for the three months ended June 30, 2024, an increase of $2.4 over corporate expenses of $177.9 in the corresponding period of 2023, primarily due to costs related to the spin-off of Fortrea and personnel costs.</w:t>
      </w:r>
    </w:p>
    <w:p>
      <w:pPr>
        <w:spacing w:after="0" w:line="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remains on track to deliver approximately $100.0 to $125.0 of Launchpad savings in fiscal 2024.</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80"/>
        </w:trPr>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4,723.6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7"/>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BLS</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1,417.9</w:t>
            </w:r>
          </w:p>
        </w:tc>
        <w:tc>
          <w:tcPr>
            <w:tcW w:w="100" w:type="dxa"/>
            <w:vAlign w:val="bottom"/>
          </w:tcPr>
          <w:p>
            <w:pPr>
              <w:spacing w:after="0"/>
              <w:rPr>
                <w:sz w:val="19"/>
                <w:szCs w:val="19"/>
                <w:color w:val="auto"/>
              </w:rPr>
            </w:pP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1,360.3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101.6 %</w:t>
            </w:r>
          </w:p>
        </w:tc>
      </w:tr>
      <w:tr>
        <w:trPr>
          <w:trHeight w:val="220"/>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6,397.5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6,071.5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increase in revenues for the six months ended June 30, 2024, as compared with the corresponding period in 2023 was 5.4%. The increase was due to organic revenue of 3.0%, acquisitions, net of divestitures, of 2.1%, and favorable foreign currency translation of 0.2%. The 3.0% increase in organic revenue was driven by a 4.3% increase in the company's organic Base Business, partially offset by a 1.3% decrease in COVID-19 Testing. Compared to the Base Business last year, Base Business revenue grew 6.8%.</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Dx revenues for the six months ended June 30, 2024, were $5,004.6, an increase of 5.9% over $4,723.6 during the six months ended June 30, 2023. The increase was due to organic revenue of 3.3% and acquisitions, net of divestitures, of 2.7%. The 3.3% increase in organic growth was due to a 4.9% increase in the Base Business, partially offset by a 1.7% decrease in COVID-19 Testing. Total Base Business growth compared to the Base Business in the prior year was 7.8%.</w:t>
      </w:r>
    </w:p>
    <w:p>
      <w:pPr>
        <w:spacing w:after="0" w:line="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Dx total volume (measured by requisitions) for the six months ended June 30, 2024, increased by 4.6% as acquisition volume, net of divestitures, contributed 2.5%, while organic volume increased by 2.1%. Organic volume was up due to a 3.0% increase in the Base Business, partially offset by a 1.0% decrease in COVID-19 Testing. Price/mix increased by 1.4% due to organic Base Business growth of 1.9% and acquisitions, net of divestitures of 0.2%, partially offset by a decrease in COVID-19 Testing of 0.7%. Base Business volume increased 5.6% compared to the Base Business last year. Price/mix was up 2.2% in the Base Business compared to the Base Business last year.</w:t>
      </w:r>
    </w:p>
    <w:p>
      <w:pPr>
        <w:spacing w:after="0" w:line="10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BLS revenues for the six months ended June 30, 2024, were $1,417.9, an increase of 4.2% over $1,360.3 during the six months ended June 30, 2023. The increase was due to organic growth of 3.1% and favorable foreign currency translation of 1.1%.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 of revenues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Cost of revenues increased 4.4% during the six months ended June 30, 2024, as compared with the corresponding period in 2023. Cost of revenues as a percentage of revenues during the six months ended June 30, 2024, decreased to 71.5% as compared to 72.1% in the corresponding period in 2023. This decrease in cost of revenues as a percent of revenues was primarily due to LaunchPad saving, demand, and CDCS costs in 2023 that do not qualify as discontinued operations, largely offset by higher personnel costs and lower COVID-19 Testing.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Six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3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 of revenues</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revenues were 16.7% and 15.9% during the six months ended June 30, 2024, and 2023, respectively. The increase is primarily due to higher personnel costs and a reduction in COVID-19 Testing revenues, partially offset by LaunchPad savings and demand.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2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Amortization of Intangibles and Other Assets</w:t>
            </w: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7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June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and Other Asset Impairments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195" w:lineRule="exact"/>
        <w:rPr>
          <w:sz w:val="20"/>
          <w:szCs w:val="20"/>
          <w:color w:val="auto"/>
        </w:rPr>
      </w:pPr>
    </w:p>
    <w:p>
      <w:pPr>
        <w:jc w:val="both"/>
        <w:ind w:firstLine="280"/>
        <w:spacing w:after="0" w:line="276" w:lineRule="auto"/>
        <w:rPr>
          <w:sz w:val="20"/>
          <w:szCs w:val="20"/>
          <w:color w:val="auto"/>
        </w:rPr>
      </w:pPr>
      <w:r>
        <w:rPr>
          <w:rFonts w:ascii="Times New Roman" w:cs="Times New Roman" w:eastAsia="Times New Roman" w:hAnsi="Times New Roman"/>
          <w:sz w:val="18"/>
          <w:szCs w:val="18"/>
          <w:color w:val="auto"/>
        </w:rPr>
        <w:t>The Company recorded impairment charges of $2.5 related to a decommissioned robotic asset during the six months ended June 30, 2024. The Company recorded impairment charges of $5.0 in capitalized software costs and other intangible assets six months ended June 30, 2023.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42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82"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net restructuring and other charges of $16.6. The charges were comprised of $15.1 related to severance and other personnel costs and $1.8 in facility-related costs. The charges were adjusted by the reversal of a previously established liability of $0.3 in unused facility-related costs.</w:t>
      </w:r>
    </w:p>
    <w:p>
      <w:pPr>
        <w:spacing w:after="0" w:line="84" w:lineRule="exact"/>
        <w:rPr>
          <w:sz w:val="20"/>
          <w:szCs w:val="20"/>
          <w:color w:val="auto"/>
        </w:rPr>
      </w:pPr>
    </w:p>
    <w:p>
      <w:pPr>
        <w:jc w:val="both"/>
        <w:ind w:firstLine="280"/>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2023, the Company recorded net restructuring and other charges of $23.3. The charges were comprised of $9.2 related to severance and other personnel costs and $13.2 in facility closures, lease terminations, and general integration activities. The charges were adjusted by the reversal of a previously established liability of $1.1 in unused severance liabilities and the increase of a previously established liability of $2.0 in facility-related costs.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six months ended June 30, 2024, as compared with the corresponding period in 2023, is primarily due to decreased borrowings under the Company's revolving credit facility, repayment of the November 2023 $300.0 senior notes, and partially offset by a higher interest rate on variable rate debt.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Income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expense, net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bl>
    <w:p>
      <w:pPr>
        <w:spacing w:after="0" w:line="115" w:lineRule="exact"/>
        <w:rPr>
          <w:sz w:val="20"/>
          <w:szCs w:val="20"/>
          <w:color w:val="auto"/>
        </w:rPr>
      </w:pPr>
    </w:p>
    <w:p>
      <w:pPr>
        <w:jc w:val="both"/>
        <w:ind w:firstLine="291"/>
        <w:spacing w:after="0" w:line="276" w:lineRule="auto"/>
        <w:rPr>
          <w:sz w:val="20"/>
          <w:szCs w:val="20"/>
          <w:color w:val="auto"/>
        </w:rPr>
      </w:pPr>
      <w:r>
        <w:rPr>
          <w:rFonts w:ascii="Times New Roman" w:cs="Times New Roman" w:eastAsia="Times New Roman" w:hAnsi="Times New Roman"/>
          <w:sz w:val="18"/>
          <w:szCs w:val="18"/>
          <w:color w:val="auto"/>
        </w:rPr>
        <w:t>Equity method expense represents the Company's ownership share in joint venture partnerships along with equity investments in other companies in the health care industry.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265.7 %</w:t>
            </w:r>
          </w:p>
        </w:tc>
      </w:tr>
    </w:tbl>
    <w:p>
      <w:pPr>
        <w:spacing w:after="0" w:line="62" w:lineRule="exact"/>
        <w:rPr>
          <w:sz w:val="20"/>
          <w:szCs w:val="20"/>
          <w:color w:val="auto"/>
        </w:rPr>
      </w:pPr>
    </w:p>
    <w:p>
      <w:pPr>
        <w:jc w:val="both"/>
        <w:ind w:firstLine="301"/>
        <w:spacing w:after="0" w:line="253" w:lineRule="auto"/>
        <w:rPr>
          <w:sz w:val="20"/>
          <w:szCs w:val="20"/>
          <w:color w:val="auto"/>
        </w:rPr>
      </w:pPr>
      <w:r>
        <w:rPr>
          <w:rFonts w:ascii="Times New Roman" w:cs="Times New Roman" w:eastAsia="Times New Roman" w:hAnsi="Times New Roman"/>
          <w:sz w:val="18"/>
          <w:szCs w:val="18"/>
          <w:color w:val="auto"/>
        </w:rPr>
        <w:t>The change in Other, net for the six months ended June 30, 2024, as compared to the six months ended June 30, 2023, is primarily due to $45.3 of transition services fees charged to Fortrea related to administrative and IT systems support. The costs to provide these services are included in operating income but the service fees are included in other income. In addition, the Company recorded investment losses of $5.7 for the six months ended June 30, 2024 compared to investment losses of $5.6 for the corresponding period of 2023. Foreign currency transaction losses of $5.2 were recognized for the six months ended June 30, 2024, as compared to losses of $18.0 for the corresponding period of 2023. The Company also recorded a $4.9 gain on the sale of the assets of its Beacon Laboratory Benefit Solutions, Inc. business in 2024.</w:t>
      </w: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544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60"/>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8"/>
                <w:szCs w:val="18"/>
                <w:color w:val="auto"/>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131.2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113.7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2"/>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 as a % of earnings before income taxes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3" w:lineRule="exact"/>
        <w:rPr>
          <w:sz w:val="20"/>
          <w:szCs w:val="20"/>
          <w:color w:val="auto"/>
        </w:rPr>
      </w:pPr>
    </w:p>
    <w:p>
      <w:pPr>
        <w:jc w:val="both"/>
        <w:ind w:right="100" w:firstLine="280"/>
        <w:spacing w:after="0" w:line="306" w:lineRule="auto"/>
        <w:rPr>
          <w:sz w:val="20"/>
          <w:szCs w:val="20"/>
          <w:color w:val="auto"/>
        </w:rPr>
      </w:pPr>
      <w:r>
        <w:rPr>
          <w:rFonts w:ascii="Times New Roman" w:cs="Times New Roman" w:eastAsia="Times New Roman" w:hAnsi="Times New Roman"/>
          <w:sz w:val="17"/>
          <w:szCs w:val="17"/>
          <w:color w:val="auto"/>
        </w:rPr>
        <w:t>The current year and prior year effective tax rate differs from the U.S. federal statutory rate of 21.0% primarily due to state income taxes and the disallowance of certain executive compensation, which were partially offset by research and development tax credits and favorable foreign rate differentials.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by Segment</w:t>
      </w:r>
    </w:p>
    <w:p>
      <w:pPr>
        <w:spacing w:after="0" w:line="142"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remaining unallocated costs of the CDCS business, COVID-19-related costs, and other special items. These changes align with how the CODM now evaluates segment performance and allocates resources. Prior periods have been conformed for comparability.</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color w:val="auto"/>
              </w:rPr>
              <w:t>Six Months Ended June 30,</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3"/>
        </w:trPr>
        <w:tc>
          <w:tcPr>
            <w:tcW w:w="59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Change</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(0.8)</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r>
      <w:tr>
        <w:trPr>
          <w:trHeight w:val="22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1,029.4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Dx operating income was $859.4 for the six months ended June 30, 2024, an increase of $8.2 over operating income of $851.2 in the corresponding period of 2023, and Dx operating margin decreased 80 basis points year-over-year. The decrease was due to a reduction in COVID-19 Testing and higher personnel costs, partially offset by a recovery in the Base Business.</w:t>
      </w:r>
    </w:p>
    <w:p>
      <w:pPr>
        <w:spacing w:after="0" w:line="84" w:lineRule="exact"/>
        <w:rPr>
          <w:sz w:val="20"/>
          <w:szCs w:val="20"/>
          <w:color w:val="auto"/>
        </w:rPr>
      </w:pPr>
    </w:p>
    <w:p>
      <w:pPr>
        <w:jc w:val="both"/>
        <w:ind w:right="120" w:firstLine="280"/>
        <w:spacing w:after="0" w:line="276" w:lineRule="auto"/>
        <w:rPr>
          <w:sz w:val="20"/>
          <w:szCs w:val="20"/>
          <w:color w:val="auto"/>
        </w:rPr>
      </w:pPr>
      <w:r>
        <w:rPr>
          <w:rFonts w:ascii="Times New Roman" w:cs="Times New Roman" w:eastAsia="Times New Roman" w:hAnsi="Times New Roman"/>
          <w:sz w:val="18"/>
          <w:szCs w:val="18"/>
          <w:color w:val="auto"/>
        </w:rPr>
        <w:t>BLS operating income was $207.3 for the six months ended June 30, 2024, an increase of $29.1 over operating income of $178.2 in the corresponding period of 2023. The increase was due to organic growth and LaunchPad savings, partially offset by higher personnel expense.</w:t>
      </w:r>
    </w:p>
    <w:p>
      <w:pPr>
        <w:spacing w:after="0" w:line="70" w:lineRule="exact"/>
        <w:rPr>
          <w:sz w:val="20"/>
          <w:szCs w:val="20"/>
          <w:color w:val="auto"/>
        </w:rPr>
      </w:pPr>
    </w:p>
    <w:p>
      <w:pPr>
        <w:jc w:val="both"/>
        <w:ind w:right="100" w:firstLine="280"/>
        <w:spacing w:after="0" w:line="261" w:lineRule="auto"/>
        <w:rPr>
          <w:sz w:val="20"/>
          <w:szCs w:val="20"/>
          <w:color w:val="auto"/>
        </w:rPr>
      </w:pPr>
      <w:r>
        <w:rPr>
          <w:rFonts w:ascii="Times New Roman" w:cs="Times New Roman" w:eastAsia="Times New Roman" w:hAnsi="Times New Roman"/>
          <w:sz w:val="18"/>
          <w:szCs w:val="18"/>
          <w:color w:val="auto"/>
        </w:rPr>
        <w:t>General corporate expenses are comprised primarily of administrative services such as executive management, human resources, legal, finance, corporate affairs, and information technology. Corporate expenses were $309.2 for the six months ended June 30, 2024, a increase of $9.1 over corporate expenses of $300.1 in the corresponding period of 2023, primarily due to costs related to the spin-off of Fortrea, and personnel costs.</w:t>
      </w:r>
    </w:p>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remains on track to deliver approximately $100.0 to $125.0 of Launchpad savings in fiscal 2024.</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w:t>
      </w:r>
    </w:p>
    <w:p>
      <w:pPr>
        <w:spacing w:after="0" w:line="128" w:lineRule="exact"/>
        <w:rPr>
          <w:sz w:val="20"/>
          <w:szCs w:val="20"/>
          <w:color w:val="auto"/>
        </w:rPr>
      </w:pPr>
    </w:p>
    <w:p>
      <w:pPr>
        <w:jc w:val="both"/>
        <w:ind w:right="100" w:firstLine="280"/>
        <w:spacing w:after="0" w:line="254" w:lineRule="auto"/>
        <w:rPr>
          <w:sz w:val="20"/>
          <w:szCs w:val="20"/>
          <w:color w:val="auto"/>
        </w:rPr>
      </w:pPr>
      <w:r>
        <w:rPr>
          <w:rFonts w:ascii="Times New Roman" w:cs="Times New Roman" w:eastAsia="Times New Roman" w:hAnsi="Times New Roman"/>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and beyond. The Company's senior unsecured revolving credit facility is further discussed in Note 7 (Debt) to the Company's condensed consolidated financial statements.</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summary, the Company's cash flows from continuing operations were as follows for the six months ended June 30, 2024, and 2023, respectively:</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Six Months Ended June 30,</w:t>
            </w:r>
          </w:p>
        </w:tc>
        <w:tc>
          <w:tcPr>
            <w:tcW w:w="600" w:type="dxa"/>
            <w:vAlign w:val="bottom"/>
            <w:tcBorders>
              <w:bottom w:val="single" w:sz="8" w:color="auto"/>
            </w:tcBorders>
          </w:tcPr>
          <w:p>
            <w:pPr>
              <w:spacing w:after="0"/>
              <w:rPr>
                <w:sz w:val="20"/>
                <w:szCs w:val="20"/>
                <w:color w:val="auto"/>
              </w:rPr>
            </w:pPr>
          </w:p>
        </w:tc>
      </w:tr>
      <w:tr>
        <w:trPr>
          <w:trHeight w:val="233"/>
        </w:trPr>
        <w:tc>
          <w:tcPr>
            <w:tcW w:w="78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0"/>
                <w:szCs w:val="20"/>
                <w:color w:val="auto"/>
              </w:rPr>
            </w:pP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 from continuing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2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 from continuing operations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7"/>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5"/>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from continuing operations</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64" w:lineRule="exact"/>
        <w:rPr>
          <w:sz w:val="20"/>
          <w:szCs w:val="20"/>
          <w:color w:val="auto"/>
        </w:rPr>
      </w:pPr>
    </w:p>
    <w:p>
      <w:pPr>
        <w:jc w:val="both"/>
        <w:ind w:right="20" w:firstLine="240"/>
        <w:spacing w:after="0" w:line="276" w:lineRule="auto"/>
        <w:rPr>
          <w:sz w:val="20"/>
          <w:szCs w:val="20"/>
          <w:color w:val="auto"/>
        </w:rPr>
      </w:pPr>
      <w:r>
        <w:rPr>
          <w:rFonts w:ascii="Times New Roman" w:cs="Times New Roman" w:eastAsia="Times New Roman" w:hAnsi="Times New Roman"/>
          <w:sz w:val="18"/>
          <w:szCs w:val="18"/>
          <w:color w:val="auto"/>
        </w:rPr>
        <w:t>Cash and cash equivalents at June 30, 2024, and 2023, totaled $265.1 and $1,930.6, respectively. Cash and cash equivalents consist of highly liquid instruments, such as time deposits, commercial paper, and other money market investments, which have original maturities of three months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Company's continuing operations used $531.3 of cash as compared to providing $347.2 during the same period in 2023. The $184.1 increase in cash provided from operations in 2024 as compared with the corresponding 2023 period is primarily due to higher cash earnings.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6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cash used for investing activities from continuing operations for the six months ended June 30, 2024, was $578.1 as compared to $328.6 for the six months ended June 30, 2023. The change in cash used for investing activities was primarily due to an increase in business acquisitions and higher capital expenditures during the six months ended June 30, 2024. Capital expenditures were $262.0 and $181.5 for the six months ended June 30, 2024, and 2023, respectively.</w:t>
      </w:r>
    </w:p>
    <w:p>
      <w:pPr>
        <w:spacing w:after="0" w:line="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March 28, 2024, the Company announced that it entered into an agreement to acquire selected assets of BioReference Health, a wholly owned subsidiary of OPKO Health for $237.5. The transactions is anticipated to close in the third quarter of 2024, subject to customary closing conditions for a transaction of this type, including applicable regulatory approvals. Through this transaction Labcorp will acquire laboratory testing businesses focused on clinical diagnostics and reproductive and women's health across the United States, outside of New York and New Jersey.</w:t>
      </w:r>
    </w:p>
    <w:p>
      <w:pPr>
        <w:spacing w:after="0" w:line="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April 24, 2024, the Company announced that it has been selected as the winning bidder for select assets of Invitae, a leading medical genetics company. On May 6, 2024, the United States Bankruptcy Court approved the previously announced bid by Labcorp to acquire the assets of Invitae. The purchase price for the transaction is $239.0. The transaction is anticipated to close on August 5, 2024, subject to customary closing conditions for a transaction of this type, including applicable regulatory approvals. Through this transaction, the Company would acquire assets being auctioned through a voluntary bankruptcy protection process.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6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from continuing operations for the six months ended June 30, 2024, was $221.7 as compared to $124.7 for the six months ended June 30, 2023. The change in cash flows from financing activities from continuing operations for the six months ended June 30, 2024, as compared to the six months ended June 30, 2023, was primarily due to share repurchases of $100.0 in 2024.</w:t>
      </w:r>
    </w:p>
    <w:p>
      <w:pPr>
        <w:spacing w:after="0" w:line="8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June 30, 2024, the Company had $265.1 of cash and $980.0 of available borrowings under its revolving credit facility, which does not mature until 2026. Under the Company's revolving credit facility and indentures relating to the Company's senior notes, the Company is subject to negative covenants limiting subsidiary indebtedness and certain other covenants typical for investment grade-rated borrowers , and with respect to the revolving credit facility, the Company is required to maintain certain leverage ratios. The Company was in compliance with all covenants under the revolving credit facility and the indentures related to the Company's outstanding senior notes at June 30, 2024. The Company expects that it will remain in compliance with all covenants associated with its existing debt obligations for the next twelve months.</w:t>
      </w:r>
    </w:p>
    <w:p>
      <w:pPr>
        <w:spacing w:after="0" w:line="90"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The Company continues to evaluate its outstanding debt portfolio to take advantage of market conditions that would allow the Company to maintain a reasonable interest rate and lower financing risk. The Company anticipates that it will refinance the $2,000.0 in debt coming due during the next 12 months.</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outstanding authorization from the board of directors to purchase up to $430.4 of the Company's common stock. On July 24, 2024, the Board adopted a new share repurchase plan authorizing up to $1,000.0 of the Company's shares in addition to the remaining amount outstanding under the previous plan. In aggregate, the share repurchase authorization is $1,430.4.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2024, the Company paid $122.5 in common stock dividends. On July 25, 2024, the Company announced a cash dividend of $0.72 per share of common stock for the second quarter, or approximately $61.2 in the aggregate. The dividend will be payable on September 13, 2024, to stockholders of record of all issued and outstanding shares of common stock as of the close of business on August 29, 2024. The declaration and payment of any future dividends will be at the discretion of the Company’s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4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connection with the Reorganization, the Company, LCAH and U.S. Bank Trust Company, National Association (the Trustee) entered a seventeenth supplemental indenture (the Seventeenth Supplemental Indenture) to the indenture, dated as of November 19, 2010 between LCAH and the Trustee (the Indenture), in order to (i) provide for the full and unconditional guarantee by the Company of LCAH’s obligations under the Indenture and each series of senior unsecured notes issued and outstanding thereunder (the Labcorp Holdings Guarantee), (ii) permit the Company to satisfy LCAH’s reporting obligations under the Indenture for so long as the Labcorp Holdings Guarantee remains in place and the Company’s financial statements and other information comply with the requirements of Rule 3-10 of Regulation S-X and the Exchange Act (Regulation S-X) and (iii) make certain other changes to the Indenture consistent with the foregoing.</w:t>
      </w:r>
    </w:p>
    <w:p>
      <w:pPr>
        <w:spacing w:after="0" w:line="9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of June 30, 2024, there was $5,070.3 aggregate principal amount of issued and outstanding senior notes of LCAH that are fully and unconditionally guaranteed by the Company. Accordingly, pursuant to Rule 3-10 of Regulation S-X, separate consolidated financial statements of LCAH have not been presented. As permitted under Rule 13-01(a)(4)(vi) of Regulation S-X, we have excluded the summarized financial information for LCAH because the assets, liabilities and results of operations of LCAH are not materially different than the corresponding amounts in the Company’s consolidated financial statements and management believes such summarized financial information would be repetitive and would not provide incremental value to investors.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investment grade debt ratings from Moody’s and from Standard and Poor’s (S&amp;P) contribute to its ability to access capital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w:t>
      </w:r>
    </w:p>
    <w:p>
      <w:pPr>
        <w:spacing w:after="0" w:line="128" w:lineRule="exact"/>
        <w:rPr>
          <w:sz w:val="20"/>
          <w:szCs w:val="20"/>
          <w:color w:val="auto"/>
        </w:rPr>
      </w:pPr>
    </w:p>
    <w:p>
      <w:pPr>
        <w:jc w:val="both"/>
        <w:ind w:firstLine="280"/>
        <w:spacing w:after="0" w:line="253"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28"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Approximately 13.7% of the Company’s revenues for the six months ended June 30, 2024, and approximately 13.6% of the Company’s revenue for the six months ended June 30, 2023,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second quarter of 2024 and the year ended December 31, 2023,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six months ended June 30, 2024, by approximately $13.5. Gross accumulated currency translation adjustments recorded as a separate component of shareholders’ equity were $(7.2) and $51.7 for the quarter ended June 30, 2024 and 2023, respectively. The Company does not have significant operations in countries in which the economy is considered to be highly inflationary.</w:t>
      </w:r>
    </w:p>
    <w:p>
      <w:pPr>
        <w:spacing w:after="0" w:line="9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June 30, 2024, the Company had 10 open foreign exchange forward contracts with various amounts maturing monthly through July 2024 with a notional value totaling approximately $361.0. At December 31, 2023, the Company had 9 open foreign exchange forward contracts with various amounts maturing monthly through January 2024 with a notional value totaling approximately $305.8.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306" w:lineRule="auto"/>
        <w:rPr>
          <w:sz w:val="20"/>
          <w:szCs w:val="20"/>
          <w:color w:val="auto"/>
        </w:rPr>
      </w:pPr>
      <w:r>
        <w:rPr>
          <w:rFonts w:ascii="Times New Roman" w:cs="Times New Roman" w:eastAsia="Times New Roman" w:hAnsi="Times New Roman"/>
          <w:sz w:val="17"/>
          <w:szCs w:val="17"/>
          <w:color w:val="auto"/>
        </w:rPr>
        <w:t>The Company is party to USD to Swiss Franc cross-currency swap agreements with an aggregate notional amount of $600.0, $300.0 maturing in 2031 and $300.0 maturing in 2034, as a hedge against the impact of foreign exchange movements on its net investment in a Swiss Franc functional currency subsidiary.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84" w:lineRule="exact"/>
        <w:rPr>
          <w:sz w:val="20"/>
          <w:szCs w:val="20"/>
          <w:color w:val="auto"/>
        </w:rPr>
      </w:pPr>
    </w:p>
    <w:p>
      <w:pPr>
        <w:jc w:val="both"/>
        <w:ind w:firstLine="240"/>
        <w:spacing w:after="0" w:line="276" w:lineRule="auto"/>
        <w:rPr>
          <w:sz w:val="20"/>
          <w:szCs w:val="20"/>
          <w:color w:val="auto"/>
        </w:rPr>
      </w:pPr>
      <w:r>
        <w:rPr>
          <w:rFonts w:ascii="Times New Roman" w:cs="Times New Roman" w:eastAsia="Times New Roman" w:hAnsi="Times New Roman"/>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84"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SOFR plus 1.0706%.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64" w:lineRule="exact"/>
        <w:rPr>
          <w:sz w:val="20"/>
          <w:szCs w:val="20"/>
          <w:color w:val="auto"/>
        </w:rPr>
      </w:pPr>
    </w:p>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June 30,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64" w:lineRule="exact"/>
        <w:rPr>
          <w:sz w:val="20"/>
          <w:szCs w:val="20"/>
          <w:color w:val="auto"/>
        </w:rPr>
      </w:pPr>
    </w:p>
    <w:p>
      <w:pPr>
        <w:jc w:val="both"/>
        <w:ind w:firstLine="280"/>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Rules13a-15(f) and 15d-15(f) under the Securities Exchange Act of 1934, as amended) that occurred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340" w:firstLine="240"/>
        <w:spacing w:after="0" w:line="276" w:lineRule="auto"/>
        <w:rPr>
          <w:sz w:val="20"/>
          <w:szCs w:val="20"/>
          <w:color w:val="auto"/>
        </w:rPr>
      </w:pPr>
      <w:r>
        <w:rPr>
          <w:rFonts w:ascii="Times New Roman" w:cs="Times New Roman" w:eastAsia="Times New Roman" w:hAnsi="Times New Roman"/>
          <w:sz w:val="18"/>
          <w:szCs w:val="18"/>
          <w:color w:val="auto"/>
        </w:rPr>
        <w:t>See Note 9 (Commitments and Contingencies) to the Company’s condensed consolidated financial statements, above, which is incorporated herein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8"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on Form 10-K for the year ended December 31, 2023. With the exception of the following, there have been no material changes in the risk factors that appear in the Company's Annual Report on Form 10-K for the year ended December 31, 2023.</w:t>
      </w:r>
    </w:p>
    <w:p>
      <w:pPr>
        <w:spacing w:after="0" w:line="96"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b w:val="1"/>
          <w:bCs w:val="1"/>
          <w:color w:val="auto"/>
        </w:rPr>
        <w:t>U.S. Food and Drug Administration (FDA) regulation of diagnostic products, increased FDA regulation of laboratory-developed tests (LDTs), and regulation by other countries of diagnostic tests and related products could result in increased costs and the imposition of fines or penalties, and could have a material adverse effect upon the Company’s business.</w:t>
      </w:r>
    </w:p>
    <w:p>
      <w:pPr>
        <w:spacing w:after="0" w:line="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8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8"/>
          <w:szCs w:val="18"/>
          <w:color w:val="auto"/>
        </w:rPr>
        <w:t>LDTs developed by high complexity clinical laboratories are currently generally offered as services to health care providers under the CLIA regulatory framework administered by CMS, without the requirement for FDA clearance or approval. However, 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was not finalized, and the FDA instead continued its enforcement discretion policy and indicated that it intended to work with Congress to enact comprehensive legislative reform of diagnostics oversight. In February 2020, the FDA issued a statement with a table of pharmacogenetic associations setting forth certain gene-drug interactions that the agency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it could take enforcement actions under the current medical device framework regarding diagnostic claims the agency determines not to be sufficiently supported. In addition, in 2021, the Verifying Accurate, Leading-edge, IVCT Development (VALID) Act was introduced in Congress and provided a framework to regulate in vitro diagnostics and LDTs as in vitro clinical tests. In 2022, the VALID Act was incorporated into the Senate user fee bill but was not included in the year-end Consolidated Appropriations Act of 2022. On March 29, 2023, the VALID Act was reintroduced and remains pending. On April 29, 2024, the FDA released a final rule purporting to clarify its authority to regulate LDTs as medical devices under the federal Food, Drug, and Cosmetic Act, under which it will phase out its general enforcement discretion approach for LDTs under a four-year period subject to certain continuing enforcement discretion policies. More specifically, among other policies, the final rule provides that the FDA will continue to exercise discretion not to enforce premarket review and most FDA quality system requirements for unmodified LDTs first marketed prior to issuance of the final rule; will continue to exercise discretion not to enforce premarket review requirements for LDTs approved by the State of New York; and will continue to exercise discretion not to enforce premarket review and most FDA quality system requirements for LDTs developed and performed by a laboratory integrated into a health system for unmet needs for patients under the care of the same health system, where no FDA cleared or approved test is available. The final rule was published on May 6, 2024, and in the absence of a successful legal challenge, will become effective on May 6, 2025. On May 29, 2024, the American Clinical Laboratory Association (ACLA) and its member company, HealthTrackRx, filed a lawsuit against the FDA in the United States District Court for the Eastern District of Texas, challenging the FDA's final rule. While the lawsuit may change the final rule or delay or prevent its enforcement, the issuance of the final rule presents an increased risk of FDA enforcement actions for laboratory tests offered by companies without FDA clearance or approval that do not fall within the ongoing enforcement discretion policies. However, the outcome and its ultimate impact on the Company’s business remain difficult to predict at this time.</w:t>
      </w:r>
    </w:p>
    <w:p>
      <w:pPr>
        <w:spacing w:after="0" w:line="11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Current FDA regulation of the Company’s diagnostic products and the potential for future increased regulation of the Company’s LDTs could result in increased costs and administrative and legal actions for noncompliance, including warning letters, fines, penalties, product suspensions, product recalls, injunctions, and other civil and criminal sanctions, and could impair the development and commercialization of new tests, which could have a material adverse effect upon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Regulation of diagnostics products in jurisdictions outside the U.S. in which the Company operates may impact laboratory testing offered by the Company in both Dx and BLS. For example, the European Union In Vitro Diagnostics Regulation (Regulation (EU) 2017/746 (EU IVDR)) established a new legislative framework for in vitro diagnostic devices that are used in certain circumstances, and includes a rule-based classification and quality and safety standards. The EU IVDR, where applicable to BLS's services, could impact BLS's ability to support trials, result in increased costs and administrative and legal actions, and have an adverse effect.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During  the  three  months</w:t>
            </w:r>
          </w:p>
        </w:tc>
        <w:tc>
          <w:tcPr>
            <w:tcW w:w="27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ended  June  30,  2024,  the</w:t>
            </w:r>
          </w:p>
        </w:tc>
        <w:tc>
          <w:tcPr>
            <w:tcW w:w="8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w w:val="97"/>
              </w:rPr>
              <w:t>Company</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repurchased</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shares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its  common  stock:</w:t>
            </w:r>
          </w:p>
        </w:tc>
        <w:tc>
          <w:tcPr>
            <w:tcW w:w="0" w:type="dxa"/>
            <w:vAlign w:val="bottom"/>
          </w:tcPr>
          <w:p>
            <w:pPr>
              <w:spacing w:after="0"/>
              <w:rPr>
                <w:sz w:val="1"/>
                <w:szCs w:val="1"/>
                <w:color w:val="auto"/>
              </w:rPr>
            </w:pPr>
          </w:p>
        </w:tc>
      </w:tr>
      <w:tr>
        <w:trPr>
          <w:trHeight w:val="199"/>
        </w:trPr>
        <w:tc>
          <w:tcPr>
            <w:tcW w:w="2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3"/>
          </w:tcPr>
          <w:p>
            <w:pPr>
              <w:jc w:val="center"/>
              <w:ind w:right="120"/>
              <w:spacing w:after="0" w:line="199" w:lineRule="exact"/>
              <w:rPr>
                <w:sz w:val="20"/>
                <w:szCs w:val="20"/>
                <w:color w:val="auto"/>
              </w:rPr>
            </w:pPr>
            <w:r>
              <w:rPr>
                <w:rFonts w:ascii="Times New Roman" w:cs="Times New Roman" w:eastAsia="Times New Roman" w:hAnsi="Times New Roman"/>
                <w:sz w:val="18"/>
                <w:szCs w:val="18"/>
                <w:color w:val="auto"/>
                <w:w w:val="97"/>
              </w:rPr>
              <w:t>Total Number of Shares</w:t>
            </w:r>
          </w:p>
        </w:tc>
        <w:tc>
          <w:tcPr>
            <w:tcW w:w="160" w:type="dxa"/>
            <w:vAlign w:val="bottom"/>
          </w:tcPr>
          <w:p>
            <w:pPr>
              <w:spacing w:after="0"/>
              <w:rPr>
                <w:sz w:val="17"/>
                <w:szCs w:val="17"/>
                <w:color w:val="auto"/>
              </w:rPr>
            </w:pPr>
          </w:p>
        </w:tc>
        <w:tc>
          <w:tcPr>
            <w:tcW w:w="2140" w:type="dxa"/>
            <w:vAlign w:val="bottom"/>
          </w:tcPr>
          <w:p>
            <w:pPr>
              <w:jc w:val="center"/>
              <w:ind w:right="51"/>
              <w:spacing w:after="0" w:line="199" w:lineRule="exact"/>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tcPr>
          <w:p>
            <w:pPr>
              <w:jc w:val="center"/>
              <w:ind w:right="100"/>
              <w:spacing w:after="0" w:line="173"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160" w:type="dxa"/>
            <w:vAlign w:val="bottom"/>
          </w:tcPr>
          <w:p>
            <w:pPr>
              <w:spacing w:after="0"/>
              <w:rPr>
                <w:sz w:val="15"/>
                <w:szCs w:val="15"/>
                <w:color w:val="auto"/>
              </w:rPr>
            </w:pPr>
          </w:p>
        </w:tc>
        <w:tc>
          <w:tcPr>
            <w:tcW w:w="2140" w:type="dxa"/>
            <w:vAlign w:val="bottom"/>
          </w:tcPr>
          <w:p>
            <w:pPr>
              <w:jc w:val="center"/>
              <w:ind w:right="51"/>
              <w:spacing w:after="0" w:line="173" w:lineRule="exact"/>
              <w:rPr>
                <w:sz w:val="20"/>
                <w:szCs w:val="20"/>
                <w:color w:val="auto"/>
              </w:rPr>
            </w:pPr>
            <w:r>
              <w:rPr>
                <w:rFonts w:ascii="Times New Roman" w:cs="Times New Roman" w:eastAsia="Times New Roman" w:hAnsi="Times New Roman"/>
                <w:sz w:val="18"/>
                <w:szCs w:val="18"/>
                <w:color w:val="auto"/>
                <w:w w:val="97"/>
              </w:rPr>
              <w:t>Shares that May Yet Be</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4"/>
          </w:tcPr>
          <w:p>
            <w:pPr>
              <w:ind w:left="60"/>
              <w:spacing w:after="0" w:line="187" w:lineRule="exact"/>
              <w:rPr>
                <w:sz w:val="20"/>
                <w:szCs w:val="20"/>
                <w:color w:val="auto"/>
              </w:rPr>
            </w:pPr>
            <w:r>
              <w:rPr>
                <w:rFonts w:ascii="Times New Roman" w:cs="Times New Roman" w:eastAsia="Times New Roman" w:hAnsi="Times New Roman"/>
                <w:sz w:val="18"/>
                <w:szCs w:val="18"/>
                <w:color w:val="auto"/>
              </w:rPr>
              <w:t>Average Price</w:t>
            </w:r>
          </w:p>
        </w:tc>
        <w:tc>
          <w:tcPr>
            <w:tcW w:w="1840" w:type="dxa"/>
            <w:vAlign w:val="bottom"/>
            <w:gridSpan w:val="2"/>
          </w:tcPr>
          <w:p>
            <w:pPr>
              <w:jc w:val="center"/>
              <w:ind w:right="340"/>
              <w:spacing w:after="0" w:line="187"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60" w:type="dxa"/>
            <w:vAlign w:val="bottom"/>
          </w:tcPr>
          <w:p>
            <w:pPr>
              <w:spacing w:after="0"/>
              <w:rPr>
                <w:sz w:val="16"/>
                <w:szCs w:val="16"/>
                <w:color w:val="auto"/>
              </w:rPr>
            </w:pPr>
          </w:p>
        </w:tc>
        <w:tc>
          <w:tcPr>
            <w:tcW w:w="2140" w:type="dxa"/>
            <w:vAlign w:val="bottom"/>
          </w:tcPr>
          <w:p>
            <w:pPr>
              <w:jc w:val="center"/>
              <w:ind w:right="71"/>
              <w:spacing w:after="0" w:line="187" w:lineRule="exact"/>
              <w:rPr>
                <w:sz w:val="20"/>
                <w:szCs w:val="20"/>
                <w:color w:val="auto"/>
              </w:rPr>
            </w:pPr>
            <w:r>
              <w:rPr>
                <w:rFonts w:ascii="Times New Roman" w:cs="Times New Roman" w:eastAsia="Times New Roman" w:hAnsi="Times New Roman"/>
                <w:sz w:val="18"/>
                <w:szCs w:val="18"/>
                <w:color w:val="auto"/>
                <w:w w:val="98"/>
              </w:rPr>
              <w:t>Repurchased Under the</w:t>
            </w: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Repurchased</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Program</w:t>
            </w:r>
          </w:p>
        </w:tc>
        <w:tc>
          <w:tcPr>
            <w:tcW w:w="160" w:type="dxa"/>
            <w:vAlign w:val="bottom"/>
          </w:tcPr>
          <w:p>
            <w:pPr>
              <w:spacing w:after="0"/>
              <w:rPr>
                <w:sz w:val="19"/>
                <w:szCs w:val="19"/>
                <w:color w:val="auto"/>
              </w:rPr>
            </w:pPr>
          </w:p>
        </w:tc>
        <w:tc>
          <w:tcPr>
            <w:tcW w:w="214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1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19"/>
        </w:trPr>
        <w:tc>
          <w:tcPr>
            <w:tcW w:w="258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outstanding authorization from the board of directors to purchase up to $430.4 of the Company's common stock. The repurchase authorization has no expiration date. On July 24, 2024, the Board adopted a new share repurchase plan authorizing up to $1,000.0 of the Company's shares in addition to the remaining amount outstanding under the previous plan. In aggregate, the share repurchase authorization is $1,430.4.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2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During the fiscal quarter ended June 30, 2024,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Character of</w:t>
            </w:r>
          </w:p>
        </w:tc>
        <w:tc>
          <w:tcPr>
            <w:tcW w:w="100" w:type="dxa"/>
            <w:vAlign w:val="bottom"/>
          </w:tcPr>
          <w:p>
            <w:pPr>
              <w:spacing w:after="0"/>
              <w:rPr>
                <w:sz w:val="18"/>
                <w:szCs w:val="18"/>
                <w:color w:val="auto"/>
              </w:rPr>
            </w:pPr>
          </w:p>
        </w:tc>
        <w:tc>
          <w:tcPr>
            <w:tcW w:w="3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Aggregate Number of Shares of</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5"/>
              </w:rPr>
              <w:t>Trading</w:t>
            </w:r>
          </w:p>
        </w:tc>
        <w:tc>
          <w:tcPr>
            <w:tcW w:w="100" w:type="dxa"/>
            <w:vAlign w:val="bottom"/>
          </w:tcPr>
          <w:p>
            <w:pPr>
              <w:spacing w:after="0"/>
              <w:rPr>
                <w:sz w:val="15"/>
                <w:szCs w:val="15"/>
                <w:color w:val="auto"/>
              </w:rPr>
            </w:pPr>
          </w:p>
        </w:tc>
        <w:tc>
          <w:tcPr>
            <w:tcW w:w="3200" w:type="dxa"/>
            <w:vAlign w:val="bottom"/>
            <w:gridSpan w:val="3"/>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Common Stock to be (Sold) Purchased</w:t>
            </w:r>
          </w:p>
        </w:tc>
        <w:tc>
          <w:tcPr>
            <w:tcW w:w="1300" w:type="dxa"/>
            <w:vAlign w:val="bottom"/>
            <w:vMerge w:val="restart"/>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0" w:type="dxa"/>
            <w:vAlign w:val="bottom"/>
          </w:tcPr>
          <w:p>
            <w:pPr>
              <w:spacing w:after="0"/>
              <w:rPr>
                <w:sz w:val="1"/>
                <w:szCs w:val="1"/>
                <w:color w:val="auto"/>
              </w:rPr>
            </w:pPr>
          </w:p>
        </w:tc>
      </w:tr>
      <w:tr>
        <w:trPr>
          <w:trHeight w:val="234"/>
        </w:trPr>
        <w:tc>
          <w:tcPr>
            <w:tcW w:w="3700" w:type="dxa"/>
            <w:vAlign w:val="bottom"/>
            <w:gridSpan w:val="2"/>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00" w:type="dxa"/>
            <w:vAlign w:val="bottom"/>
          </w:tcPr>
          <w:p>
            <w:pPr>
              <w:spacing w:after="0"/>
              <w:rPr>
                <w:sz w:val="20"/>
                <w:szCs w:val="20"/>
                <w:color w:val="auto"/>
              </w:rPr>
            </w:pPr>
          </w:p>
        </w:tc>
        <w:tc>
          <w:tcPr>
            <w:tcW w:w="3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Pursuant to Trading Agreement</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600" w:type="dxa"/>
            <w:vAlign w:val="bottom"/>
            <w:tcBorders>
              <w:top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Kerrii B. Anderson</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May 3, 2024</w:t>
            </w:r>
          </w:p>
        </w:tc>
        <w:tc>
          <w:tcPr>
            <w:tcW w:w="1500" w:type="dxa"/>
            <w:vAlign w:val="bottom"/>
            <w:tcBorders>
              <w:top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Rule 10b5-1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ind w:left="1320"/>
              <w:spacing w:after="0" w:line="194" w:lineRule="exact"/>
              <w:rPr>
                <w:sz w:val="20"/>
                <w:szCs w:val="20"/>
                <w:color w:val="auto"/>
              </w:rPr>
            </w:pPr>
            <w:r>
              <w:rPr>
                <w:rFonts w:ascii="Times New Roman" w:cs="Times New Roman" w:eastAsia="Times New Roman" w:hAnsi="Times New Roman"/>
                <w:sz w:val="18"/>
                <w:szCs w:val="18"/>
                <w:color w:val="auto"/>
              </w:rPr>
              <w:t>Up to</w:t>
            </w:r>
          </w:p>
        </w:tc>
        <w:tc>
          <w:tcPr>
            <w:tcW w:w="1240" w:type="dxa"/>
            <w:vAlign w:val="bottom"/>
            <w:tcBorders>
              <w:top w:val="single" w:sz="8" w:color="auto"/>
            </w:tcBorders>
            <w:shd w:val="clear" w:color="auto" w:fill="CCEEFF"/>
          </w:tcPr>
          <w:p>
            <w:pPr>
              <w:jc w:val="right"/>
              <w:ind w:right="295"/>
              <w:spacing w:after="0" w:line="193" w:lineRule="exact"/>
              <w:rPr>
                <w:sz w:val="20"/>
                <w:szCs w:val="20"/>
                <w:color w:val="auto"/>
              </w:rPr>
            </w:pPr>
            <w:r>
              <w:rPr>
                <w:rFonts w:ascii="Times New Roman" w:cs="Times New Roman" w:eastAsia="Times New Roman" w:hAnsi="Times New Roman"/>
                <w:sz w:val="17"/>
                <w:szCs w:val="17"/>
                <w:color w:val="auto"/>
              </w:rPr>
              <w:t xml:space="preserve">(3,000)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5/3/2025</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55"/>
        </w:trPr>
        <w:tc>
          <w:tcPr>
            <w:tcW w:w="3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Director</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5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Trading</w:t>
            </w: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60" w:hanging="153"/>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figure presented represents the shares to be sold on the vesting of equity awards before reduction for shares to be withheld for tax purposes</w:t>
      </w:r>
    </w:p>
    <w:p>
      <w:pPr>
        <w:spacing w:after="0" w:line="14" w:lineRule="exact"/>
        <w:rPr>
          <w:rFonts w:ascii="Times New Roman" w:cs="Times New Roman" w:eastAsia="Times New Roman" w:hAnsi="Times New Roman"/>
          <w:sz w:val="19"/>
          <w:szCs w:val="19"/>
          <w:color w:val="auto"/>
          <w:vertAlign w:val="superscript"/>
        </w:rPr>
      </w:pPr>
    </w:p>
    <w:p>
      <w:pPr>
        <w:ind w:left="240" w:right="20" w:hanging="233"/>
        <w:spacing w:after="0" w:line="272" w:lineRule="auto"/>
        <w:tabs>
          <w:tab w:leader="none" w:pos="163"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trading arrangement permits transactions through and including the earlier to occur of (a) the completion of all sales on the respective order entry date or (b) the date listed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INDEX</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8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5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spacing w:after="0"/>
              <w:rPr>
                <w:sz w:val="16"/>
                <w:szCs w:val="16"/>
                <w:color w:val="auto"/>
              </w:rPr>
            </w:pPr>
          </w:p>
        </w:tc>
        <w:tc>
          <w:tcPr>
            <w:tcW w:w="9860" w:type="dxa"/>
            <w:vAlign w:val="bottom"/>
            <w:gridSpan w:val="26"/>
          </w:tcPr>
          <w:p>
            <w:pPr>
              <w:spacing w:after="0" w:line="19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Agreement and Plan of Merger, dated May 17, 2024, by and among Laboratory Corporation of America Holdings, Labcorp Holdings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Inc. and Radiance Merger Sub Inc. (incorporated by reference to Exhibit 2.1 to the Company's Current Report on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May 17, 2024)</w:t>
              </w:r>
            </w:hyperlink>
          </w:p>
        </w:tc>
        <w:tc>
          <w:tcPr>
            <w:tcW w:w="868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Certificate of Incorporation of Labcorp Holdings Inc. (incorporated by reference to Exhibit 3.1 to the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Company's Current Report on Form 8-K filed on May 17, 2024)</w:t>
              </w:r>
            </w:hyperlink>
          </w:p>
        </w:tc>
        <w:tc>
          <w:tcPr>
            <w:tcW w:w="51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By-Laws of Labcorp Holdings Inc. (incorporated by reference to Exhibit 3.2 to the Company's Current Report</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on Form 8-K filed on May 17, 2024)</w:t>
              </w:r>
            </w:hyperlink>
          </w:p>
        </w:tc>
        <w:tc>
          <w:tcPr>
            <w:tcW w:w="69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Seventeenth Supplemental Indenture dated as of May 17, 2024, by and among Laboratory Corporation of America Holdings, as issuer,</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Labcorp Holdings Inc., as guarantor, and U.S. Bank National Trust Company Association, as trustee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Exhibit 4.2 to the Company's Current Report on Form 8-K filed on May 17,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New Holding Company Guarantee, dated May 17, 2024, by Labcorp Holdings Inc. (incorporated by reference to Exhibit 4.3 to the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Company's Current Report on Form 8-K filed on May 17, 2024)</w:t>
              </w:r>
            </w:hyperlink>
          </w:p>
        </w:tc>
        <w:tc>
          <w:tcPr>
            <w:tcW w:w="50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Guarantor Joinder Agreement, dated May 17, 2024, by Labcorp Holdings Inc. (incorporated by reference to Exhibit 10.1 to the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Company's Current Report on Form 8-K filed on May 17, 2024)</w:t>
              </w:r>
            </w:hyperlink>
          </w:p>
        </w:tc>
        <w:tc>
          <w:tcPr>
            <w:tcW w:w="51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Assignment and Assumption Agreement, dated as of May 17, 2024, by and among Laboratory Corporation of America Holdings,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4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Labcorp Holdings Inc. and Adam H. Schechter. (incorporated by reference to Exhibit 10.2 to the Company's Current Report on Form</w:t>
              </w:r>
            </w:hyperlink>
          </w:p>
        </w:tc>
        <w:tc>
          <w:tcPr>
            <w:tcW w:w="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8-K filed on May 17, 2024)</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Assignment and Assumption Agreement, dated as of May 17, 2024, by and among Laboratory Corporation of America Holdings,</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4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Labcorp Holdings Inc. and Radiance Merger Sub Inc. (incorporated by reference to Exhibit 10.3 to the Company's Current Report on</w:t>
              </w:r>
            </w:hyperlink>
          </w:p>
        </w:tc>
        <w:tc>
          <w:tcPr>
            <w:tcW w:w="2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Form 8-K filed on May 17, 2024)</w:t>
              </w:r>
            </w:hyperlink>
          </w:p>
        </w:tc>
        <w:tc>
          <w:tcPr>
            <w:tcW w:w="7300" w:type="dxa"/>
            <w:vAlign w:val="bottom"/>
            <w:tcBorders>
              <w:top w:val="single" w:sz="8" w:color="0000FF"/>
            </w:tcBorders>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Labcorp Holdings Inc. Amended and Restated 2016 Omnibus Incentive Plan (incorporated by reference to Exhibit 10.4 to the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Company's Current Report on Form 8-K filed on May 17, 2024)</w:t>
              </w:r>
            </w:hyperlink>
          </w:p>
        </w:tc>
        <w:tc>
          <w:tcPr>
            <w:tcW w:w="40" w:type="dxa"/>
            <w:vAlign w:val="bottom"/>
            <w:gridSpan w:val="2"/>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spacing w:after="0"/>
              <w:rPr>
                <w:sz w:val="19"/>
                <w:szCs w:val="19"/>
                <w:color w:val="auto"/>
              </w:rPr>
            </w:pPr>
          </w:p>
        </w:tc>
        <w:tc>
          <w:tcPr>
            <w:tcW w:w="9860" w:type="dxa"/>
            <w:vAlign w:val="bottom"/>
            <w:gridSpan w:val="2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Labcorp Holdings Inc. Amended and Restated 2016 Employee Stock Purchase Plan (incorporated by reference to Exhibit 10.5 to the</w:t>
              </w:r>
            </w:hyperlink>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4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Company's Current Report on Form 8-K filed on May 17, 2024)</w:t>
              </w:r>
            </w:hyperlink>
          </w:p>
        </w:tc>
        <w:tc>
          <w:tcPr>
            <w:tcW w:w="220" w:type="dxa"/>
            <w:vAlign w:val="bottom"/>
            <w:gridSpan w:val="11"/>
          </w:tcPr>
          <w:p>
            <w:pPr>
              <w:spacing w:after="0"/>
              <w:rPr>
                <w:sz w:val="13"/>
                <w:szCs w:val="13"/>
                <w:color w:val="auto"/>
              </w:rPr>
            </w:pP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1020" w:type="dxa"/>
            <w:vAlign w:val="bottom"/>
          </w:tcPr>
          <w:p>
            <w:pPr>
              <w:spacing w:after="0"/>
              <w:rPr>
                <w:sz w:val="19"/>
                <w:szCs w:val="19"/>
                <w:color w:val="auto"/>
              </w:rPr>
            </w:pPr>
          </w:p>
        </w:tc>
        <w:tc>
          <w:tcPr>
            <w:tcW w:w="4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Subsidiary Issuers of Guaranteed Securities</w:t>
            </w:r>
          </w:p>
        </w:tc>
        <w:tc>
          <w:tcPr>
            <w:tcW w:w="5300" w:type="dxa"/>
            <w:vAlign w:val="bottom"/>
            <w:gridSpan w:val="19"/>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207"/>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20" w:type="dxa"/>
            <w:vAlign w:val="bottom"/>
          </w:tcPr>
          <w:p>
            <w:pPr>
              <w:spacing w:after="0"/>
              <w:rPr>
                <w:sz w:val="17"/>
                <w:szCs w:val="17"/>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Pr>
          <w:p>
            <w:pPr>
              <w:spacing w:after="0"/>
              <w:rPr>
                <w:sz w:val="19"/>
                <w:szCs w:val="19"/>
                <w:color w:val="auto"/>
              </w:rPr>
            </w:pPr>
          </w:p>
        </w:tc>
        <w:tc>
          <w:tcPr>
            <w:tcW w:w="63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460" w:type="dxa"/>
            <w:vAlign w:val="bottom"/>
            <w:gridSpan w:val="15"/>
          </w:tcPr>
          <w:p>
            <w:pPr>
              <w:spacing w:after="0"/>
              <w:rPr>
                <w:sz w:val="19"/>
                <w:szCs w:val="19"/>
                <w:color w:val="auto"/>
              </w:rPr>
            </w:pPr>
          </w:p>
        </w:tc>
      </w:tr>
      <w:tr>
        <w:trPr>
          <w:trHeight w:val="3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Written Statement of Chief Executive Officer and Chief Financial Officer pursuant to Section 906 of the Sarbanes-Oxley Act of 2002</w:t>
            </w:r>
          </w:p>
        </w:tc>
      </w:tr>
      <w:tr>
        <w:trPr>
          <w:trHeight w:val="153"/>
        </w:trPr>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(18 U.S.C. Section 1350)</w:t>
            </w:r>
          </w:p>
        </w:tc>
        <w:tc>
          <w:tcPr>
            <w:tcW w:w="7680" w:type="dxa"/>
            <w:vAlign w:val="bottom"/>
            <w:tcBorders>
              <w:top w:val="single" w:sz="8" w:color="0000FF"/>
            </w:tcBorders>
            <w:gridSpan w:val="10"/>
          </w:tcPr>
          <w:p>
            <w:pPr>
              <w:spacing w:after="0"/>
              <w:rPr>
                <w:sz w:val="13"/>
                <w:szCs w:val="13"/>
                <w:color w:val="auto"/>
              </w:rPr>
            </w:pPr>
          </w:p>
        </w:tc>
        <w:tc>
          <w:tcPr>
            <w:tcW w:w="380" w:type="dxa"/>
            <w:vAlign w:val="bottom"/>
            <w:gridSpan w:val="14"/>
          </w:tcPr>
          <w:p>
            <w:pPr>
              <w:spacing w:after="0"/>
              <w:rPr>
                <w:sz w:val="13"/>
                <w:szCs w:val="13"/>
                <w:color w:val="auto"/>
              </w:rPr>
            </w:pPr>
          </w:p>
        </w:tc>
      </w:tr>
      <w:tr>
        <w:trPr>
          <w:trHeight w:val="20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2"/>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2"/>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0"/>
                <w:szCs w:val="20"/>
                <w:color w:val="auto"/>
              </w:rPr>
            </w:pPr>
          </w:p>
        </w:tc>
        <w:tc>
          <w:tcPr>
            <w:tcW w:w="9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1" w:lineRule="exact"/>
        <w:rPr>
          <w:sz w:val="20"/>
          <w:szCs w:val="20"/>
          <w:color w:val="auto"/>
        </w:rPr>
      </w:pPr>
    </w:p>
    <w:p>
      <w:pPr>
        <w:ind w:left="1120" w:hanging="1096"/>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1120" w:hanging="1096"/>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p>
    <w:p>
      <w:pPr>
        <w:ind w:left="1120" w:hanging="1096"/>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0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0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ADAM H. SCHECHTER</w:t>
            </w:r>
          </w:p>
        </w:tc>
      </w:tr>
      <w:tr>
        <w:trPr>
          <w:trHeight w:val="242"/>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2"/>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GLENN A. EISENBERG</w:t>
            </w:r>
          </w:p>
        </w:tc>
        <w:tc>
          <w:tcPr>
            <w:tcW w:w="20" w:type="dxa"/>
            <w:vAlign w:val="bottom"/>
          </w:tcPr>
          <w:p>
            <w:pPr>
              <w:spacing w:after="0"/>
              <w:rPr>
                <w:sz w:val="24"/>
                <w:szCs w:val="24"/>
                <w:color w:val="auto"/>
              </w:rPr>
            </w:pPr>
          </w:p>
        </w:tc>
      </w:tr>
      <w:tr>
        <w:trPr>
          <w:trHeight w:val="242"/>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Executive Vice President and</w:t>
            </w:r>
          </w:p>
        </w:tc>
      </w:tr>
      <w:tr>
        <w:trPr>
          <w:trHeight w:val="232"/>
        </w:trPr>
        <w:tc>
          <w:tcPr>
            <w:tcW w:w="7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121" w:right="4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3"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June 30, 2024.</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2.30% Senior Notes due 2024 (issued under the Thirteenth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3.25% Senior Notes due 2024 (issued under the Eleventh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2025 (issued under the Ninth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obligors under the Senior Notes consisted of LHI, as guarantor, and LCAH, as issuer.</w:t>
      </w:r>
    </w:p>
    <w:p>
      <w:pPr>
        <w:sectPr>
          <w:pgSz w:w="11900" w:h="16838" w:orient="portrait"/>
          <w:cols w:equalWidth="0" w:num="1">
            <w:col w:w="11240"/>
          </w:cols>
          <w:pgMar w:left="320" w:top="13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2,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40"/>
          </w:cols>
          <w:pgMar w:left="320" w:top="879" w:right="11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Laboratory Corporation of America Holdings;</w:t>
      </w:r>
    </w:p>
    <w:p>
      <w:pPr>
        <w:spacing w:after="0" w:line="246"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firstLine="7"/>
        <w:spacing w:after="0" w:line="276"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7"/>
        <w:spacing w:after="0" w:line="261"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60" w:firstLine="7"/>
        <w:spacing w:after="0" w:line="276" w:lineRule="auto"/>
        <w:tabs>
          <w:tab w:leader="none" w:pos="3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left="160" w:firstLine="7"/>
        <w:spacing w:after="0" w:line="261" w:lineRule="auto"/>
        <w:tabs>
          <w:tab w:leader="none" w:pos="3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20" w:firstLine="7"/>
        <w:spacing w:after="0" w:line="276"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8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60" w:firstLine="7"/>
        <w:spacing w:after="0" w:line="276" w:lineRule="auto"/>
        <w:tabs>
          <w:tab w:leader="none" w:pos="3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2, 2024</w:t>
      </w:r>
    </w:p>
    <w:p>
      <w:pPr>
        <w:spacing w:after="0" w:line="25" w:lineRule="exact"/>
        <w:rPr>
          <w:sz w:val="20"/>
          <w:szCs w:val="20"/>
          <w:color w:val="auto"/>
        </w:rPr>
      </w:pPr>
    </w:p>
    <w:p>
      <w:pPr>
        <w:ind w:left="642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40"/>
          </w:cols>
          <w:pgMar w:left="320" w:top="879" w:right="11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6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190" w:lineRule="exact"/>
        <w:rPr>
          <w:sz w:val="20"/>
          <w:szCs w:val="20"/>
          <w:color w:val="auto"/>
        </w:rPr>
      </w:pPr>
    </w:p>
    <w:p>
      <w:pPr>
        <w:ind w:firstLine="7"/>
        <w:spacing w:after="0" w:line="276" w:lineRule="auto"/>
        <w:tabs>
          <w:tab w:leader="none" w:pos="2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June 30, 2024, filed on the date hereof with the Securities and Exchange Commission (the “Report”) fully complies with the requirements of Section 13(a) or 15(d) of the Securities Exchange Act of 1934; and</w:t>
      </w:r>
    </w:p>
    <w:p>
      <w:pPr>
        <w:spacing w:after="0" w:line="190"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ADAM H. SCHECHTER</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August 2, 2024</w:t>
            </w:r>
          </w:p>
        </w:tc>
      </w:tr>
      <w:tr>
        <w:trPr>
          <w:trHeight w:val="7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GLENN A. EISENBERG</w:t>
            </w:r>
          </w:p>
        </w:tc>
      </w:tr>
      <w:tr>
        <w:trPr>
          <w:trHeight w:val="242"/>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Glenn A. Eisenberg</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5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August 2, 2024</w:t>
            </w:r>
          </w:p>
        </w:tc>
      </w:tr>
    </w:tbl>
    <w:p>
      <w:pPr>
        <w:sectPr>
          <w:pgSz w:w="11900" w:h="16838" w:orient="portrait"/>
          <w:cols w:equalWidth="0" w:num="1">
            <w:col w:w="10440"/>
          </w:cols>
          <w:pgMar w:left="320" w:top="879" w:right="1139" w:bottom="1440" w:gutter="0" w:footer="0" w:header="0"/>
        </w:sectPr>
      </w:pPr>
    </w:p>
    <w:bookmarkStart w:id="42" w:name="page43"/>
    <w:bookmarkEnd w:id="42"/>
    <w:p>
      <w:pPr>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20"/>
      </w:cols>
      <w:pgMar w:left="320" w:top="8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0"/>
    </w:lvl>
  </w:abstractNum>
  <w:abstractNum w:abstractNumId="1">
    <w:nsid w:val="79E2A9E3"/>
    <w:multiLevelType w:val="hybridMultilevel"/>
    <w:lvl w:ilvl="0">
      <w:lvlJc w:val="left"/>
      <w:lvlText w:val="%1."/>
      <w:numFmt w:val="decimal"/>
      <w:start w:val="11"/>
    </w:lvl>
  </w:abstractNum>
  <w:abstractNum w:abstractNumId="2">
    <w:nsid w:val="7545E146"/>
    <w:multiLevelType w:val="hybridMultilevel"/>
    <w:lvl w:ilvl="0">
      <w:lvlJc w:val="left"/>
      <w:lvlText w:val="%1."/>
      <w:numFmt w:val="decimal"/>
      <w:start w:val="1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30"/>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1" Type="http://schemas.openxmlformats.org/officeDocument/2006/relationships/image" Target="media/image44.png"/><Relationship Id="rId51" Type="http://schemas.openxmlformats.org/officeDocument/2006/relationships/hyperlink" Target="https://www.sec.gov/Archives/edgar/data/920148/000092014824000063/exhibit21-mergeragreementc.htm" TargetMode="External"/><Relationship Id="rId52" Type="http://schemas.openxmlformats.org/officeDocument/2006/relationships/hyperlink" Target="https://www.sec.gov/Archives/edgar/data/920148/000092014824000063/exhibit31-amendedandrestat.htm" TargetMode="External"/><Relationship Id="rId53" Type="http://schemas.openxmlformats.org/officeDocument/2006/relationships/hyperlink" Target="https://www.sec.gov/Archives/edgar/data/920148/000092014824000063/exhibit32-amendedandrestat.htm" TargetMode="External"/><Relationship Id="rId54" Type="http://schemas.openxmlformats.org/officeDocument/2006/relationships/hyperlink" Target="https://www.sec.gov/Archives/edgar/data/920148/000092014824000063/exhibit42-seventeenthsuppl.htm" TargetMode="External"/><Relationship Id="rId55" Type="http://schemas.openxmlformats.org/officeDocument/2006/relationships/hyperlink" Target="https://www.sec.gov/Archives/edgar/data/920148/000092014824000063/exhibit43-guarantee.htm" TargetMode="External"/><Relationship Id="rId56" Type="http://schemas.openxmlformats.org/officeDocument/2006/relationships/hyperlink" Target="https://www.sec.gov/Archives/edgar/data/920148/000092014824000063/exhibit101-guarantorjoinde.htm" TargetMode="External"/><Relationship Id="rId57" Type="http://schemas.openxmlformats.org/officeDocument/2006/relationships/hyperlink" Target="https://www.sec.gov/Archives/edgar/data/920148/000092014824000063/exhibit102-radianceceoassi.htm" TargetMode="External"/><Relationship Id="rId58" Type="http://schemas.openxmlformats.org/officeDocument/2006/relationships/hyperlink" Target="https://www.sec.gov/Archives/edgar/data/920148/000092014824000063/exhibit103-assignmentandas.htm" TargetMode="External"/><Relationship Id="rId59" Type="http://schemas.openxmlformats.org/officeDocument/2006/relationships/hyperlink" Target="https://www.sec.gov/Archives/edgar/data/920148/000092014824000063/exhibit104-amendedandresta.htm" TargetMode="External"/><Relationship Id="rId60" Type="http://schemas.openxmlformats.org/officeDocument/2006/relationships/hyperlink" Target="https://www.sec.gov/Archives/edgar/data/920148/000092014824000063/exhibit105labcorpholdings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2024-08-02T13:42:29Z</dcterms:created>
  <dcterms:modified xsi:type="dcterms:W3CDTF">2024-08-02T13:42:29Z</dcterms:modified>
</cp:coreProperties>
</file>