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1400" w:hanging="216"/>
        <w:spacing w:after="0"/>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2025</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jc w:val="center"/>
        <w:ind w:left="3860" w:right="1160" w:hanging="2686"/>
        <w:spacing w:after="0" w:line="399" w:lineRule="auto"/>
        <w:tabs>
          <w:tab w:leader="none" w:pos="138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LABCORP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6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99-2588107</w:t>
            </w:r>
          </w:p>
        </w:tc>
        <w:tc>
          <w:tcPr>
            <w:tcW w:w="20" w:type="dxa"/>
            <w:vAlign w:val="bottom"/>
          </w:tcPr>
          <w:p>
            <w:pPr>
              <w:spacing w:after="0"/>
              <w:rPr>
                <w:sz w:val="20"/>
                <w:szCs w:val="20"/>
                <w:color w:val="auto"/>
              </w:rPr>
            </w:pPr>
          </w:p>
        </w:tc>
      </w:tr>
      <w:tr>
        <w:trPr>
          <w:trHeight w:val="228"/>
        </w:trPr>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520" w:type="dxa"/>
            <w:vAlign w:val="bottom"/>
            <w:tcBorders>
              <w:top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56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566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556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27215</w:t>
            </w:r>
          </w:p>
        </w:tc>
        <w:tc>
          <w:tcPr>
            <w:tcW w:w="20" w:type="dxa"/>
            <w:vAlign w:val="bottom"/>
          </w:tcPr>
          <w:p>
            <w:pPr>
              <w:spacing w:after="0"/>
              <w:rPr>
                <w:sz w:val="20"/>
                <w:szCs w:val="20"/>
                <w:color w:val="auto"/>
              </w:rPr>
            </w:pPr>
          </w:p>
        </w:tc>
      </w:tr>
      <w:tr>
        <w:trPr>
          <w:trHeight w:val="228"/>
        </w:trPr>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20" w:type="dxa"/>
            <w:vAlign w:val="bottom"/>
            <w:tcBorders>
              <w:top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Borders>
              <w:top w:val="single" w:sz="8" w:color="auto"/>
            </w:tcBorders>
          </w:tcPr>
          <w:p>
            <w:pPr>
              <w:spacing w:after="0"/>
              <w:rPr>
                <w:sz w:val="19"/>
                <w:szCs w:val="19"/>
                <w:color w:val="auto"/>
              </w:rPr>
            </w:pP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38"/>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10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LH</w:t>
            </w:r>
          </w:p>
        </w:tc>
        <w:tc>
          <w:tcPr>
            <w:tcW w:w="8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20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2025, there were 83.7 million shares of the registrant’s common stock, $0.10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80" w:type="dxa"/>
            <w:vAlign w:val="bottom"/>
            <w:gridSpan w:val="10"/>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Part I. Financial Information</w:t>
            </w:r>
          </w:p>
        </w:tc>
        <w:tc>
          <w:tcPr>
            <w:tcW w:w="2420" w:type="dxa"/>
            <w:vAlign w:val="bottom"/>
            <w:gridSpan w:val="4"/>
          </w:tcPr>
          <w:p>
            <w:pPr>
              <w:spacing w:after="0"/>
              <w:rPr>
                <w:sz w:val="24"/>
                <w:szCs w:val="24"/>
                <w:color w:val="auto"/>
              </w:rPr>
            </w:pPr>
          </w:p>
        </w:tc>
        <w:tc>
          <w:tcPr>
            <w:tcW w:w="1920" w:type="dxa"/>
            <w:vAlign w:val="bottom"/>
            <w:tcBorders>
              <w:top w:val="single" w:sz="8" w:color="auto"/>
            </w:tcBorders>
            <w:gridSpan w:val="6"/>
          </w:tcPr>
          <w:p>
            <w:pPr>
              <w:spacing w:after="0"/>
              <w:rPr>
                <w:sz w:val="24"/>
                <w:szCs w:val="24"/>
                <w:color w:val="auto"/>
              </w:rPr>
            </w:pPr>
          </w:p>
        </w:tc>
        <w:tc>
          <w:tcPr>
            <w:tcW w:w="35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700" w:type="dxa"/>
            <w:vAlign w:val="bottom"/>
            <w:gridSpan w:val="13"/>
            <w:vMerge w:val="restart"/>
          </w:tcPr>
          <w:p>
            <w:pPr>
              <w:spacing w:after="0"/>
              <w:rPr>
                <w:sz w:val="24"/>
                <w:szCs w:val="24"/>
                <w:color w:val="auto"/>
              </w:rPr>
            </w:pPr>
          </w:p>
        </w:tc>
        <w:tc>
          <w:tcPr>
            <w:tcW w:w="11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940" w:type="dxa"/>
            <w:vAlign w:val="bottom"/>
            <w:vMerge w:val="continue"/>
          </w:tcPr>
          <w:p>
            <w:pPr>
              <w:spacing w:after="0"/>
              <w:rPr>
                <w:sz w:val="14"/>
                <w:szCs w:val="14"/>
                <w:color w:val="auto"/>
              </w:rPr>
            </w:pPr>
          </w:p>
        </w:tc>
        <w:tc>
          <w:tcPr>
            <w:tcW w:w="1500" w:type="dxa"/>
            <w:vAlign w:val="bottom"/>
            <w:tcBorders>
              <w:bottom w:val="single" w:sz="8" w:color="0000FF"/>
            </w:tcBorders>
            <w:gridSpan w:val="7"/>
            <w:vMerge w:val="continue"/>
          </w:tcPr>
          <w:p>
            <w:pPr>
              <w:spacing w:after="0"/>
              <w:rPr>
                <w:sz w:val="14"/>
                <w:szCs w:val="14"/>
                <w:color w:val="auto"/>
              </w:rPr>
            </w:pPr>
          </w:p>
        </w:tc>
        <w:tc>
          <w:tcPr>
            <w:tcW w:w="7700" w:type="dxa"/>
            <w:vAlign w:val="bottom"/>
            <w:gridSpan w:val="1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(Unaudited)</w:t>
            </w:r>
          </w:p>
        </w:tc>
        <w:tc>
          <w:tcPr>
            <w:tcW w:w="328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(Unaudited)</w:t>
            </w: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6"/>
          </w:tcPr>
          <w:p>
            <w:pPr>
              <w:spacing w:after="0"/>
              <w:rPr>
                <w:sz w:val="24"/>
                <w:szCs w:val="24"/>
                <w:color w:val="auto"/>
              </w:rPr>
            </w:pPr>
          </w:p>
        </w:tc>
        <w:tc>
          <w:tcPr>
            <w:tcW w:w="2760" w:type="dxa"/>
            <w:vAlign w:val="bottom"/>
            <w:gridSpan w:val="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4"/>
          </w:tcPr>
          <w:p>
            <w:pPr>
              <w:spacing w:after="0"/>
              <w:rPr>
                <w:sz w:val="24"/>
                <w:szCs w:val="24"/>
                <w:color w:val="auto"/>
              </w:rPr>
            </w:pPr>
          </w:p>
        </w:tc>
        <w:tc>
          <w:tcPr>
            <w:tcW w:w="4900" w:type="dxa"/>
            <w:vAlign w:val="bottom"/>
            <w:gridSpan w:val="8"/>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1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4"/>
                <w:szCs w:val="24"/>
                <w:color w:val="auto"/>
              </w:rPr>
            </w:pPr>
          </w:p>
        </w:tc>
        <w:tc>
          <w:tcPr>
            <w:tcW w:w="7900" w:type="dxa"/>
            <w:vAlign w:val="bottom"/>
            <w:gridSpan w:val="14"/>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4"/>
          </w:tcPr>
          <w:p>
            <w:pPr>
              <w:spacing w:after="0"/>
              <w:rPr>
                <w:sz w:val="24"/>
                <w:szCs w:val="24"/>
                <w:color w:val="auto"/>
              </w:rPr>
            </w:pP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tcPr>
          <w:p>
            <w:pPr>
              <w:spacing w:after="0"/>
              <w:rPr>
                <w:sz w:val="24"/>
                <w:szCs w:val="24"/>
                <w:color w:val="auto"/>
              </w:rPr>
            </w:pPr>
          </w:p>
        </w:tc>
        <w:tc>
          <w:tcPr>
            <w:tcW w:w="6880" w:type="dxa"/>
            <w:vAlign w:val="bottom"/>
            <w:gridSpan w:val="11"/>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1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4"/>
          </w:tcPr>
          <w:p>
            <w:pPr>
              <w:spacing w:after="0"/>
              <w:rPr>
                <w:sz w:val="24"/>
                <w:szCs w:val="24"/>
                <w:color w:val="auto"/>
              </w:rPr>
            </w:pPr>
          </w:p>
        </w:tc>
        <w:tc>
          <w:tcPr>
            <w:tcW w:w="7900" w:type="dxa"/>
            <w:vAlign w:val="bottom"/>
            <w:gridSpan w:val="14"/>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60" w:type="dxa"/>
            <w:vAlign w:val="bottom"/>
            <w:gridSpan w:val="1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9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871"/>
        </w:trPr>
        <w:tc>
          <w:tcPr>
            <w:tcW w:w="94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4140" w:type="dxa"/>
            <w:vAlign w:val="bottom"/>
            <w:gridSpan w:val="11"/>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9"/>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2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6,369.7</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18,379.0</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3,330.2</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83.8 and 83.4 shares outstanding at March 31, 2025, and December 31, 2024,</w:t>
            </w:r>
          </w:p>
        </w:tc>
        <w:tc>
          <w:tcPr>
            <w:tcW w:w="26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40"/>
        </w:trPr>
        <w:tc>
          <w:tcPr>
            <w:tcW w:w="7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12"/>
                <w:szCs w:val="12"/>
                <w:color w:val="auto"/>
              </w:rPr>
            </w:pPr>
          </w:p>
        </w:tc>
        <w:tc>
          <w:tcPr>
            <w:tcW w:w="17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10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8,052.2</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68"/>
        </w:trPr>
        <w:tc>
          <w:tcPr>
            <w:tcW w:w="1840" w:type="dxa"/>
            <w:vAlign w:val="bottom"/>
            <w:tcBorders>
              <w:top w:val="single" w:sz="8" w:color="0000FF"/>
            </w:tcBorders>
          </w:tcPr>
          <w:p>
            <w:pPr>
              <w:spacing w:after="0"/>
              <w:rPr>
                <w:sz w:val="24"/>
                <w:szCs w:val="24"/>
                <w:color w:val="auto"/>
              </w:rPr>
            </w:pPr>
          </w:p>
        </w:tc>
        <w:tc>
          <w:tcPr>
            <w:tcW w:w="62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65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2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62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06"/>
        </w:trPr>
        <w:tc>
          <w:tcPr>
            <w:tcW w:w="18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1840" w:type="dxa"/>
            <w:vAlign w:val="bottom"/>
            <w:tcBorders>
              <w:bottom w:val="single" w:sz="8" w:color="CCEEFF"/>
            </w:tcBorders>
          </w:tcPr>
          <w:p>
            <w:pPr>
              <w:spacing w:after="0"/>
              <w:rPr>
                <w:sz w:val="20"/>
                <w:szCs w:val="20"/>
                <w:color w:val="auto"/>
              </w:rPr>
            </w:pPr>
          </w:p>
        </w:tc>
        <w:tc>
          <w:tcPr>
            <w:tcW w:w="6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3,176.6</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2,279.3</w:t>
            </w:r>
          </w:p>
        </w:tc>
      </w:tr>
      <w:tr>
        <w:trPr>
          <w:trHeight w:val="223"/>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method (loss) income,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29"/>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1840" w:type="dxa"/>
            <w:vAlign w:val="bottom"/>
            <w:shd w:val="clear" w:color="auto" w:fill="CCEEFF"/>
          </w:tcPr>
          <w:p>
            <w:pPr>
              <w:spacing w:after="0"/>
              <w:rPr>
                <w:sz w:val="15"/>
                <w:szCs w:val="15"/>
                <w:color w:val="auto"/>
              </w:rPr>
            </w:pPr>
          </w:p>
        </w:tc>
        <w:tc>
          <w:tcPr>
            <w:tcW w:w="6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4"/>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68"/>
        </w:trPr>
        <w:tc>
          <w:tcPr>
            <w:tcW w:w="1840" w:type="dxa"/>
            <w:vAlign w:val="bottom"/>
            <w:tcBorders>
              <w:top w:val="single" w:sz="8" w:color="0000FF"/>
            </w:tcBorders>
          </w:tcPr>
          <w:p>
            <w:pPr>
              <w:spacing w:after="0"/>
              <w:rPr>
                <w:sz w:val="24"/>
                <w:szCs w:val="24"/>
                <w:color w:val="auto"/>
              </w:rPr>
            </w:pPr>
          </w:p>
        </w:tc>
        <w:tc>
          <w:tcPr>
            <w:tcW w:w="62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72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EARNINGS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2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62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184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1840" w:type="dxa"/>
            <w:vAlign w:val="bottom"/>
            <w:tcBorders>
              <w:bottom w:val="single" w:sz="8" w:color="CCEEFF"/>
            </w:tcBorders>
          </w:tcPr>
          <w:p>
            <w:pPr>
              <w:spacing w:after="0"/>
              <w:rPr>
                <w:sz w:val="20"/>
                <w:szCs w:val="20"/>
                <w:color w:val="auto"/>
              </w:rPr>
            </w:pPr>
          </w:p>
        </w:tc>
        <w:tc>
          <w:tcPr>
            <w:tcW w:w="6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30"/>
        </w:trPr>
        <w:tc>
          <w:tcPr>
            <w:tcW w:w="8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Labcorp Holdings Inc.</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2"/>
                <w:szCs w:val="12"/>
                <w:color w:val="auto"/>
              </w:rPr>
            </w:pPr>
          </w:p>
        </w:tc>
        <w:tc>
          <w:tcPr>
            <w:tcW w:w="98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rPr>
              <w:t>Common</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82"/>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Capital</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Earnings (Loss)</w:t>
            </w:r>
          </w:p>
        </w:tc>
        <w:tc>
          <w:tcPr>
            <w:tcW w:w="120" w:type="dxa"/>
            <w:vAlign w:val="bottom"/>
          </w:tcPr>
          <w:p>
            <w:pPr>
              <w:spacing w:after="0"/>
              <w:rPr>
                <w:sz w:val="15"/>
                <w:szCs w:val="15"/>
                <w:color w:val="auto"/>
              </w:rPr>
            </w:pP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69"/>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8,055.3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7,959.6</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8,052.2</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21"/>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8,307.4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37"/>
        </w:trPr>
        <w:tc>
          <w:tcPr>
            <w:tcW w:w="8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for) operating activities: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unbilled services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(increase) in supplies inventory</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(increase) in prepaid expenses and other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unearned revenue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1"/>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senior notes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2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accounts receivable securitization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45"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(Labcorp, LHI,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1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reports its business in two segments, Diagnostics Laboratories (Dx) and Biopharma Laboratory Services (BLS). During each of the three months ended March 31, 2025 and 2024, Dx and BLS contributed approximately 78% and 22%, respectively, of Revenues to the Company.</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 in the United States (GAAP).</w:t>
      </w:r>
    </w:p>
    <w:p>
      <w:pPr>
        <w:spacing w:after="0" w:line="10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are presented in accordance with the rules and regulations of the Securities and Exchange Commission (SEC) and GAAP for interim reporting. As such, certain notes or other information that are normally required by the SEC or GAAP have been omitted if they substantially duplicate the disclosures contained in the Company’s annual audited Consolidated Financial Statements contained within its Annual Report on Form 10-K for the fiscal year ended December 31, 2024 (Annual Report). Accordingly, these Condensed Consolidated Financial Statements and notes should be read in conjunction with the Consolidated Financial Statements and notes thereto contained in the Company’s Annual Report.</w:t>
      </w:r>
    </w:p>
    <w:p>
      <w:pPr>
        <w:spacing w:after="0" w:line="9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these Condensed Consolidated Financial Statements.</w:t>
      </w:r>
    </w:p>
    <w:p>
      <w:pPr>
        <w:spacing w:after="0" w:line="9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within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revenues by segment and by payers/customer groups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right w:val="single" w:sz="8" w:color="auto"/>
            </w:tcBorders>
          </w:tcPr>
          <w:p>
            <w:pPr>
              <w:spacing w:after="0"/>
              <w:rPr>
                <w:sz w:val="18"/>
                <w:szCs w:val="18"/>
                <w:color w:val="auto"/>
              </w:rPr>
            </w:pPr>
          </w:p>
        </w:tc>
        <w:tc>
          <w:tcPr>
            <w:tcW w:w="3360" w:type="dxa"/>
            <w:vAlign w:val="bottom"/>
            <w:tcBorders>
              <w:top w:val="single" w:sz="8" w:color="auto"/>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0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right w:val="single" w:sz="8" w:color="auto"/>
            </w:tcBorders>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95"/>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10"/>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40" w:type="dxa"/>
            <w:vAlign w:val="bottom"/>
            <w:tcBorders>
              <w:righ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840" w:type="dxa"/>
            <w:vAlign w:val="bottom"/>
            <w:tcBorders>
              <w:right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3"/>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Revenues in the United States (U.S.) were $2,813.8 (84.1%) and $2,654.6 (83.6%) for the three months ended March 31, 2025, and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Unbilled Services, and Unearned Revenue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Pr>
          <w:p>
            <w:pPr>
              <w:spacing w:after="0"/>
              <w:rPr>
                <w:sz w:val="21"/>
                <w:szCs w:val="21"/>
                <w:color w:val="auto"/>
              </w:rPr>
            </w:pPr>
          </w:p>
        </w:tc>
        <w:tc>
          <w:tcPr>
            <w:tcW w:w="2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3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243"/>
        <w:spacing w:after="0" w:line="282"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$68.9 and $51.0 for the three months ended March 31, 2025, and 2024,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3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BLS estimates future expected credit losses on accounts receivable and unbilled services over the remaining collection period of the instrument. The rollforward for the allowance for credit losses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Accounts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6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Receivable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Unbilled Services</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7.6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 offs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impact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March 31,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7"/>
              </w:rPr>
              <w:t>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ind w:right="6920" w:firstLine="8"/>
        <w:spacing w:after="0" w:line="401"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 AND DISPOSITIONS Acquisitions</w:t>
      </w:r>
    </w:p>
    <w:p>
      <w:pPr>
        <w:spacing w:after="0" w:line="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acquired several businesses and related assets for cash of $53.5. The preliminary purchase considerations for these acquisitions were allocated under the acquisition method of accounting to the estimated fair market value of the net assets acquired, including approximately $41.1 in identifiable intangible assets. The amortization periods for the customer relationships and non-compete agreements were 15.0 years and 5.0 years, respectively. A residual amount of tax deductible goodwill, net of measurement period adjustments relating to prior acquisitions of $29.0 was recorded as of March 31, 2025.</w:t>
      </w:r>
    </w:p>
    <w:p>
      <w:pPr>
        <w:spacing w:after="0" w:line="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purchase price allocations for these acquisitions were preliminary at March 31, 2025. The valuation of acquired assets and assumed liabilities include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Business Acquisitions Closed</w:t>
            </w:r>
          </w:p>
        </w:tc>
        <w:tc>
          <w:tcPr>
            <w:tcW w:w="200" w:type="dxa"/>
            <w:vAlign w:val="bottom"/>
          </w:tcPr>
          <w:p>
            <w:pPr>
              <w:spacing w:after="0"/>
              <w:rPr>
                <w:sz w:val="16"/>
                <w:szCs w:val="16"/>
                <w:color w:val="auto"/>
              </w:rPr>
            </w:pPr>
          </w:p>
        </w:tc>
        <w:tc>
          <w:tcPr>
            <w:tcW w:w="1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Acquired During</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Adjustments During the</w:t>
            </w:r>
          </w:p>
        </w:tc>
        <w:tc>
          <w:tcPr>
            <w:tcW w:w="1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During the Three Months</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9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the Three Months Ended</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Ended March 31, 2025</w:t>
            </w: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 acquired</w:t>
            </w:r>
          </w:p>
        </w:tc>
        <w:tc>
          <w:tcPr>
            <w:tcW w:w="16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acquired</w:t>
            </w:r>
          </w:p>
        </w:tc>
        <w:tc>
          <w:tcPr>
            <w:tcW w:w="16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acquisitions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September 17, 2024, the Company announced that it entered into an agreement with Cinven, Inc. to acquire a 15% minority interest in SYNLAB, a leader in medical diagnostic services and specialty testing in Europe, for approximately $151.6 (€140.4). The transaction closed in March 2025 and is accounted for as an equity method investment within the Company’s Condensed Consolidated Financial Statements.</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March 11, 2025, the Company announced that it entered into an agreement with OPKO Health, Inc. to acquire select assets of the laboratory business of BioReference Health, focused on oncology and oncology-related clinical testing services across the U.S. The purchase price for the transaction is up to $225.0, including $192.5 payable at closing and up to $32.5 of additional consideration contingent on performance. The transaction is anticipated to close in the second half of 2025, subject to customary closing conditions for a transaction of this type, including applicable regulatory approvals.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the assets of Beacon Laboratory Benefit Solutions, Inc. for $13.5 and recorded a gain of $4.9 included in Other, net in the Condensed Consolidated Statements of Operations.</w:t>
      </w:r>
    </w:p>
    <w:p>
      <w:pPr>
        <w:spacing w:after="0" w:line="6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Basic earnings per share (Basic EPS) is computed by dividing Net earnings attributable to Labcorp Holdings Inc. by the weighted-average number of common shares outstanding. Diluted earnings per common share (Diluted EPS) is computed by dividing Net earnings attributable to Labcorp Holdings Inc., and if applicable, including the impact of dilutive adjustments by the weighted-average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units, and performance share awards.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3000"/>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following represents a reconciliation of Basic EPS to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2340"/>
        <w:spacing w:after="0" w:line="299" w:lineRule="auto"/>
        <w:rPr>
          <w:sz w:val="20"/>
          <w:szCs w:val="20"/>
          <w:color w:val="auto"/>
        </w:rPr>
      </w:pPr>
      <w:r>
        <w:rPr>
          <w:rFonts w:ascii="Times New Roman" w:cs="Times New Roman" w:eastAsia="Times New Roman" w:hAnsi="Times New Roman"/>
          <w:sz w:val="16"/>
          <w:szCs w:val="16"/>
          <w:color w:val="auto"/>
        </w:rPr>
        <w:t>Net earnings attributable to LHI Weighted-average common shares outstanding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Per common share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8"/>
              </w:rPr>
              <w:t>Basic EPS</w:t>
            </w:r>
          </w:p>
        </w:tc>
        <w:tc>
          <w:tcPr>
            <w:tcW w:w="100" w:type="dxa"/>
            <w:vAlign w:val="bottom"/>
          </w:tcPr>
          <w:p>
            <w:pPr>
              <w:spacing w:after="0"/>
              <w:rPr>
                <w:sz w:val="15"/>
                <w:szCs w:val="15"/>
                <w:color w:val="auto"/>
              </w:rPr>
            </w:pPr>
          </w:p>
        </w:tc>
        <w:tc>
          <w:tcPr>
            <w:tcW w:w="9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Dilutive</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Diluted EPS</w:t>
            </w:r>
          </w:p>
        </w:tc>
        <w:tc>
          <w:tcPr>
            <w:tcW w:w="100" w:type="dxa"/>
            <w:vAlign w:val="bottom"/>
          </w:tcPr>
          <w:p>
            <w:pPr>
              <w:spacing w:after="0"/>
              <w:rPr>
                <w:sz w:val="15"/>
                <w:szCs w:val="15"/>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8"/>
              </w:rPr>
              <w:t>Basic EPS</w:t>
            </w:r>
          </w:p>
        </w:tc>
        <w:tc>
          <w:tcPr>
            <w:tcW w:w="100" w:type="dxa"/>
            <w:vAlign w:val="bottom"/>
          </w:tcPr>
          <w:p>
            <w:pPr>
              <w:spacing w:after="0"/>
              <w:rPr>
                <w:sz w:val="15"/>
                <w:szCs w:val="15"/>
                <w:color w:val="auto"/>
              </w:rPr>
            </w:pPr>
          </w:p>
        </w:tc>
        <w:tc>
          <w:tcPr>
            <w:tcW w:w="9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Dilutive</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Diluted EPS</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Effect</w:t>
            </w:r>
          </w:p>
        </w:tc>
        <w:tc>
          <w:tcPr>
            <w:tcW w:w="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Effect</w:t>
            </w: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1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-453390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-170815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380" w:space="120"/>
            <w:col w:w="5740"/>
          </w:cols>
          <w:pgMar w:left="320" w:top="121" w:right="339" w:bottom="1440" w:gutter="0" w:footer="0" w:header="0"/>
          <w:type w:val="continuous"/>
        </w:sect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EPS because their impact would have been antidilutive:</w:t>
      </w:r>
    </w:p>
    <w:p>
      <w:pPr>
        <w:spacing w:after="0" w:line="11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CCEEFF"/>
            </w:tcBorders>
          </w:tcPr>
          <w:p>
            <w:pPr>
              <w:spacing w:after="0"/>
              <w:rPr>
                <w:sz w:val="21"/>
                <w:szCs w:val="21"/>
                <w:color w:val="auto"/>
              </w:rPr>
            </w:pPr>
          </w:p>
        </w:tc>
        <w:tc>
          <w:tcPr>
            <w:tcW w:w="6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6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changes in the carrying amount of goodwill, net of impairment, were as follows: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1"/>
        </w:trPr>
        <w:tc>
          <w:tcPr>
            <w:tcW w:w="57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Dx</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BLS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6,369.7</w:t>
            </w:r>
          </w:p>
        </w:tc>
      </w:tr>
      <w:tr>
        <w:trPr>
          <w:trHeight w:val="22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6,421.1</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did not record a goodwill or intangible asset impairment charge.</w:t>
      </w:r>
    </w:p>
    <w:p>
      <w:pPr>
        <w:spacing w:after="0" w:line="13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cumulative goodwill impairment for the Company through March 31, 2025, and December 31, 2024 was $648.5 and represents all of the goodwill of the Company’s Early Development Research Laboratories reporting unit within the BLS segment.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identifiable intangible assets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100" w:type="dxa"/>
            <w:vAlign w:val="bottom"/>
            <w:gridSpan w:val="4"/>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Range of</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100" w:type="dxa"/>
            <w:vAlign w:val="bottom"/>
            <w:gridSpan w:val="4"/>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Useful Lives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2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9"/>
                <w:szCs w:val="19"/>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licenses, and technology</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Non-compete agreements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2,931.4</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Canadian and other licenses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0" w:type="dxa"/>
            <w:vAlign w:val="bottom"/>
          </w:tcPr>
          <w:p>
            <w:pPr>
              <w:spacing w:after="0"/>
              <w:rPr>
                <w:sz w:val="1"/>
                <w:szCs w:val="1"/>
                <w:color w:val="auto"/>
              </w:rPr>
            </w:pPr>
          </w:p>
        </w:tc>
      </w:tr>
      <w:tr>
        <w:trPr>
          <w:trHeight w:val="237"/>
        </w:trPr>
        <w:tc>
          <w:tcPr>
            <w:tcW w:w="3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March 31, 2025, and 2024, was $69.6 and $60.1, respectively. The amortization expense of intangible assets is estimated to be $208.4 for the remainder of 2025, $266.4 in 2026, $253.5 in 2027, $245.8 in 2028, $232.1 in 2029, and $1,723.5 thereafter.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consisted of the following:</w:t>
            </w: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4.35% senior notes due 2030</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 senior notes due 2032</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4.80% senior notes due 2034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 facility</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January 13, 2023.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and $102.8 in outstanding letters of credit on the Company’s subfacility as of March 31, 2025. At March 31, 2025, the effective interest rate on the revolving credit facility was 5.44%. The revolving credit facility expires on April 30, 2026.</w:t>
      </w:r>
    </w:p>
    <w:p>
      <w:pPr>
        <w:spacing w:after="0" w:line="1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March 31, 2025, and expects that it will remain in compliance with its existing debt covenants for the next 12 months.</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August 23, 2024, the Company and a bankruptcy-remote special purpose vehicle (SPV) entered into an accounts receivable securitization facility with PNC Bank, National Association (PNC) with a three-year term (AR Facility). The AR Facility allows the Company to borrow from PNC an amount of up to $300.0 through August of 2027 and may increase up to $700.0, subject to the satisfaction of certain conditions.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SPV is a variable interest entity for which the Company is the primary beneficiary. The SPV’s sole business consists of the continuous purchase of receivables from the Company which is used as collateral for the loan with PNC. Although the SPV is included in the Company’s Condensed Consolidated Financial Statements, it is a separate legal entity with separate creditors.</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spacing w:after="0" w:line="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On January 31, 2025, the Company amended its AR Facility (AR Facility Amendment). The AR Facility Amendment increased the amount the Company can borrow from $300.0 to $700.0 through August of 2027. In addition, pursuant to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terms of the AR Facility Amendment (i) the Toronto-Dominion Bank became a party to the underlying receivables purchase agreement as a committed purchaser through January 2026 and (ii) MUFG Bank Ltd. and certain of its related conduit purchasers became parties to the underlying receivables purchase agreement as purchasers and the loans or investments of such conduit purchasers may accrue interest as specified in the AR Facility Amendment and receivables purchase agreement.</w:t>
      </w:r>
    </w:p>
    <w:p>
      <w:pPr>
        <w:spacing w:after="0" w:line="8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received loan proceeds of $225.0 under the AR Facility, which is included in cash from financing activities in the Condensed Consolidated Statement of Cash Flows.</w:t>
      </w:r>
    </w:p>
    <w:p>
      <w:pPr>
        <w:spacing w:after="0" w:line="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PREFERRED STOCK AND COMMON SHAREHOLDERS’ EQUITY</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(Common Stock). The Company is authorized to issue up to 30.0 shares of preferred stock, par value $0.10 per share. There were no preferred shares outstanding at March 31, 2025, and December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changes in the Company’s shares of Common Stock outstanding are summarized below:</w:t>
            </w:r>
          </w:p>
        </w:tc>
        <w:tc>
          <w:tcPr>
            <w:tcW w:w="3640" w:type="dxa"/>
            <w:vAlign w:val="bottom"/>
          </w:tcPr>
          <w:p>
            <w:pPr>
              <w:spacing w:after="0"/>
              <w:rPr>
                <w:sz w:val="20"/>
                <w:szCs w:val="20"/>
                <w:color w:val="auto"/>
              </w:rPr>
            </w:pPr>
          </w:p>
        </w:tc>
      </w:tr>
      <w:tr>
        <w:trPr>
          <w:trHeight w:val="398"/>
        </w:trPr>
        <w:tc>
          <w:tcPr>
            <w:tcW w:w="7600" w:type="dxa"/>
            <w:vAlign w:val="bottom"/>
            <w:tcBorders>
              <w:bottom w:val="single" w:sz="8" w:color="CCEEFF"/>
            </w:tcBorders>
          </w:tcPr>
          <w:p>
            <w:pPr>
              <w:spacing w:after="0"/>
              <w:rPr>
                <w:sz w:val="24"/>
                <w:szCs w:val="24"/>
                <w:color w:val="auto"/>
              </w:rPr>
            </w:pPr>
          </w:p>
        </w:tc>
        <w:tc>
          <w:tcPr>
            <w:tcW w:w="3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76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3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within the Condensed Consolidated Balance Sheets unless subject to limitation or the balance in Additional paid-in-capital is exhausted. Remaining amounts are recognized as a reduction in Retained earnings within the Company’s Condensed Consolidated Balance Sheets.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each of the three months ended March 31, 2025 and 2024 the Company did not repurchase any shares of its Common Stock. At March 31, 2025, the Company had outstanding authorization from its board of directors (Board) to purchase up to $1,280.4 maximum value of the Company’s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March 31, 2025, and 2024, a cash dividend of $0.72 per share of Common Stock was declared and paid.</w:t>
      </w:r>
    </w:p>
    <w:p>
      <w:pPr>
        <w:spacing w:after="0" w:line="13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April 10, 2025, the Company announced a cash dividend of $0.72 per share of Common Stock, or approximately $61.2 in the aggregate. The dividend will be paid on June 11, 2025, to stockholders of record of all issued and outstanding shares of Common Stock as of the close of business on May 29, 2025. The declaration and payment of any future dividends will be at the discretion of the Board.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Foreign Currency</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Net Benefit Plan</w:t>
            </w:r>
          </w:p>
        </w:tc>
        <w:tc>
          <w:tcPr>
            <w:tcW w:w="120" w:type="dxa"/>
            <w:vAlign w:val="bottom"/>
          </w:tcPr>
          <w:p>
            <w:pPr>
              <w:spacing w:after="0"/>
              <w:rPr>
                <w:sz w:val="16"/>
                <w:szCs w:val="16"/>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62"/>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94"/>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9"/>
                <w:szCs w:val="19"/>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6"/>
                <w:szCs w:val="16"/>
                <w:color w:val="auto"/>
              </w:rPr>
              <w:t>Earnings (Loss)</w:t>
            </w:r>
          </w:p>
        </w:tc>
        <w:tc>
          <w:tcPr>
            <w:tcW w:w="0" w:type="dxa"/>
            <w:vAlign w:val="bottom"/>
          </w:tcPr>
          <w:p>
            <w:pPr>
              <w:spacing w:after="0"/>
              <w:rPr>
                <w:sz w:val="1"/>
                <w:szCs w:val="1"/>
                <w:color w:val="auto"/>
              </w:rPr>
            </w:pPr>
          </w:p>
        </w:tc>
      </w:tr>
      <w:tr>
        <w:trPr>
          <w:trHeight w:val="230"/>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30"/>
        </w:trPr>
        <w:tc>
          <w:tcPr>
            <w:tcW w:w="6900" w:type="dxa"/>
            <w:vAlign w:val="bottom"/>
          </w:tcPr>
          <w:p>
            <w:pPr>
              <w:jc w:val="center"/>
              <w:ind w:right="4770"/>
              <w:spacing w:after="0"/>
              <w:rPr>
                <w:sz w:val="20"/>
                <w:szCs w:val="20"/>
                <w:color w:val="auto"/>
              </w:rPr>
            </w:pPr>
            <w:r>
              <w:rPr>
                <w:rFonts w:ascii="Times New Roman" w:cs="Times New Roman" w:eastAsia="Times New Roman" w:hAnsi="Times New Roman"/>
                <w:sz w:val="18"/>
                <w:szCs w:val="18"/>
                <w:color w:val="auto"/>
                <w:w w:val="99"/>
              </w:rPr>
              <w:t>Current year adjustments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jc w:val="center"/>
              <w:ind w:right="4750"/>
              <w:spacing w:after="0"/>
              <w:rPr>
                <w:sz w:val="20"/>
                <w:szCs w:val="20"/>
                <w:color w:val="auto"/>
              </w:rPr>
            </w:pPr>
            <w:r>
              <w:rPr>
                <w:rFonts w:ascii="Times New Roman" w:cs="Times New Roman" w:eastAsia="Times New Roman" w:hAnsi="Times New Roman"/>
                <w:sz w:val="18"/>
                <w:szCs w:val="18"/>
                <w:color w:val="auto"/>
                <w:w w:val="99"/>
              </w:rPr>
              <w:t>Tax effect of adjustments</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900" w:type="dxa"/>
            <w:vAlign w:val="bottom"/>
            <w:tcBorders>
              <w:top w:val="single" w:sz="8" w:color="CCEEFF"/>
            </w:tcBorders>
          </w:tcPr>
          <w:p>
            <w:pPr>
              <w:jc w:val="center"/>
              <w:ind w:right="4830"/>
              <w:spacing w:after="0"/>
              <w:rPr>
                <w:sz w:val="20"/>
                <w:szCs w:val="20"/>
                <w:color w:val="auto"/>
              </w:rPr>
            </w:pPr>
            <w:r>
              <w:rPr>
                <w:rFonts w:ascii="Times New Roman" w:cs="Times New Roman" w:eastAsia="Times New Roman" w:hAnsi="Times New Roman"/>
                <w:sz w:val="18"/>
                <w:szCs w:val="18"/>
                <w:color w:val="auto"/>
                <w:w w:val="99"/>
              </w:rPr>
              <w:t>Balance at March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35"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The Company (and/or its subsidiaries and affiliates)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investigative demands, from governmental agencies, Medicare or Medicaid payers, and managed care organizations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10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9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Financial Accounting Standards Board Accounting Standards Codification Topic 450 “Contingencies,” the Company establishes reserves for judicial, regulatory, and arbitration matters outside the aggregate legal reserve if and when those matters present loss contingencies that are both probable and reasonably estimable. When loss contingencies are not both probable and reasonably estimable, the Company does not establish separate reserves.</w:t>
      </w:r>
    </w:p>
    <w:p>
      <w:pPr>
        <w:spacing w:after="0" w:line="10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8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On December 31, 2024, the Texas Court of Appeals issued a decision reversing the District Court’s order granting the Company’s Motion for Partial Summary Judgement. On February 28, 2025, the Company filed in the Texas Supreme Court a Petition for Review with respect to the Texas Court of Appeals decision. The Company will vigorously defend the lawsuit.</w:t>
      </w:r>
    </w:p>
    <w:p>
      <w:pPr>
        <w:spacing w:after="0" w:line="98"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On or about October 31, 2024, Labcorp and the Plaintiff (on behalf of the putative class) entered into a Settlement Agreement. That settlement is awaiting preliminary approval by the court.</w:t>
      </w:r>
    </w:p>
    <w:p>
      <w:pPr>
        <w:spacing w:after="0" w:line="10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responded to the DOJ.</w:t>
      </w:r>
    </w:p>
    <w:p>
      <w:pPr>
        <w:spacing w:after="0" w:line="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9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Twenty-three putative class action lawsuits were filed against the Company related to the AMCA Incident in various U.S. District Courts. Numerous similar lawsuits have been filed against other healthcare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per se,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On November 1, 2024, Plaintiffs served their motion for class certification. The Company will vigorously defend the remaining claims in the multi-district litigation.</w:t>
      </w:r>
    </w:p>
    <w:p>
      <w:pPr>
        <w:spacing w:after="0" w:line="10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asserts 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9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 Company filed a Petition for Writ of Certiorari with the United States Supreme Court, which was granted on January 24, 2025.</w:t>
      </w:r>
    </w:p>
    <w:p>
      <w:pPr>
        <w:spacing w:after="0" w:line="95"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sought monetary damages, enhancement of those damages for willfulness, and recovery of attorney’s fees and costs. On September 28, 2022, a jury rendered a verdict in favor of the Plaintiff on the sole asserted patent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On January 23, 2025, the court issued an order awarding Plaintiff post-verdict supplemental damages of $2.6, an ongoing royalty of one hundred dollars and 00/100 cents per test through the life of the patent at issue, pre- and post-judgment interest, and other relief. In January and February 2025, the trial court entered orders denying the Company’s post-trial motions.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that decision was upheld on appeal before the United States Court of Appeals for the Federal Circuit in January 2025.</w:t>
      </w:r>
    </w:p>
    <w:p>
      <w:pPr>
        <w:spacing w:after="0" w:line="95"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w:t>
      </w:r>
    </w:p>
    <w:p>
      <w:pPr>
        <w:spacing w:after="0" w:line="104"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8"/>
          <w:szCs w:val="18"/>
          <w:color w:val="auto"/>
        </w:rPr>
        <w:t xml:space="preserve">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The second lawsuit seeks to recover civil penalties and recovery of attorney’s fees 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The court granted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on March 17, 2023, and of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on November 29, 2023. The settlement funds for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Bermejo II </w:t>
      </w:r>
      <w:r>
        <w:rPr>
          <w:rFonts w:ascii="Times New Roman" w:cs="Times New Roman" w:eastAsia="Times New Roman" w:hAnsi="Times New Roman"/>
          <w:sz w:val="18"/>
          <w:szCs w:val="18"/>
          <w:color w:val="auto"/>
        </w:rPr>
        <w:t>settlements have been transferred to a claims administrator for processing. Once the claims administration is completed, the parties will seek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settlement approval from the court.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On November 23, 2021, the Company was served with a single plaintiff Private Attorney General Act lawsuit, </w:t>
      </w:r>
      <w:r>
        <w:rPr>
          <w:rFonts w:ascii="Times New Roman" w:cs="Times New Roman" w:eastAsia="Times New Roman" w:hAnsi="Times New Roman"/>
          <w:sz w:val="18"/>
          <w:szCs w:val="18"/>
          <w:i w:val="1"/>
          <w:iCs w:val="1"/>
          <w:color w:val="auto"/>
        </w:rPr>
        <w:t>Poole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 filed in the Superior Court of California, County of Kern, alleging various violations of the California Labor Code, including that Plaintiff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properly paid wages owed, not properly paid meal and rest break premiums, not reimbursed for certain business related expenses, and other allegations including the untimely payment of wages and receipt of inaccurate wage statements. The lawsuit sought monetary damages, civil penalties, and recovery of attorney’s fees and costs. The case was removed to the U.S. District Court for the Eastern District of California. The parties entered into a settlement agreement in January 2025 and will seek dismissal of the action.</w:t>
      </w:r>
    </w:p>
    <w:p>
      <w:pPr>
        <w:spacing w:after="0" w:line="10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September 27, 2024, the Court denied the Motion to Dismiss the Amended Complaint. The Company will vigorously defend the lawsuit.</w:t>
      </w:r>
    </w:p>
    <w:p>
      <w:pPr>
        <w:spacing w:after="0" w:line="9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has responded to this request.</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responded to the DOJ.</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 AND DERIVATIVE INSTRUMENTS AND HEDGING ACTIVITIES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gridSpan w:val="8"/>
          </w:tcPr>
          <w:p>
            <w:pPr>
              <w:jc w:val="center"/>
              <w:ind w:right="47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w:t>
            </w: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Fair Value at</w:t>
            </w: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9"/>
          </w:tcPr>
          <w:p>
            <w:pPr>
              <w:jc w:val="center"/>
              <w:ind w:right="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Balance Sheets Classification</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March 31, 2025</w:t>
            </w:r>
          </w:p>
        </w:tc>
        <w:tc>
          <w:tcPr>
            <w:tcW w:w="14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auto"/>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Accrued expenses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149"/>
        </w:trPr>
        <w:tc>
          <w:tcPr>
            <w:tcW w:w="42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other/Other liabilities</w:t>
            </w:r>
          </w:p>
        </w:tc>
        <w:tc>
          <w:tcPr>
            <w:tcW w:w="12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900" w:type="dxa"/>
            <w:vAlign w:val="bottom"/>
            <w:gridSpan w:val="3"/>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00"/>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gridSpan w:val="8"/>
          </w:tcPr>
          <w:p>
            <w:pPr>
              <w:jc w:val="center"/>
              <w:ind w:right="47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color w:val="auto"/>
              </w:rPr>
              <w:t>December 31, 2024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Condensed Consolidated</w:t>
            </w: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Fair Value at</w:t>
            </w: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9"/>
          </w:tcPr>
          <w:p>
            <w:pPr>
              <w:jc w:val="center"/>
              <w:ind w:right="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Balance Sheets Classification</w:t>
            </w:r>
          </w:p>
        </w:tc>
        <w:tc>
          <w:tcPr>
            <w:tcW w:w="12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2024</w:t>
            </w:r>
          </w:p>
        </w:tc>
        <w:tc>
          <w:tcPr>
            <w:tcW w:w="14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49"/>
        </w:trPr>
        <w:tc>
          <w:tcPr>
            <w:tcW w:w="42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12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900" w:type="dxa"/>
            <w:vAlign w:val="bottom"/>
            <w:gridSpan w:val="3"/>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440" w:type="dxa"/>
            <w:vAlign w:val="bottom"/>
            <w:tcBorders>
              <w:bottom w:val="single" w:sz="8" w:color="auto"/>
            </w:tcBorders>
            <w:gridSpan w:val="8"/>
          </w:tcPr>
          <w:p>
            <w:pPr>
              <w:jc w:val="right"/>
              <w:ind w:right="190"/>
              <w:spacing w:after="0"/>
              <w:rPr>
                <w:sz w:val="20"/>
                <w:szCs w:val="20"/>
                <w:color w:val="auto"/>
              </w:rPr>
            </w:pPr>
            <w:r>
              <w:rPr>
                <w:rFonts w:ascii="Times New Roman" w:cs="Times New Roman" w:eastAsia="Times New Roman" w:hAnsi="Times New Roman"/>
                <w:sz w:val="18"/>
                <w:szCs w:val="18"/>
                <w:color w:val="auto"/>
              </w:rPr>
              <w:t>Contingent Consideration</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derivative financial instruments have been determined based on market value equivalents at the balance sheet date, taking into account the current interest rate environment and therefore were classified as Level 2 measurements in the fair value hierarchy.</w:t>
      </w:r>
    </w:p>
    <w:p>
      <w:pPr>
        <w:spacing w:after="0" w:line="6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an employee-funded deferred compensation plan (DCP). A participant’s deferrals are allocated by the participant to one or more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11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and rates. As the fair value measure is based on significant inputs that are not observable in the market, they are categorized as Level 3.</w:t>
      </w:r>
    </w:p>
    <w:p>
      <w:pPr>
        <w:spacing w:after="0" w:line="14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Although recorded at amortized cost on the Company’s Condensed Consolidated Balance Sheets, the fair market value of the Company’s senior notes was $4,833.5 and $5,762.6 as of March 31, 2025, and December 31, 2024, respectively. The Company’s senior notes are considered Level 2 instruments, as the fair market values of these instruments are based on observable market pricing.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fixed-to-variable interest rate swap agreements for its 2.70% senior notes due 2031 with an aggregate notional amount of $500.0 and variable interest rates based initially on the three-month London Interbank Offered Rate and later changed to the Secured Overnight Financing Rate in 2023, plus 1.7060%.</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Company’s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Condensed Consolidated Statements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terminated its 2024 and 2025 USD to Swiss Franc cross currency swaps and entered into two new swaps, each with a notional value of $300.0 and maturity dates of 2031 and 2034, respectively.</w:t>
      </w:r>
    </w:p>
    <w:p>
      <w:pPr>
        <w:spacing w:after="0" w:line="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entered into five new USD to Swiss Franc cross currency swaps, with an aggregate notional value of $600.0, of which $300.0 matures in 2029 and $300.0 matures in 2034.</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above instruments are designated as a hedge against the impact of foreign exchange movements on its net investment in a Swiss subsidiary. Changes in the fair value of the cross-currency swaps are charged or credited through Accumulated other comprehensive income in the Condensed Consolidated Balance Sheet until the hedged item is recognized in earnings. The cumulative amount of the fair value hedging adjustments is recognized as currency translation within the Condensed Consolidated Statement of Comprehensive Earnings.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provides information regarding the location and amount of pretax gains of derivatives designated in fair value hedging relationships:</w:t>
      </w:r>
    </w:p>
    <w:p>
      <w:pPr>
        <w:spacing w:after="0" w:line="173"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color w:val="auto"/>
        </w:rPr>
        <w:t>Amounts included in other comprehensive</w:t>
      </w:r>
    </w:p>
    <w:p>
      <w:pPr>
        <w:jc w:val="center"/>
        <w:ind w:left="7720"/>
        <w:spacing w:after="0"/>
        <w:rPr>
          <w:sz w:val="20"/>
          <w:szCs w:val="20"/>
          <w:color w:val="auto"/>
        </w:rPr>
      </w:pPr>
      <w:r>
        <w:rPr>
          <w:rFonts w:ascii="Times New Roman" w:cs="Times New Roman" w:eastAsia="Times New Roman" w:hAnsi="Times New Roman"/>
          <w:sz w:val="18"/>
          <w:szCs w:val="18"/>
          <w:color w:val="auto"/>
        </w:rPr>
        <w:t>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3200" w:type="dxa"/>
            <w:vAlign w:val="bottom"/>
            <w:tcBorders>
              <w:top w:val="single" w:sz="8" w:color="auto"/>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5"/>
              </w:rPr>
              <w:t>17.0</w:t>
            </w: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SUPPLEMENTAL CASH FLOW INFORMATION</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4"/>
        </w:trPr>
        <w:tc>
          <w:tcPr>
            <w:tcW w:w="7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5"/>
              </w:rPr>
              <w:t>71.6</w:t>
            </w:r>
          </w:p>
        </w:tc>
      </w:tr>
      <w:tr>
        <w:trPr>
          <w:trHeight w:val="230"/>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5"/>
              </w:rPr>
              <w:t>21.5</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19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months ended March 31, 2025, and 2024.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(CODM) for evaluating segment performance and deciding how to allocate resources to segments. The Company’s chief executive officer has been identified as the CODM.</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segment performance measure excludes the amortization of intangibles and other assets, restructuring and other charges, goodwill and other asset impairments, and certain corporate charges for items such as transaction costs, and other special items. This aligns with how the CODM now evaluates segment performance and allocates resources. Other operating expenses are comprised primarily of rent, maintenance, consulting sendouts, utilities, travel and entertainment, and other segment expenses, including shipping costs for Dx. Segment asset information is not presented because it is not used by the CODM.</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Intercompany</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eliminations and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Dx</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other</w:t>
            </w:r>
          </w:p>
        </w:tc>
        <w:tc>
          <w:tcPr>
            <w:tcW w:w="30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3,345.1</w:t>
            </w:r>
          </w:p>
        </w:tc>
      </w:t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Intercompany</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eliminations and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Dx</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other</w:t>
            </w:r>
          </w:p>
        </w:tc>
        <w:tc>
          <w:tcPr>
            <w:tcW w:w="30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3,176.6</w:t>
            </w:r>
          </w:p>
        </w:tc>
      </w:t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income,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1"/>
        </w:trPr>
        <w:tc>
          <w:tcPr>
            <w:tcW w:w="5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220"/>
        <w:spacing w:after="0" w:line="39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283"/>
        <w:spacing w:after="0" w:line="246" w:lineRule="auto"/>
        <w:rPr>
          <w:sz w:val="20"/>
          <w:szCs w:val="20"/>
          <w:color w:val="auto"/>
        </w:rPr>
      </w:pPr>
      <w:r>
        <w:rPr>
          <w:rFonts w:ascii="Times New Roman" w:cs="Times New Roman" w:eastAsia="Times New Roman" w:hAnsi="Times New Roman"/>
          <w:sz w:val="18"/>
          <w:szCs w:val="18"/>
          <w:color w:val="auto"/>
        </w:rPr>
        <w:t>In this Quarterly Report on Form 10-Q (Quarterly Report), 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together with its subsidiaries (Labcorp or the Company) has made,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the Annual Report on Form 10-K, and in the Company’s other public filings, press releases, and discussions with Company management, including:</w:t>
      </w:r>
    </w:p>
    <w:p>
      <w:pPr>
        <w:spacing w:after="0" w:line="199" w:lineRule="exact"/>
        <w:rPr>
          <w:sz w:val="20"/>
          <w:szCs w:val="20"/>
          <w:color w:val="auto"/>
        </w:rPr>
      </w:pPr>
    </w:p>
    <w:p>
      <w:pPr>
        <w:jc w:val="both"/>
        <w:ind w:left="660" w:hanging="57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United States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60" w:hanging="571"/>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the development and commercialization of laboratory-developed tests (LDTs), and the delivery of clinical laboratory test results, including, but not limited to, the U.S. Clinical Laboratory Improvement Act of 1967, the U.S. Clinical Laboratory Improvement Amendments of 1988, the European Union In Vitro Diagnostics Regulation, and similar laws and regulations in jurisdictions in which the Company conducts business;</w:t>
      </w:r>
    </w:p>
    <w:p>
      <w:pPr>
        <w:spacing w:after="0" w:line="75"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 to comply with the applicable regulations of pharmaceutical and medical device regulators affecting the approval, availability of, and the selling and marketing of diagnostic tests, including LDTs, drug development, or the conduct of drug development and medical device and diagnostic studies and trials, including regulations and policies of the U.S. Food and Drug Administration (FDA), the U.S. Department of Agriculture,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Medicine and Healthcare products Regulatory Agency in the United Kingdom, the National Medical Products Administration in China, the Pharmaceutical and Medical Devices Agency in Japan, the European Union, the European Medicines Agency, and similar regulations and policies of agencies in other jurisdictions in which the Company conducts business;</w:t>
      </w:r>
    </w:p>
    <w:p>
      <w:pPr>
        <w:spacing w:after="0" w:line="68" w:lineRule="exact"/>
        <w:rPr>
          <w:sz w:val="20"/>
          <w:szCs w:val="20"/>
          <w:color w:val="auto"/>
        </w:rPr>
      </w:pPr>
    </w:p>
    <w:p>
      <w:pPr>
        <w:jc w:val="both"/>
        <w:ind w:left="660" w:hanging="571"/>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67" w:lineRule="exact"/>
        <w:rPr>
          <w:rFonts w:ascii="Times New Roman" w:cs="Times New Roman" w:eastAsia="Times New Roman" w:hAnsi="Times New Roman"/>
          <w:sz w:val="18"/>
          <w:szCs w:val="18"/>
          <w:color w:val="auto"/>
        </w:rPr>
      </w:pPr>
    </w:p>
    <w:p>
      <w:pPr>
        <w:ind w:left="640" w:hanging="55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7" w:lineRule="exact"/>
        <w:rPr>
          <w:rFonts w:ascii="Times New Roman" w:cs="Times New Roman" w:eastAsia="Times New Roman" w:hAnsi="Times New Roman"/>
          <w:sz w:val="18"/>
          <w:szCs w:val="18"/>
          <w:color w:val="auto"/>
        </w:rPr>
      </w:pPr>
    </w:p>
    <w:p>
      <w:pPr>
        <w:jc w:val="both"/>
        <w:ind w:left="660" w:right="20" w:hanging="571"/>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67" w:lineRule="exact"/>
        <w:rPr>
          <w:rFonts w:ascii="Times New Roman" w:cs="Times New Roman" w:eastAsia="Times New Roman" w:hAnsi="Times New Roman"/>
          <w:sz w:val="18"/>
          <w:szCs w:val="18"/>
          <w:color w:val="auto"/>
        </w:rPr>
      </w:pPr>
    </w:p>
    <w:p>
      <w:pPr>
        <w:jc w:val="both"/>
        <w:ind w:left="660" w:hanging="571"/>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5"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managed care organizations (MCOs) as a result of changes in business models, including risk based or network approaches, out-sourced laboratory network management or utilization management companies, or other changes in strategy or business models by MCOs;</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 acquired businesses, including due to items not discovered in the due diligence process, and the impact on the Company’s cash position, levels of indebtedness, and stock price;</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or the loss of significant personnel as a result of illness, increased competition for talent, wage growth, or other market factors beyond the Company’s control;</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53"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offerings and defend against challenges to those rights;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offerings or operate its business;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geopolitical crises, including terrorism and war; public health crises and disease epidemics and pandemics, including, but not limited to the continued impact of COVID-19; and other events beyond the Company’s control;</w:t>
      </w:r>
    </w:p>
    <w:p>
      <w:pPr>
        <w:spacing w:after="0" w:line="71"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products used in the performance of testing;</w:t>
      </w:r>
    </w:p>
    <w:p>
      <w:pPr>
        <w:spacing w:after="0" w:line="117" w:lineRule="exact"/>
        <w:rPr>
          <w:rFonts w:ascii="Times New Roman" w:cs="Times New Roman" w:eastAsia="Times New Roman" w:hAnsi="Times New Roman"/>
          <w:sz w:val="18"/>
          <w:szCs w:val="18"/>
          <w:color w:val="auto"/>
        </w:rPr>
      </w:pPr>
    </w:p>
    <w:p>
      <w:pPr>
        <w:jc w:val="both"/>
        <w:ind w:left="660" w:hanging="571"/>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the failure of the Company or its third-party suppliers and vendors to maintain the security of business information or systems or to protect against cybersecurity incidents such as denial of service attacks, malware, ransomware, and computer viruses, delays or failures in the development and implementation of the Company’s automation platforms, or adverse effects from the use of or regulation of artificial intelligence (AI) and machine learning tools, any of which could result in a negative effect on the Company’s performance of services, a loss of business or increased costs, delays in cash collections,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80"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6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3"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3"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3" w:lineRule="exact"/>
        <w:rPr>
          <w:rFonts w:ascii="Times New Roman" w:cs="Times New Roman" w:eastAsia="Times New Roman" w:hAnsi="Times New Roman"/>
          <w:sz w:val="18"/>
          <w:szCs w:val="18"/>
          <w:color w:val="auto"/>
        </w:rPr>
      </w:pPr>
    </w:p>
    <w:p>
      <w:pPr>
        <w:jc w:val="both"/>
        <w:ind w:left="660" w:hanging="571"/>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(FCPA), the U.K. Bribery Act, other applicable anti-corruption laws and regulations, trade sanction laws and regulations, and economic, political, legal, and other operational risks associated with foreign jurisdictions;</w:t>
      </w:r>
    </w:p>
    <w:p>
      <w:pPr>
        <w:spacing w:after="0" w:line="6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 and</w:t>
      </w:r>
    </w:p>
    <w:p>
      <w:pPr>
        <w:spacing w:after="0" w:line="117" w:lineRule="exact"/>
        <w:rPr>
          <w:rFonts w:ascii="Times New Roman" w:cs="Times New Roman" w:eastAsia="Times New Roman" w:hAnsi="Times New Roman"/>
          <w:sz w:val="18"/>
          <w:szCs w:val="18"/>
          <w:color w:val="auto"/>
        </w:rPr>
      </w:pPr>
    </w:p>
    <w:p>
      <w:pPr>
        <w:jc w:val="both"/>
        <w:ind w:left="660" w:hanging="571"/>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completed spin-off of the Company’s former clinical development and commercialization services business (Spin-off) Fortrea Holdings Inc. (Fortrea), including but not limited to factors that could adversely affect the Company’s ability to realize the expected benefits of the Spin-off, the failure of the Spin-off to qualify as a tax-free transaction for U.S. federal income tax purposes.</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three months ended March 31, 2025, the Company’s revenues were $3,345.1, an increase of 5.3% from $3,176.6 for the corresponding period in 2024. The 5.3% increase for three months ended March 31, 2025, as compared to the corresponding period in 2024 was due to acquisitions, net of divestitures, of 3.7% and organic revenue of 2.1%, partially offset by unfavorable foreign currency translation of 0.5%.</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defines organic growth as the change in revenue excluding the year-over-year impact of acquisitions, divestitures, and currency. Acquisition and divestiture impact is considered for a 12-month period following the closing of each transaction. On June 30, 2023, the Company completed the Spin-off.</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212529"/>
        </w:rPr>
        <w:t>The following tables present the financial measures that management considers to be the most significant indicators of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performance.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74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336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7"/>
        </w:trPr>
        <w:tc>
          <w:tcPr>
            <w:tcW w:w="740" w:type="dxa"/>
            <w:vAlign w:val="bottom"/>
            <w:tcBorders>
              <w:bottom w:val="single" w:sz="8" w:color="CCEEFF"/>
            </w:tcBorders>
          </w:tcPr>
          <w:p>
            <w:pPr>
              <w:spacing w:after="0"/>
              <w:rPr>
                <w:sz w:val="20"/>
                <w:szCs w:val="20"/>
                <w:color w:val="auto"/>
              </w:rPr>
            </w:pPr>
          </w:p>
        </w:tc>
        <w:tc>
          <w:tcPr>
            <w:tcW w:w="54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2,629.6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3,345.1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0"/>
        </w:trPr>
        <w:tc>
          <w:tcPr>
            <w:tcW w:w="7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revenues for the three months ended March 31, 2025, were $2,629.6, an increase of 6.0% over $2,479.7 in the first quarter of 2024. The increase was due to acquisitions, net of divestitures, of 4.7% and organic revenue of 1.6%, which includes an unfavorable impact from weather and one fewer revenue day, partially offset by unfavorable foreign currency translation of 0.3%.</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volume, measured by requisitions, increased by 3.0% as acquisition volume, net of divestitures, contributed 2.1% and organic volume increased by 0.9%. Price/mix increased by 3.0% due to acquisitions, net of divestitures, of 2.6% and organic growth of 0.7%, partially offset by unfavorable foreign currency translation of 0.3%.</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BLS revenues for the three months ended March 31, 2025, were $721.3, an increase of 1.5% over $710.9 in the first quarter of 2024. The increase was due to organic growth of 2.6%, partially offset by unfavorable foreign currency translation of 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4"/>
        </w:trPr>
        <w:tc>
          <w:tcPr>
            <w:tcW w:w="132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40" w:type="dxa"/>
            <w:vAlign w:val="bottom"/>
          </w:tcPr>
          <w:p>
            <w:pPr>
              <w:spacing w:after="0"/>
              <w:rPr>
                <w:sz w:val="24"/>
                <w:szCs w:val="24"/>
                <w:color w:val="auto"/>
              </w:rPr>
            </w:pPr>
          </w:p>
        </w:tc>
      </w:tr>
      <w:tr>
        <w:trPr>
          <w:trHeight w:val="237"/>
        </w:trPr>
        <w:tc>
          <w:tcPr>
            <w:tcW w:w="1320" w:type="dxa"/>
            <w:vAlign w:val="bottom"/>
            <w:tcBorders>
              <w:bottom w:val="single" w:sz="8" w:color="CCEEFF"/>
            </w:tcBorders>
          </w:tcPr>
          <w:p>
            <w:pPr>
              <w:spacing w:after="0"/>
              <w:rPr>
                <w:sz w:val="20"/>
                <w:szCs w:val="20"/>
                <w:color w:val="auto"/>
              </w:rPr>
            </w:pPr>
          </w:p>
        </w:tc>
        <w:tc>
          <w:tcPr>
            <w:tcW w:w="46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Cost of revenues increased 5.2% during the three months ended March 31, 2025, as compared with the corresponding period in 2024. Cost of revenues as a percentage of revenues during the three months ended March 31, 2025, decreased to 71.7% as compared to 71.8% in the corresponding period in 2024. This decrease in cost of revenues as a percent of revenues was primarily due to increased demand and LaunchPad savings, partially offset by higher personnel costs.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4"/>
        </w:trPr>
        <w:tc>
          <w:tcPr>
            <w:tcW w:w="358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368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40" w:type="dxa"/>
            <w:vAlign w:val="bottom"/>
          </w:tcPr>
          <w:p>
            <w:pPr>
              <w:spacing w:after="0"/>
              <w:rPr>
                <w:sz w:val="24"/>
                <w:szCs w:val="24"/>
                <w:color w:val="auto"/>
              </w:rPr>
            </w:pPr>
          </w:p>
        </w:tc>
      </w:tr>
      <w:tr>
        <w:trPr>
          <w:trHeight w:val="237"/>
        </w:trPr>
        <w:tc>
          <w:tcPr>
            <w:tcW w:w="358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was 16.3% and 16.0% during the three months ended March 31, 2025, and 2024, respectively. The increase is primarily due to higher personnel costs and the impact from Invitae. partially offset by LaunchPad savings and increased demand.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350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6"/>
        </w:trPr>
        <w:tc>
          <w:tcPr>
            <w:tcW w:w="350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bl>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March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3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71"/>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9"/>
        </w:trPr>
        <w:tc>
          <w:tcPr>
            <w:tcW w:w="18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7"/>
        </w:trPr>
        <w:tc>
          <w:tcPr>
            <w:tcW w:w="184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impairment charges for the three months ended March 31, 2024, were primarily due to the decommissioning of a robotic asset.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26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7"/>
        </w:trPr>
        <w:tc>
          <w:tcPr>
            <w:tcW w:w="2620" w:type="dxa"/>
            <w:vAlign w:val="bottom"/>
            <w:tcBorders>
              <w:bottom w:val="single" w:sz="8" w:color="CCEEFF"/>
            </w:tcBorders>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r>
    </w:tbl>
    <w:p>
      <w:pPr>
        <w:spacing w:after="0" w:line="184"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net restructuring and other charges of $6.4. The charges were comprised of $7.6 related to severance and other personnel costs. The charges were adjusted by the reversal of a previously established liability of $1.1 in unused facility-related costs and $0.1 in unused severance-related costs.</w:t>
      </w:r>
    </w:p>
    <w:p>
      <w:pPr>
        <w:spacing w:after="0" w:line="81"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net restructuring and other charges of $5.0. The charges were comprised of $5.8 related to severance. The charges were adjusted by the reversal of a previously established liability of $0.8 in facility-related costs.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128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49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spacing w:after="0" w:line="130"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interest expense increased 19.4% as compared with the corresponding period in 2024. The increase is primarily due to a higher average amount of total debt outstanding during the three months ended March 31, 2025, when compared to the three months ended March 31,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Equity Method (Loss) Income, Net</w:t>
            </w: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9"/>
        </w:trPr>
        <w:tc>
          <w:tcPr>
            <w:tcW w:w="2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6"/>
        </w:trPr>
        <w:tc>
          <w:tcPr>
            <w:tcW w:w="2660" w:type="dxa"/>
            <w:vAlign w:val="bottom"/>
            <w:tcBorders>
              <w:bottom w:val="single" w:sz="8" w:color="CCEEFF"/>
            </w:tcBorders>
          </w:tcPr>
          <w:p>
            <w:pPr>
              <w:spacing w:after="0"/>
              <w:rPr>
                <w:sz w:val="20"/>
                <w:szCs w:val="20"/>
                <w:color w:val="auto"/>
              </w:rPr>
            </w:pPr>
          </w:p>
        </w:tc>
        <w:tc>
          <w:tcPr>
            <w:tcW w:w="35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income, net</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r>
    </w:tbl>
    <w:p>
      <w:pPr>
        <w:spacing w:after="0" w:line="117" w:lineRule="exact"/>
        <w:rPr>
          <w:sz w:val="20"/>
          <w:szCs w:val="20"/>
          <w:color w:val="auto"/>
        </w:rPr>
      </w:pPr>
    </w:p>
    <w:p>
      <w:pPr>
        <w:jc w:val="both"/>
        <w:ind w:firstLine="315"/>
        <w:spacing w:after="0" w:line="266" w:lineRule="auto"/>
        <w:rPr>
          <w:sz w:val="20"/>
          <w:szCs w:val="20"/>
          <w:color w:val="auto"/>
        </w:rPr>
      </w:pPr>
      <w:r>
        <w:rPr>
          <w:rFonts w:ascii="Times New Roman" w:cs="Times New Roman" w:eastAsia="Times New Roman" w:hAnsi="Times New Roman"/>
          <w:sz w:val="18"/>
          <w:szCs w:val="18"/>
          <w:color w:val="auto"/>
        </w:rPr>
        <w:t>Equity method (loss) income, net represents the Company’s ownership share in joint venture partnerships along with equity investments in other companies in the healthcare industry. The increase in equity method losses for the three months ended March 31, 2025, as compared with the corresponding period in 2024, was due to losses from investments made prior to 2025.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Other, Net</w:t>
            </w:r>
          </w:p>
        </w:tc>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8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7"/>
        </w:trPr>
        <w:tc>
          <w:tcPr>
            <w:tcW w:w="820" w:type="dxa"/>
            <w:vAlign w:val="bottom"/>
            <w:tcBorders>
              <w:bottom w:val="single" w:sz="8" w:color="CCEEFF"/>
            </w:tcBorders>
          </w:tcPr>
          <w:p>
            <w:pPr>
              <w:spacing w:after="0"/>
              <w:rPr>
                <w:sz w:val="20"/>
                <w:szCs w:val="20"/>
                <w:color w:val="auto"/>
              </w:rPr>
            </w:pPr>
          </w:p>
        </w:tc>
        <w:tc>
          <w:tcPr>
            <w:tcW w:w="54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54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bl>
    <w:p>
      <w:pPr>
        <w:spacing w:after="0" w:line="117" w:lineRule="exact"/>
        <w:rPr>
          <w:sz w:val="20"/>
          <w:szCs w:val="20"/>
          <w:color w:val="auto"/>
        </w:rPr>
      </w:pPr>
    </w:p>
    <w:p>
      <w:pPr>
        <w:jc w:val="both"/>
        <w:ind w:firstLine="298"/>
        <w:spacing w:after="0" w:line="266" w:lineRule="auto"/>
        <w:rPr>
          <w:sz w:val="20"/>
          <w:szCs w:val="20"/>
          <w:color w:val="auto"/>
        </w:rPr>
      </w:pPr>
      <w:r>
        <w:rPr>
          <w:rFonts w:ascii="Times New Roman" w:cs="Times New Roman" w:eastAsia="Times New Roman" w:hAnsi="Times New Roman"/>
          <w:sz w:val="18"/>
          <w:szCs w:val="18"/>
          <w:color w:val="auto"/>
        </w:rPr>
        <w:t>The change in Other, net for the three months ended March 31, 2025, as compared to the three months ended March 31, 2024, is primarily due to a $19.1 decrease of transition services fees charged to Fortrea related to administrative and information technology systems support. The costs to provide these transition services are included in operating income, but the service fees are included in other income.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4"/>
        </w:trPr>
        <w:tc>
          <w:tcPr>
            <w:tcW w:w="210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6"/>
        </w:trPr>
        <w:tc>
          <w:tcPr>
            <w:tcW w:w="2100" w:type="dxa"/>
            <w:vAlign w:val="bottom"/>
            <w:tcBorders>
              <w:bottom w:val="single" w:sz="8" w:color="CCEEFF"/>
            </w:tcBorders>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 as a % of earnings before taxes</w:t>
            </w:r>
          </w:p>
        </w:tc>
        <w:tc>
          <w:tcPr>
            <w:tcW w:w="112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12"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March 31, 2025, as compared to the three months ended March 31, 2024, is primarily attributable to incremental tax benefits on the vesting of employee stock plan awards.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1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71"/>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9"/>
        </w:trPr>
        <w:tc>
          <w:tcPr>
            <w:tcW w:w="18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40" w:type="dxa"/>
            <w:vAlign w:val="bottom"/>
          </w:tcPr>
          <w:p>
            <w:pPr>
              <w:spacing w:after="0"/>
              <w:rPr>
                <w:sz w:val="24"/>
                <w:szCs w:val="24"/>
                <w:color w:val="auto"/>
              </w:rPr>
            </w:pPr>
          </w:p>
        </w:tc>
      </w:tr>
      <w:tr>
        <w:trPr>
          <w:trHeight w:val="237"/>
        </w:trPr>
        <w:tc>
          <w:tcPr>
            <w:tcW w:w="18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r>
      <w:tr>
        <w:trPr>
          <w:trHeight w:val="229"/>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14.8 %</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r>
      <w:tr>
        <w:trPr>
          <w:trHeight w:val="223"/>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9"/>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23"/>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
        </w:trPr>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Dx operating income was $427.5 for the three months ended March 31, 2025, an increase of $9.6 over operating income of $417.9 in the corresponding period of 2024, and Dx operating margin decreased 60 basis points year-over-year. The decrease in operating margin was due to Invitae and the unfavorable impact of weather.</w:t>
      </w:r>
    </w:p>
    <w:p>
      <w:pPr>
        <w:spacing w:after="0" w:line="95" w:lineRule="exact"/>
        <w:rPr>
          <w:sz w:val="20"/>
          <w:szCs w:val="20"/>
          <w:color w:val="auto"/>
        </w:rPr>
      </w:pPr>
    </w:p>
    <w:p>
      <w:pPr>
        <w:jc w:val="both"/>
        <w:ind w:right="20" w:firstLine="283"/>
        <w:spacing w:after="0" w:line="266" w:lineRule="auto"/>
        <w:rPr>
          <w:sz w:val="20"/>
          <w:szCs w:val="20"/>
          <w:color w:val="auto"/>
        </w:rPr>
      </w:pPr>
      <w:r>
        <w:rPr>
          <w:rFonts w:ascii="Times New Roman" w:cs="Times New Roman" w:eastAsia="Times New Roman" w:hAnsi="Times New Roman"/>
          <w:sz w:val="18"/>
          <w:szCs w:val="18"/>
          <w:color w:val="auto"/>
        </w:rPr>
        <w:t>BLS operating income was $106.9 for the three months ended March 31, 2025, an increase of $7.0 over operating income of $99.9 in the corresponding period of 2024, and BLS operating margin increased 80 basis points year-over-year. The increase was due to organic demand and LaunchPad savings, partially offset by higher personnel costs.</w:t>
      </w:r>
    </w:p>
    <w:p>
      <w:pPr>
        <w:spacing w:after="0" w:line="8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General corporate and unallocated expenses are comprised primarily of administrative services such as executive management, human resources, legal, finance, corporate affairs, and information technology. General corporate and unallocated expenses were $132.4 for the three months ended March 31, 2025, an increase of $3.5 over corporate expenses of $128.9 in the corresponding period of 2024, primarily due to higher personnel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except per share data, in millions)</w:t>
      </w:r>
    </w:p>
    <w:p>
      <w:pPr>
        <w:spacing w:after="0" w:line="14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Company’s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Condensed Consolidated Financial Statements.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Company’s cash flows were as follows: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8"/>
        </w:trPr>
        <w:tc>
          <w:tcPr>
            <w:tcW w:w="7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6"/>
        </w:trPr>
        <w:tc>
          <w:tcPr>
            <w:tcW w:w="7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at March 31, 2025, and 2024, totaled $369.4 and $99.3, respectively. Cash and cash equivalents consist of highly liquid instruments, such as time deposits, and other money market investments, which have original maturities of three months or less.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3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Company’s operations provided $18.5 of cash as compared to using $29.8 of cash during the same period in 2024. The $48.3 increase in cash provided by operations in 2025 as compared with the corresponding 2024 period is primarily due to timing of working capital requirements.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2025, was $336.0 as compared to $393.1 for the three months ended March 31, 2024. The decrease in cash used for investing activities for the three months ended March 31, 2025, and 2024, was primarily due to a decrease in business acquisitions and lower capital expenditures, partially offset by an equity method investment in SYNLAB during the three months ended March 31, 2025.</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Capital expenditures were $126.0 and $133.8 for the three months ended March 31, 2025, and 2024, respectively. Capital expenditures for the three months ended March 31, 2025, were 3.8% of revenues, primarily in connection with projects to support growth in the Company’s core businesses. The Company expects this level of spending to remain consistent for the remainder of 2025, primarily in connection with projects to support growth in the Company’s core businesses, facility expansion and updates, projects related to its LaunchPad initiative, and further acquisition integration initiatives.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for the three months ended March 31, 2025, was $839.7 as compared to $11.7 for the three months ended March 31, 2024. The change in cash flows from financing activities for the three months ended March 31, 2025, as compared to the three months ended March 31, 2024, was primarily due to the $1,000.0 payment of the 3.60% senior notes due February 2025, partially offset by proceeds of $225.0 from its accounts receivable securitization facility.</w:t>
      </w:r>
    </w:p>
    <w:p>
      <w:pPr>
        <w:spacing w:after="0" w:line="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March 31, 2025, the Company had $369.4 of cash and cash equivalents and $1,000.0 of available borrowings under its revolving credit facility, which does not mature until 2026. Under the Company’s credit facilities and indentures relating to the Company’s senior notes, the Company is subject to negative covenants limiting subsidiary indebtedness and certain other covenants typical for investment grade-rated borrowers, and with respect to the credit facilities, the Company is required to maintain certain leverage ratios. The Company was in compliance with all covenants under the credit facilities and the indentures related to the Company’s outstanding senior notes as of March 31, 2025. The Company expects that it will remain in compliance with all covenants associated with its existing debt obligations for the next 12 months.</w:t>
      </w:r>
    </w:p>
    <w:p>
      <w:pPr>
        <w:spacing w:after="0" w:line="10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outstanding authorization from its board of directors (Board) to purchase up to $1,280.4 maximum value of Company common stock, par value $0.10 per share (Common Stock). The repurchase authorization has no expiration date.</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paid $61.6 in Common Stock dividends. On April 10, 2025, the Company announced a cash dividend of $0.72 per share of Common Stock, or approximately $61.2 in the aggregate. The dividend will be payable on June 11, 2025, to stockholders of record of all issued and outstanding shares of Common Stock at the close of business on May 29, 2025. The declaration and payment of any future dividends will be at the discretion of the Board.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Information</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2024, the Company, Laboratory Corporation of America Holdings (LCAH) and U.S. Bank Trust Company, National Association (the Trustee) entered into a seventeenth supplemental indenture (the Seventeenth Supplemental Indenture) to the indenture, dated as of November 19, 2010, between LCAH and the Trustee (2010 Indenture). In addition, the Company, LCAH and the Trustee entered into the 2024 Indenture on September 23, 2024 (the 2024 Indenture, together with the 2010 Indenture, the Indentures). The Seventeenth Supplemental Indenture, among other things, provides for the full and unconditional guarantee by the Company of LCAH’s obligations under the 2010 Indenture, and each series of senior unsecured notes issued and outstanding thereunder, and the 2024 Indenture provides for the full and unconditional guarantee by the Company of LCAH’s obligations, and each series of senior unsecured notes issued and outstanding, thereunder (collectively, the Labcorp Holdings Guarantees). Also, the Indentures permit the Company to satisfy LCAH’s reporting obligations so long as the Labcorp Holdings Guarantees remain in place and the Company’s Condensed Consolidated Financial Statements and other information comply with the requirements of Rule 3-10 of Regulation S-X.</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March 31, 2025, there was $3,610.6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we have excluded the summarized financial information for LCAH because the assets, liabilities and results of operations of LCAH are not materially different than the corresponding amounts in the Company’s Condensed Consolidated Financial Statements and management believes such summarized financial information would be repetitive and would not provide incremental value to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investment grade debt ratings from Moody’s and S&amp;P Global Ratings contribute to the Company’s ability to access capital markets.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does not have any variable interest entities or special purpose entities whose financial results are not included in the Company’s Condensed Consolidated Financial Statements and the Company does not have any off-balance sheet financing other than normal, short-term leases and letters of credit.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outstanding debt instruments. At March 31, 2025, the Company had total future payments of $5,610.6, with $0.4 of payments due within 12 months.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leases for patient service centers, laboratories and testing facilities, clinical facilities, general office spaces, vehicles, and office and laboratory equipment. At March 31, 2025, the Company had total future payments for short-term and long-term leases of $1,153.0, with $223.3 of payments due within 12 months.</w:t>
      </w:r>
    </w:p>
    <w:p>
      <w:pPr>
        <w:spacing w:after="0" w:line="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provided letters of credit aggregating approximately $102.8, primarily in connection with certain insurance programs which are renewed annually.</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w:t>
      </w:r>
    </w:p>
    <w:p>
      <w:pPr>
        <w:spacing w:after="0" w:line="13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3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Approximately 13.0% and 13.8% of the Company’s revenues for the three months ended March 31, 2025 and 2024, respectively, were denominated in currencies other than the U.S. dollar (USD). The Company’s Condensed Consolidated Financial Statements are reported in USD and, accordingly, fluctuations in exchange rates will affect the translation of revenues and expenses denominated in foreign currencies into USD for purposes of reporting the Company’s consolidated financial results. In the first quarter of 2025 and the year ended December 31, 2024,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three months ended March 31, 2025, by approximately $6.3. Accumulated currency translation adjustments recorded as a separate component of Shareholders’ equity were $69.7 and $(124.3) for the quarter ended March 31, 2025 and 2024, respectively. The Company does not have significant operations in countries in which the economy is considered to be highly inflationary.</w:t>
      </w:r>
    </w:p>
    <w:p>
      <w:pPr>
        <w:spacing w:after="0" w:line="9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March 31, 2025, the Company had 14 open foreign exchange forward contracts with various amounts maturing monthly through April 2025 with a notional value totaling approximately $496.4. At December 31, 2024, the Company had 12 open foreign exchange forward contracts with various amounts maturing monthly through January 2025 with a notional value totaling approximately $302.4.</w:t>
      </w:r>
    </w:p>
    <w:p>
      <w:pPr>
        <w:spacing w:after="0" w:line="11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party to USD to Swiss Franc cross-currency swap agreements with an aggregate notional amount of $1,200.0, $300.0 maturing in 2029, $300.0 maturing in 2031, and $600.0 maturing in 2034, as a hedge against the impact of foreign exchange movements on its net investment in a Swiss Franc functional currency subsidiary.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9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Borrowings under the Company’s term loan credit facilities, and revolving credit facility are subject to variable interest rates, unless fixed through interest rate swaps or other agreements.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Secured Overnight Financing Rate plus 1.0706%.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 and 15d-15(e) under the Securities Exchange Act of 1934, as amended). Based upon this evaluation, the Company’s principal executive officer and principal financial officer concluded that the Company’s disclosure controls and procedures were effective as of March 31,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Rules13a-15(f) and 15d-15(f) under the Securities Exchange Act of 1934, as amended) that occurred during the quarter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8 Commitments and Contingencies to the Company’s Condensed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appear in Part I - Item 1A of the Company's Annual Report on Form 10-K for the year ended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in millions)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did not repurchase any of its shares of Common Stock.</w:t>
      </w:r>
    </w:p>
    <w:p>
      <w:pPr>
        <w:spacing w:after="0" w:line="13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outstanding authorization from its Board to purchase up to $1,280.4 maximum value of the Common Stock. The repurchase authorization has no expiration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3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Shares of</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Date Adopted</w:t>
            </w:r>
          </w:p>
        </w:tc>
        <w:tc>
          <w:tcPr>
            <w:tcW w:w="2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Character of Trading Agreement</w:t>
            </w:r>
          </w:p>
        </w:tc>
        <w:tc>
          <w:tcPr>
            <w:tcW w:w="3180" w:type="dxa"/>
            <w:vAlign w:val="bottom"/>
            <w:gridSpan w:val="2"/>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 to be (Sold) Purchased</w:t>
            </w:r>
          </w:p>
        </w:tc>
        <w:tc>
          <w:tcPr>
            <w:tcW w:w="16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Duration</w:t>
            </w:r>
          </w:p>
        </w:tc>
        <w:tc>
          <w:tcPr>
            <w:tcW w:w="0" w:type="dxa"/>
            <w:vAlign w:val="bottom"/>
          </w:tcPr>
          <w:p>
            <w:pPr>
              <w:spacing w:after="0"/>
              <w:rPr>
                <w:sz w:val="1"/>
                <w:szCs w:val="1"/>
                <w:color w:val="auto"/>
              </w:rPr>
            </w:pPr>
          </w:p>
        </w:tc>
      </w:tr>
      <w:tr>
        <w:trPr>
          <w:trHeight w:val="229"/>
        </w:trPr>
        <w:tc>
          <w:tcPr>
            <w:tcW w:w="212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720" w:type="dxa"/>
            <w:vAlign w:val="bottom"/>
            <w:gridSpan w:val="2"/>
            <w:vMerge w:val="continue"/>
          </w:tcPr>
          <w:p>
            <w:pPr>
              <w:spacing w:after="0"/>
              <w:rPr>
                <w:sz w:val="19"/>
                <w:szCs w:val="19"/>
                <w:color w:val="auto"/>
              </w:rPr>
            </w:pPr>
          </w:p>
        </w:tc>
        <w:tc>
          <w:tcPr>
            <w:tcW w:w="3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Pursuant to Trading Agreement</w:t>
            </w: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Kerrii B. Anderson</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6, 2025</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 Trading Arrangement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Up to</w:t>
            </w:r>
          </w:p>
        </w:tc>
        <w:tc>
          <w:tcPr>
            <w:tcW w:w="1320" w:type="dxa"/>
            <w:vAlign w:val="bottom"/>
            <w:tcBorders>
              <w:top w:val="single" w:sz="8" w:color="CCEEFF"/>
            </w:tcBorders>
            <w:shd w:val="clear" w:color="auto" w:fill="CCEEFF"/>
          </w:tcPr>
          <w:p>
            <w:pPr>
              <w:jc w:val="right"/>
              <w:ind w:right="370"/>
              <w:spacing w:after="0" w:line="223" w:lineRule="exact"/>
              <w:rPr>
                <w:sz w:val="20"/>
                <w:szCs w:val="20"/>
                <w:color w:val="auto"/>
              </w:rPr>
            </w:pPr>
            <w:r>
              <w:rPr>
                <w:rFonts w:ascii="Times New Roman" w:cs="Times New Roman" w:eastAsia="Times New Roman" w:hAnsi="Times New Roman"/>
                <w:sz w:val="18"/>
                <w:szCs w:val="18"/>
                <w:color w:val="auto"/>
              </w:rPr>
              <w:t xml:space="preserve">(4,500) </w:t>
            </w:r>
            <w:r>
              <w:rPr>
                <w:rFonts w:ascii="Times New Roman" w:cs="Times New Roman" w:eastAsia="Times New Roman" w:hAnsi="Times New Roman"/>
                <w:sz w:val="23"/>
                <w:szCs w:val="23"/>
                <w:color w:val="auto"/>
                <w:vertAlign w:val="superscript"/>
              </w:rPr>
              <w:t>(1)</w:t>
            </w:r>
          </w:p>
        </w:tc>
        <w:tc>
          <w:tcPr>
            <w:tcW w:w="1640" w:type="dxa"/>
            <w:vAlign w:val="bottom"/>
            <w:tcBorders>
              <w:top w:val="single" w:sz="8" w:color="CCEEFF"/>
            </w:tcBorders>
            <w:shd w:val="clear" w:color="auto" w:fill="CCEEFF"/>
          </w:tcPr>
          <w:p>
            <w:pPr>
              <w:jc w:val="right"/>
              <w:ind w:right="90"/>
              <w:spacing w:after="0" w:line="223" w:lineRule="exact"/>
              <w:rPr>
                <w:sz w:val="20"/>
                <w:szCs w:val="20"/>
                <w:color w:val="auto"/>
              </w:rPr>
            </w:pPr>
            <w:r>
              <w:rPr>
                <w:rFonts w:ascii="Times New Roman" w:cs="Times New Roman" w:eastAsia="Times New Roman" w:hAnsi="Times New Roman"/>
                <w:sz w:val="18"/>
                <w:szCs w:val="18"/>
                <w:color w:val="auto"/>
              </w:rPr>
              <w:t xml:space="preserve">1/31/2026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80"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figure presented represents the shares to be sold on the vesting of equity awards before reduction for shares to be withheld for tax purposes</w:t>
      </w:r>
    </w:p>
    <w:p>
      <w:pPr>
        <w:spacing w:after="0" w:line="1" w:lineRule="exact"/>
        <w:rPr>
          <w:rFonts w:ascii="Times New Roman" w:cs="Times New Roman" w:eastAsia="Times New Roman" w:hAnsi="Times New Roman"/>
          <w:sz w:val="22"/>
          <w:szCs w:val="22"/>
          <w:color w:val="auto"/>
          <w:vertAlign w:val="superscript"/>
        </w:rPr>
      </w:pPr>
    </w:p>
    <w:p>
      <w:pPr>
        <w:ind w:left="260" w:hanging="252"/>
        <w:spacing w:after="0" w:line="230" w:lineRule="auto"/>
        <w:tabs>
          <w:tab w:leader="none" w:pos="182"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trading arrangement permits transactions through and including the earlier to occur of (a) the completion of all sales on the respective order entry date or (b) the date listed in the table.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w:t>
      </w:r>
    </w:p>
    <w:p>
      <w:pPr>
        <w:spacing w:after="0" w:line="11" w:lineRule="exact"/>
        <w:rPr>
          <w:sz w:val="20"/>
          <w:szCs w:val="20"/>
          <w:color w:val="auto"/>
        </w:rPr>
      </w:pPr>
    </w:p>
    <w:p>
      <w:pPr>
        <w:ind w:left="1580"/>
        <w:spacing w:after="0"/>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First Amendment to Receivables Purchase Agreement, dated January 31, 2025, by and among Labcorp Receivables LLC, Laboratory</w:t>
        </w:r>
      </w:hyperlink>
    </w:p>
    <w:p>
      <w:pPr>
        <w:ind w:left="1580" w:hanging="1551"/>
        <w:spacing w:after="0" w:line="226" w:lineRule="auto"/>
        <w:tabs>
          <w:tab w:leader="none" w:pos="15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43">
        <w:r>
          <w:rPr>
            <w:rFonts w:ascii="Times New Roman" w:cs="Times New Roman" w:eastAsia="Times New Roman" w:hAnsi="Times New Roman"/>
            <w:sz w:val="18"/>
            <w:szCs w:val="18"/>
            <w:u w:val="single" w:color="auto"/>
            <w:color w:val="0000FF"/>
          </w:rPr>
          <w:t>Corporation of America Holdings, PNC Bank National Association and PNC Capital Markets LLC (incorporated by reference to</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Exhibit 10.1 to the Company’s Current Report on Form 8-K filed on January 31, 2025).</w:t>
        </w:r>
      </w:hyperlink>
    </w:p>
    <w:p>
      <w:pPr>
        <w:sectPr>
          <w:pgSz w:w="11900" w:h="16838" w:orient="portrait"/>
          <w:cols w:equalWidth="0" w:num="1">
            <w:col w:w="11200"/>
          </w:cols>
          <w:pgMar w:left="320" w:top="121" w:right="37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Times New Roman" w:cs="Times New Roman" w:eastAsia="Times New Roman" w:hAnsi="Times New Roman"/>
          <w:sz w:val="18"/>
          <w:szCs w:val="18"/>
          <w:u w:val="single" w:color="auto"/>
          <w:color w:val="0000FF"/>
        </w:rPr>
        <w:t>Subsidiary Issuers of Guaranteed Securities</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Certification by the Chief Executive Officer pursuant to Rule 13a-14(a) or Rule 15d-14(a)</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Certification by the Chief Financial Officer pursuant to Rule 13a-14(a) or Rule 15d-14(a)</w:t>
      </w:r>
    </w:p>
    <w:p>
      <w:pPr>
        <w:spacing w:after="0" w:line="171" w:lineRule="exact"/>
        <w:rPr>
          <w:sz w:val="20"/>
          <w:szCs w:val="20"/>
          <w:color w:val="auto"/>
        </w:rPr>
      </w:pPr>
    </w:p>
    <w:p>
      <w:pPr>
        <w:ind w:left="460" w:right="20"/>
        <w:spacing w:after="0" w:line="237" w:lineRule="auto"/>
        <w:rPr>
          <w:sz w:val="20"/>
          <w:szCs w:val="20"/>
          <w:color w:val="auto"/>
        </w:rPr>
      </w:pPr>
      <w:r>
        <w:rPr>
          <w:rFonts w:ascii="Times New Roman" w:cs="Times New Roman" w:eastAsia="Times New Roman" w:hAnsi="Times New Roman"/>
          <w:sz w:val="18"/>
          <w:szCs w:val="18"/>
          <w:u w:val="single" w:color="auto"/>
          <w:color w:val="0000FF"/>
        </w:rPr>
        <w:t>Written Statement of Chief Executive Officer and Chief Financial Officer pursuant to Section 906 of the Sarbanes-Oxley Act of 2002 (18 U.S.C. Section 1350)</w:t>
      </w:r>
    </w:p>
    <w:p>
      <w:pPr>
        <w:spacing w:after="0" w:line="10" w:lineRule="exact"/>
        <w:rPr>
          <w:sz w:val="20"/>
          <w:szCs w:val="20"/>
          <w:color w:val="auto"/>
        </w:rPr>
      </w:pPr>
    </w:p>
    <w:p>
      <w:pPr>
        <w:ind w:left="460"/>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ectPr>
          <w:pgSz w:w="11900" w:h="16838" w:orient="portrait"/>
          <w:cols w:equalWidth="0" w:num="2">
            <w:col w:w="800" w:space="320"/>
            <w:col w:w="10080"/>
          </w:cols>
          <w:pgMar w:left="320" w:top="121" w:right="37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Registrant</w:t>
      </w:r>
    </w:p>
    <w:p>
      <w:pPr>
        <w:spacing w:after="0" w:line="153"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c>
          <w:tcPr>
            <w:tcW w:w="174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29"/>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JULIA A. WANG</w:t>
            </w:r>
          </w:p>
        </w:tc>
      </w:tr>
      <w:tr>
        <w:trPr>
          <w:trHeight w:val="245"/>
        </w:trPr>
        <w:tc>
          <w:tcPr>
            <w:tcW w:w="760" w:type="dxa"/>
            <w:vAlign w:val="bottom"/>
          </w:tcPr>
          <w:p>
            <w:pPr>
              <w:spacing w:after="0"/>
              <w:rPr>
                <w:sz w:val="21"/>
                <w:szCs w:val="21"/>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Julia A. Wang</w:t>
            </w:r>
          </w:p>
        </w:tc>
        <w:tc>
          <w:tcPr>
            <w:tcW w:w="2320" w:type="dxa"/>
            <w:vAlign w:val="bottom"/>
            <w:gridSpan w:val="2"/>
          </w:tcPr>
          <w:p>
            <w:pPr>
              <w:spacing w:after="0"/>
              <w:rPr>
                <w:sz w:val="21"/>
                <w:szCs w:val="21"/>
                <w:color w:val="auto"/>
              </w:rPr>
            </w:pPr>
          </w:p>
        </w:tc>
      </w:tr>
      <w:tr>
        <w:trPr>
          <w:trHeight w:val="229"/>
        </w:trPr>
        <w:tc>
          <w:tcPr>
            <w:tcW w:w="760" w:type="dxa"/>
            <w:vAlign w:val="bottom"/>
          </w:tcPr>
          <w:p>
            <w:pPr>
              <w:spacing w:after="0"/>
              <w:rPr>
                <w:sz w:val="19"/>
                <w:szCs w:val="19"/>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760" w:type="dxa"/>
            <w:vAlign w:val="bottom"/>
          </w:tcPr>
          <w:p>
            <w:pPr>
              <w:spacing w:after="0"/>
              <w:rPr>
                <w:sz w:val="20"/>
                <w:szCs w:val="20"/>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2025</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80"/>
          </w:cols>
          <w:pgMar w:left="320" w:top="121" w:right="12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Laboratory Corporation of America Holdings (“LCAH”), a Delaware corporation and wholly-owned subsidiary of Labcorp Holdings Inc. (“LHI”), a Delaware corporation, were outstanding as of March 31, 2025.</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Senior Notes</w:t>
      </w:r>
    </w:p>
    <w:p>
      <w:pPr>
        <w:spacing w:after="0" w:line="54" w:lineRule="exact"/>
        <w:rPr>
          <w:sz w:val="20"/>
          <w:szCs w:val="20"/>
          <w:color w:val="auto"/>
        </w:rPr>
      </w:pPr>
    </w:p>
    <w:p>
      <w:pPr>
        <w:ind w:left="20" w:right="580"/>
        <w:spacing w:after="0" w:line="266" w:lineRule="auto"/>
        <w:rPr>
          <w:sz w:val="20"/>
          <w:szCs w:val="20"/>
          <w:color w:val="auto"/>
        </w:rPr>
      </w:pPr>
      <w:r>
        <w:rPr>
          <w:rFonts w:ascii="Times New Roman" w:cs="Times New Roman" w:eastAsia="Times New Roman" w:hAnsi="Times New Roman"/>
          <w:sz w:val="18"/>
          <w:szCs w:val="18"/>
          <w:color w:val="auto"/>
        </w:rPr>
        <w:t>1.55% Senior Notes due 2026 (issued under the Fifteenth Supplemental Indenture to the Indenture, dated as of November 19, 2010, by and between LCAH and U.S. Bank Trust Company, National Association, as trustee (the “2010 Indenture”))</w:t>
      </w:r>
    </w:p>
    <w:p>
      <w:pPr>
        <w:ind w:left="20"/>
        <w:spacing w:after="0"/>
        <w:rPr>
          <w:sz w:val="20"/>
          <w:szCs w:val="20"/>
          <w:color w:val="auto"/>
        </w:rPr>
      </w:pPr>
      <w:r>
        <w:rPr>
          <w:rFonts w:ascii="Times New Roman" w:cs="Times New Roman" w:eastAsia="Times New Roman" w:hAnsi="Times New Roman"/>
          <w:sz w:val="18"/>
          <w:szCs w:val="18"/>
          <w:color w:val="auto"/>
        </w:rPr>
        <w:t>3.60% Senior Notes due 2027 (issued under the Twelfth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2.95% Senior Notes due 2029 (issued under the Fourteenth Supplemental Indenture to the 2010 Indenture)</w:t>
      </w:r>
    </w:p>
    <w:p>
      <w:pPr>
        <w:spacing w:after="0" w:line="50" w:lineRule="exact"/>
        <w:rPr>
          <w:sz w:val="20"/>
          <w:szCs w:val="20"/>
          <w:color w:val="auto"/>
        </w:rPr>
      </w:pPr>
    </w:p>
    <w:p>
      <w:pPr>
        <w:ind w:left="20" w:right="880"/>
        <w:spacing w:after="0" w:line="266" w:lineRule="auto"/>
        <w:rPr>
          <w:sz w:val="20"/>
          <w:szCs w:val="20"/>
          <w:color w:val="auto"/>
        </w:rPr>
      </w:pPr>
      <w:r>
        <w:rPr>
          <w:rFonts w:ascii="Times New Roman" w:cs="Times New Roman" w:eastAsia="Times New Roman" w:hAnsi="Times New Roman"/>
          <w:sz w:val="18"/>
          <w:szCs w:val="18"/>
          <w:color w:val="auto"/>
        </w:rPr>
        <w:t>4.35% Senior Notes due 2030 (issued under the First Supplemental Indenture to the Indenture, dated as of September 23, 2024, by and between LCAH and U.S. Bank Trust Company, National Association, as trustee (the “2024 Indenture”))</w:t>
      </w:r>
    </w:p>
    <w:p>
      <w:pPr>
        <w:ind w:left="20"/>
        <w:spacing w:after="0"/>
        <w:rPr>
          <w:sz w:val="20"/>
          <w:szCs w:val="20"/>
          <w:color w:val="auto"/>
        </w:rPr>
      </w:pPr>
      <w:r>
        <w:rPr>
          <w:rFonts w:ascii="Times New Roman" w:cs="Times New Roman" w:eastAsia="Times New Roman" w:hAnsi="Times New Roman"/>
          <w:sz w:val="18"/>
          <w:szCs w:val="18"/>
          <w:color w:val="auto"/>
        </w:rPr>
        <w:t>2.70% Senior Notes due 2031 (issued under the Sixteenth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4.55% Senior Notes due 2032 (issued under the Second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4.80% Senior Notes due 2034 (issued under the Third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 Senior Notes due 2045 (issued under the Tenth Supplemental Indenture to the 2010 Indenture)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obligors under the Senior Notes consisted of LHI, as guarantor, and LCAH, as issuer.</w:t>
      </w:r>
    </w:p>
    <w:p>
      <w:pPr>
        <w:sectPr>
          <w:pgSz w:w="11900" w:h="16838" w:orient="portrait"/>
          <w:cols w:equalWidth="0" w:num="1">
            <w:col w:w="11240"/>
          </w:cols>
          <w:pgMar w:left="320" w:top="14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52"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April 29, 2025</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20"/>
          </w:cols>
          <w:pgMar w:left="320" w:top="887" w:right="11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Julia A. Wang, certify that:</w:t>
      </w:r>
    </w:p>
    <w:p>
      <w:pPr>
        <w:spacing w:after="0" w:line="252"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April 29, 2025</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JULIA A. WANG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Julia A. Wang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20"/>
          </w:cols>
          <w:pgMar w:left="320" w:top="887" w:right="11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Labcorp Holdings Inc. (the “Company”), each hereby certifies that, to his knowledge on the date hereof:</w:t>
      </w:r>
    </w:p>
    <w:p>
      <w:pPr>
        <w:spacing w:after="0" w:line="189" w:lineRule="exact"/>
        <w:rPr>
          <w:sz w:val="20"/>
          <w:szCs w:val="20"/>
          <w:color w:val="auto"/>
        </w:rPr>
      </w:pPr>
    </w:p>
    <w:p>
      <w:pPr>
        <w:ind w:firstLine="8"/>
        <w:spacing w:after="0" w:line="282" w:lineRule="auto"/>
        <w:tabs>
          <w:tab w:leader="none" w:pos="2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March 31, 2025, filed on the date hereof with the Securities and Exchange Commission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r>
      <w:tr>
        <w:trPr>
          <w:trHeight w:val="245"/>
        </w:trPr>
        <w:tc>
          <w:tcPr>
            <w:tcW w:w="58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0"/>
        </w:trPr>
        <w:tc>
          <w:tcPr>
            <w:tcW w:w="58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29, 2025</w:t>
            </w:r>
          </w:p>
        </w:tc>
      </w:tr>
      <w:tr>
        <w:trPr>
          <w:trHeight w:val="79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JULIA A. WANG</w:t>
            </w:r>
          </w:p>
        </w:tc>
      </w:tr>
      <w:tr>
        <w:trPr>
          <w:trHeight w:val="245"/>
        </w:trPr>
        <w:tc>
          <w:tcPr>
            <w:tcW w:w="580" w:type="dxa"/>
            <w:vAlign w:val="bottom"/>
          </w:tcPr>
          <w:p>
            <w:pPr>
              <w:spacing w:after="0"/>
              <w:rPr>
                <w:sz w:val="21"/>
                <w:szCs w:val="21"/>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Julia A. Wang</w:t>
            </w: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29, 2025</w:t>
            </w:r>
          </w:p>
        </w:tc>
      </w:tr>
    </w:tbl>
    <w:p>
      <w:pPr>
        <w:sectPr>
          <w:pgSz w:w="11900" w:h="16838" w:orient="portrait"/>
          <w:cols w:equalWidth="0" w:num="1">
            <w:col w:w="10420"/>
          </w:cols>
          <w:pgMar w:left="320" w:top="887" w:right="115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sectPr>
      <w:pgSz w:w="11900" w:h="16838" w:orient="portrait"/>
      <w:cols w:equalWidth="0" w:num="1">
        <w:col w:w="11120"/>
      </w:cols>
      <w:pgMar w:left="320" w:top="8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decimal"/>
      <w:start w:val="29"/>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3" Type="http://schemas.openxmlformats.org/officeDocument/2006/relationships/hyperlink" Target="https://www.sec.gov/Archives/edgar/data/920148/000092014825000017/exhibit101first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2025-04-29T10:42:21Z</dcterms:created>
  <dcterms:modified xsi:type="dcterms:W3CDTF">2025-04-29T10:42:21Z</dcterms:modified>
</cp:coreProperties>
</file>