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1400" w:hanging="216"/>
        <w:spacing w:after="0"/>
        <w:tabs>
          <w:tab w:leader="none" w:pos="1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September 30, 2026</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jc w:val="center"/>
        <w:ind w:left="3860" w:right="1160" w:hanging="2686"/>
        <w:spacing w:after="0" w:line="399" w:lineRule="auto"/>
        <w:tabs>
          <w:tab w:leader="none" w:pos="138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 to ______</w:t>
      </w: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1-11353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LABCORP HOLDINGS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0" w:type="dxa"/>
            <w:vAlign w:val="bottom"/>
            <w:gridSpan w:val="2"/>
          </w:tcPr>
          <w:p>
            <w:pPr>
              <w:spacing w:after="0"/>
              <w:rPr>
                <w:sz w:val="20"/>
                <w:szCs w:val="20"/>
                <w:color w:val="auto"/>
              </w:rPr>
            </w:pPr>
          </w:p>
        </w:tc>
        <w:tc>
          <w:tcPr>
            <w:tcW w:w="5560" w:type="dxa"/>
            <w:vAlign w:val="bottom"/>
            <w:tcBorders>
              <w:bottom w:val="single" w:sz="8" w:color="auto"/>
            </w:tcBorders>
            <w:gridSpan w:val="2"/>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99-2588107</w:t>
            </w:r>
          </w:p>
        </w:tc>
        <w:tc>
          <w:tcPr>
            <w:tcW w:w="20" w:type="dxa"/>
            <w:vAlign w:val="bottom"/>
          </w:tcPr>
          <w:p>
            <w:pPr>
              <w:spacing w:after="0"/>
              <w:rPr>
                <w:sz w:val="20"/>
                <w:szCs w:val="20"/>
                <w:color w:val="auto"/>
              </w:rPr>
            </w:pPr>
          </w:p>
        </w:tc>
      </w:tr>
      <w:tr>
        <w:trPr>
          <w:trHeight w:val="237"/>
        </w:trPr>
        <w:tc>
          <w:tcPr>
            <w:tcW w:w="5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 w:type="dxa"/>
            <w:vAlign w:val="bottom"/>
          </w:tcPr>
          <w:p>
            <w:pPr>
              <w:spacing w:after="0"/>
              <w:rPr>
                <w:sz w:val="20"/>
                <w:szCs w:val="20"/>
                <w:color w:val="auto"/>
              </w:rPr>
            </w:pPr>
          </w:p>
        </w:tc>
        <w:tc>
          <w:tcPr>
            <w:tcW w:w="552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20"/>
                <w:szCs w:val="20"/>
                <w:color w:val="auto"/>
              </w:rPr>
            </w:pPr>
          </w:p>
        </w:tc>
      </w:tr>
      <w:tr>
        <w:trPr>
          <w:trHeight w:val="351"/>
        </w:trPr>
        <w:tc>
          <w:tcPr>
            <w:tcW w:w="56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358 South Main Street</w:t>
            </w:r>
          </w:p>
        </w:tc>
        <w:tc>
          <w:tcPr>
            <w:tcW w:w="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5600" w:type="dxa"/>
            <w:vAlign w:val="bottom"/>
            <w:tcBorders>
              <w:bottom w:val="single" w:sz="8" w:color="auto"/>
            </w:tcBorders>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Burlington , North Carolina</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52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27215</w:t>
            </w:r>
          </w:p>
        </w:tc>
        <w:tc>
          <w:tcPr>
            <w:tcW w:w="20" w:type="dxa"/>
            <w:vAlign w:val="bottom"/>
            <w:tcBorders>
              <w:bottom w:val="single" w:sz="8" w:color="auto"/>
            </w:tcBorders>
          </w:tcPr>
          <w:p>
            <w:pPr>
              <w:spacing w:after="0"/>
              <w:rPr>
                <w:sz w:val="21"/>
                <w:szCs w:val="21"/>
                <w:color w:val="auto"/>
              </w:rPr>
            </w:pPr>
          </w:p>
        </w:tc>
      </w:tr>
      <w:tr>
        <w:trPr>
          <w:trHeight w:val="237"/>
        </w:trPr>
        <w:tc>
          <w:tcPr>
            <w:tcW w:w="566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 w:type="dxa"/>
            <w:vAlign w:val="bottom"/>
          </w:tcPr>
          <w:p>
            <w:pPr>
              <w:spacing w:after="0"/>
              <w:rPr>
                <w:sz w:val="20"/>
                <w:szCs w:val="20"/>
                <w:color w:val="auto"/>
              </w:rPr>
            </w:pPr>
          </w:p>
        </w:tc>
        <w:tc>
          <w:tcPr>
            <w:tcW w:w="552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336-229-1127</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351"/>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7"/>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$0.10 par value</w:t>
            </w: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LH</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20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29, 2026, there were 81.2 million shares of the registrant’s common stock, $0.10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80" w:type="dxa"/>
            <w:vAlign w:val="bottom"/>
            <w:gridSpan w:val="11"/>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3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6"/>
        </w:trPr>
        <w:tc>
          <w:tcPr>
            <w:tcW w:w="20" w:type="dxa"/>
            <w:vAlign w:val="bottom"/>
          </w:tcPr>
          <w:p>
            <w:pPr>
              <w:spacing w:after="0"/>
              <w:rPr>
                <w:sz w:val="20"/>
                <w:szCs w:val="20"/>
                <w:color w:val="auto"/>
              </w:rPr>
            </w:pPr>
          </w:p>
        </w:tc>
        <w:tc>
          <w:tcPr>
            <w:tcW w:w="2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Commonly Used Abbreviations</w:t>
            </w:r>
          </w:p>
        </w:tc>
        <w:tc>
          <w:tcPr>
            <w:tcW w:w="7820" w:type="dxa"/>
            <w:vAlign w:val="bottom"/>
            <w:gridSpan w:val="14"/>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500" w:type="dxa"/>
            <w:vAlign w:val="bottom"/>
          </w:tcPr>
          <w:p>
            <w:pPr>
              <w:spacing w:after="0"/>
              <w:rPr>
                <w:sz w:val="20"/>
                <w:szCs w:val="20"/>
                <w:color w:val="auto"/>
              </w:rPr>
            </w:pPr>
          </w:p>
        </w:tc>
      </w:tr>
      <w:tr>
        <w:trPr>
          <w:trHeight w:val="480"/>
        </w:trPr>
        <w:tc>
          <w:tcPr>
            <w:tcW w:w="20" w:type="dxa"/>
            <w:vAlign w:val="bottom"/>
          </w:tcPr>
          <w:p>
            <w:pPr>
              <w:spacing w:after="0"/>
              <w:rPr>
                <w:sz w:val="24"/>
                <w:szCs w:val="24"/>
                <w:color w:val="auto"/>
              </w:rPr>
            </w:pPr>
          </w:p>
        </w:tc>
        <w:tc>
          <w:tcPr>
            <w:tcW w:w="2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86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70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3</w:t>
            </w: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4</w:t>
            </w: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Earnings (Unaudited)</w:t>
            </w:r>
          </w:p>
        </w:tc>
        <w:tc>
          <w:tcPr>
            <w:tcW w:w="328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50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 (Unaudited)</w:t>
            </w: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8</w:t>
            </w:r>
          </w:p>
        </w:tc>
        <w:tc>
          <w:tcPr>
            <w:tcW w:w="5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6"/>
          </w:tcPr>
          <w:p>
            <w:pPr>
              <w:spacing w:after="0"/>
              <w:rPr>
                <w:sz w:val="24"/>
                <w:szCs w:val="24"/>
                <w:color w:val="auto"/>
              </w:rPr>
            </w:pPr>
          </w:p>
        </w:tc>
        <w:tc>
          <w:tcPr>
            <w:tcW w:w="2760" w:type="dxa"/>
            <w:vAlign w:val="bottom"/>
            <w:gridSpan w:val="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4"/>
          </w:tcPr>
          <w:p>
            <w:pPr>
              <w:spacing w:after="0"/>
              <w:rPr>
                <w:sz w:val="24"/>
                <w:szCs w:val="24"/>
                <w:color w:val="auto"/>
              </w:rPr>
            </w:pPr>
          </w:p>
        </w:tc>
        <w:tc>
          <w:tcPr>
            <w:tcW w:w="4900" w:type="dxa"/>
            <w:vAlign w:val="bottom"/>
            <w:gridSpan w:val="8"/>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9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534"/>
        </w:trPr>
        <w:tc>
          <w:tcPr>
            <w:tcW w:w="101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4"/>
                <w:szCs w:val="24"/>
                <w:color w:val="auto"/>
              </w:rPr>
            </w:pPr>
          </w:p>
        </w:tc>
        <w:tc>
          <w:tcPr>
            <w:tcW w:w="7900" w:type="dxa"/>
            <w:vAlign w:val="bottom"/>
            <w:gridSpan w:val="16"/>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4"/>
          </w:tcPr>
          <w:p>
            <w:pPr>
              <w:spacing w:after="0"/>
              <w:rPr>
                <w:sz w:val="24"/>
                <w:szCs w:val="24"/>
                <w:color w:val="auto"/>
              </w:rPr>
            </w:pPr>
          </w:p>
        </w:tc>
        <w:tc>
          <w:tcPr>
            <w:tcW w:w="4860" w:type="dxa"/>
            <w:vAlign w:val="bottom"/>
            <w:gridSpan w:val="7"/>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6880" w:type="dxa"/>
            <w:vAlign w:val="bottom"/>
            <w:gridSpan w:val="11"/>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60" w:type="dxa"/>
            <w:vAlign w:val="bottom"/>
          </w:tcPr>
          <w:p>
            <w:pPr>
              <w:spacing w:after="0"/>
              <w:rPr>
                <w:sz w:val="24"/>
                <w:szCs w:val="24"/>
                <w:color w:val="auto"/>
              </w:rPr>
            </w:pPr>
          </w:p>
        </w:tc>
        <w:tc>
          <w:tcPr>
            <w:tcW w:w="6880" w:type="dxa"/>
            <w:vAlign w:val="bottom"/>
            <w:gridSpan w:val="11"/>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12"/>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4"/>
          </w:tcPr>
          <w:p>
            <w:pPr>
              <w:spacing w:after="0"/>
              <w:rPr>
                <w:sz w:val="24"/>
                <w:szCs w:val="24"/>
                <w:color w:val="auto"/>
              </w:rPr>
            </w:pPr>
          </w:p>
        </w:tc>
        <w:tc>
          <w:tcPr>
            <w:tcW w:w="7900" w:type="dxa"/>
            <w:vAlign w:val="bottom"/>
            <w:gridSpan w:val="16"/>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40" w:type="dxa"/>
            <w:vAlign w:val="bottom"/>
            <w:gridSpan w:val="1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440" w:type="dxa"/>
            <w:vAlign w:val="bottom"/>
            <w:gridSpan w:val="19"/>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r>
      <w:tr>
        <w:trPr>
          <w:trHeight w:val="871"/>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120" w:type="dxa"/>
            <w:vAlign w:val="bottom"/>
            <w:gridSpan w:val="13"/>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COMMONLY USED ABBREVIATIONS</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abbreviations listed below may be commonly used in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4Kscore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FDA-approved blood test for prostate cancer</w:t>
            </w:r>
          </w:p>
        </w:tc>
      </w:tr>
      <w:tr>
        <w:trPr>
          <w:trHeight w:val="234"/>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AMCA</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American Medical Collection Agency</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Annual Report on Form 10-K for the fiscal year ended December 31, 2025</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 Facility</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BioReference Health</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BioReference Health, LLC</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Biopharma Laboratory Services</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board of directors of Labcorp Holdings Inc.</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CODM</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common stock, par value $0.10 per share</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contract research organization</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DCP</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compensation plan</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Diagnostics Laboratories</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Early Development Research Laboratories</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earnings per share</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ERP</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enterprise resource planning</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FDA</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Food and Drug Administration</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Fortrea</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Fortrea Holdings Inc.</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generally accepted accounting principles</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LCAH</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Laboratory Corporation of America Holdings</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MCO</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managed care organization</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OBBBA</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OCR</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Office for Civil Rights</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OPKO</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OPKO Health, Inc.</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PSC</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patient service center</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Standard &amp; Poor’s</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Spin-off</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June 2023 spin-off of Fortrea</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SPV</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special purpose vehicle</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term loan credit agreement entered into on March 20, 2026</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TSA</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transition services agreement with Fortrea</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4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9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Dollar</w:t>
            </w:r>
          </w:p>
        </w:tc>
      </w:tr>
      <w:tr>
        <w:trPr>
          <w:trHeight w:val="864"/>
        </w:trPr>
        <w:tc>
          <w:tcPr>
            <w:tcW w:w="2020" w:type="dxa"/>
            <w:vAlign w:val="bottom"/>
          </w:tcPr>
          <w:p>
            <w:pPr>
              <w:spacing w:after="0"/>
              <w:rPr>
                <w:sz w:val="24"/>
                <w:szCs w:val="24"/>
                <w:color w:val="auto"/>
              </w:rPr>
            </w:pPr>
          </w:p>
        </w:tc>
        <w:tc>
          <w:tcPr>
            <w:tcW w:w="922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2</w:t>
            </w:r>
          </w:p>
        </w:tc>
      </w:tr>
      <w:tr>
        <w:trPr>
          <w:trHeight w:val="115"/>
        </w:trPr>
        <w:tc>
          <w:tcPr>
            <w:tcW w:w="2020" w:type="dxa"/>
            <w:vAlign w:val="bottom"/>
            <w:tcBorders>
              <w:bottom w:val="single" w:sz="8" w:color="9A9A9A"/>
            </w:tcBorders>
          </w:tcPr>
          <w:p>
            <w:pPr>
              <w:spacing w:after="0"/>
              <w:rPr>
                <w:sz w:val="10"/>
                <w:szCs w:val="10"/>
                <w:color w:val="auto"/>
              </w:rPr>
            </w:pPr>
          </w:p>
        </w:tc>
        <w:tc>
          <w:tcPr>
            <w:tcW w:w="9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1"/>
                <w:szCs w:val="21"/>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29"/>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0" w:type="dxa"/>
            <w:vAlign w:val="bottom"/>
          </w:tcPr>
          <w:p>
            <w:pPr>
              <w:spacing w:after="0"/>
              <w:rPr>
                <w:sz w:val="1"/>
                <w:szCs w:val="1"/>
                <w:color w:val="auto"/>
              </w:rPr>
            </w:pPr>
          </w:p>
        </w:tc>
      </w:tr>
      <w:tr>
        <w:trPr>
          <w:trHeight w:val="24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2,103.8</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services, net</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4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Supplies inventory</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0" w:type="dxa"/>
            <w:vAlign w:val="bottom"/>
          </w:tcPr>
          <w:p>
            <w:pPr>
              <w:spacing w:after="0"/>
              <w:rPr>
                <w:sz w:val="1"/>
                <w:szCs w:val="1"/>
                <w:color w:val="auto"/>
              </w:rPr>
            </w:pPr>
          </w:p>
        </w:tc>
      </w:tr>
      <w:tr>
        <w:trPr>
          <w:trHeight w:val="237"/>
        </w:trPr>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4,020.5</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3,081.5</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6,789.5</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3,596.0</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Joint venture partnerships and equity method investments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0" w:type="dxa"/>
            <w:vAlign w:val="bottom"/>
          </w:tcPr>
          <w:p>
            <w:pPr>
              <w:spacing w:after="0"/>
              <w:rPr>
                <w:sz w:val="1"/>
                <w:szCs w:val="1"/>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18,924.6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18,392.7</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0" w:type="dxa"/>
            <w:vAlign w:val="bottom"/>
          </w:tcPr>
          <w:p>
            <w:pPr>
              <w:spacing w:after="0"/>
              <w:rPr>
                <w:sz w:val="1"/>
                <w:szCs w:val="1"/>
                <w:color w:val="auto"/>
              </w:rPr>
            </w:pPr>
          </w:p>
        </w:tc>
      </w:tr>
      <w:tr>
        <w:trPr>
          <w:trHeight w:val="24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0" w:type="dxa"/>
            <w:vAlign w:val="bottom"/>
          </w:tcPr>
          <w:p>
            <w:pPr>
              <w:spacing w:after="0"/>
              <w:rPr>
                <w:sz w:val="1"/>
                <w:szCs w:val="1"/>
                <w:color w:val="auto"/>
              </w:rPr>
            </w:pPr>
          </w:p>
        </w:tc>
      </w:tr>
      <w:tr>
        <w:trPr>
          <w:trHeight w:val="243"/>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37"/>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2,823.5</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5,084.6</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4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Common stock, 81.2 and 82.2 shares outstanding at September 30, 2026, and December 31,</w:t>
            </w:r>
          </w:p>
        </w:tc>
        <w:tc>
          <w:tcPr>
            <w:tcW w:w="180" w:type="dxa"/>
            <w:vAlign w:val="bottom"/>
            <w:shd w:val="clear" w:color="auto" w:fill="CCEEFF"/>
          </w:tcPr>
          <w:p>
            <w:pPr>
              <w:spacing w:after="0"/>
              <w:rPr>
                <w:sz w:val="16"/>
                <w:szCs w:val="16"/>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49"/>
        </w:trPr>
        <w:tc>
          <w:tcPr>
            <w:tcW w:w="71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respectively</w:t>
            </w:r>
          </w:p>
        </w:tc>
        <w:tc>
          <w:tcPr>
            <w:tcW w:w="180" w:type="dxa"/>
            <w:vAlign w:val="bottom"/>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7100" w:type="dxa"/>
            <w:vAlign w:val="bottom"/>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8,639.9</w:t>
            </w: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6"/>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8,619.8</w:t>
            </w:r>
          </w:p>
        </w:tc>
        <w:tc>
          <w:tcPr>
            <w:tcW w:w="0" w:type="dxa"/>
            <w:vAlign w:val="bottom"/>
          </w:tcPr>
          <w:p>
            <w:pPr>
              <w:spacing w:after="0"/>
              <w:rPr>
                <w:sz w:val="1"/>
                <w:szCs w:val="1"/>
                <w:color w:val="auto"/>
              </w:rPr>
            </w:pP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18,924.6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18,392.7</w:t>
            </w: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73"/>
        </w:trPr>
        <w:tc>
          <w:tcPr>
            <w:tcW w:w="1840" w:type="dxa"/>
            <w:vAlign w:val="bottom"/>
            <w:tcBorders>
              <w:top w:val="single" w:sz="8" w:color="0000FF"/>
            </w:tcBorders>
          </w:tcPr>
          <w:p>
            <w:pPr>
              <w:spacing w:after="0"/>
              <w:rPr>
                <w:sz w:val="24"/>
                <w:szCs w:val="24"/>
                <w:color w:val="auto"/>
              </w:rPr>
            </w:pPr>
          </w:p>
        </w:tc>
        <w:tc>
          <w:tcPr>
            <w:tcW w:w="586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7080" w:type="dxa"/>
            <w:vAlign w:val="bottom"/>
            <w:gridSpan w:val="8"/>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5860" w:type="dxa"/>
            <w:vAlign w:val="bottom"/>
            <w:gridSpan w:val="5"/>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64"/>
        </w:trPr>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18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1"/>
                <w:szCs w:val="21"/>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0"/>
        </w:trPr>
        <w:tc>
          <w:tcPr>
            <w:tcW w:w="1840" w:type="dxa"/>
            <w:vAlign w:val="bottom"/>
            <w:tcBorders>
              <w:bottom w:val="single" w:sz="8" w:color="CCEEFF"/>
            </w:tcBorders>
          </w:tcPr>
          <w:p>
            <w:pPr>
              <w:spacing w:after="0"/>
              <w:rPr>
                <w:sz w:val="21"/>
                <w:szCs w:val="21"/>
                <w:color w:val="auto"/>
              </w:rPr>
            </w:pPr>
          </w:p>
        </w:tc>
        <w:tc>
          <w:tcPr>
            <w:tcW w:w="302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10,435.9</w:t>
            </w:r>
          </w:p>
        </w:tc>
      </w:tr>
      <w:tr>
        <w:trPr>
          <w:trHeight w:val="243"/>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7,844.8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7,416.6</w:t>
            </w:r>
          </w:p>
        </w:tc>
      </w:tr>
      <w:tr>
        <w:trPr>
          <w:trHeight w:val="237"/>
        </w:trPr>
        <w:tc>
          <w:tcPr>
            <w:tcW w:w="4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3,019.3</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1,678.4</w:t>
            </w: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43"/>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6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43"/>
        </w:trPr>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Investment income</w:t>
            </w:r>
          </w:p>
        </w:tc>
        <w:tc>
          <w:tcPr>
            <w:tcW w:w="1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4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loss, net</w:t>
            </w:r>
          </w:p>
        </w:tc>
        <w:tc>
          <w:tcPr>
            <w:tcW w:w="1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4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6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r>
      <w:tr>
        <w:trPr>
          <w:trHeight w:val="243"/>
        </w:trPr>
        <w:tc>
          <w:tcPr>
            <w:tcW w:w="4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3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43"/>
        </w:trPr>
        <w:tc>
          <w:tcPr>
            <w:tcW w:w="4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6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r>
      <w:tr>
        <w:trPr>
          <w:trHeight w:val="20"/>
        </w:trPr>
        <w:tc>
          <w:tcPr>
            <w:tcW w:w="4860" w:type="dxa"/>
            <w:vAlign w:val="bottom"/>
            <w:tcBorders>
              <w:top w:val="single" w:sz="8" w:color="CCEEFF"/>
            </w:tcBorders>
            <w:gridSpan w:val="2"/>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1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43"/>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73"/>
        </w:trPr>
        <w:tc>
          <w:tcPr>
            <w:tcW w:w="1840" w:type="dxa"/>
            <w:vAlign w:val="bottom"/>
            <w:tcBorders>
              <w:top w:val="single" w:sz="8" w:color="0000FF"/>
            </w:tcBorders>
          </w:tcPr>
          <w:p>
            <w:pPr>
              <w:spacing w:after="0"/>
              <w:rPr>
                <w:sz w:val="24"/>
                <w:szCs w:val="24"/>
                <w:color w:val="auto"/>
              </w:rPr>
            </w:pPr>
          </w:p>
        </w:tc>
        <w:tc>
          <w:tcPr>
            <w:tcW w:w="5860" w:type="dxa"/>
            <w:vAlign w:val="bottom"/>
            <w:gridSpan w:val="5"/>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LABCORP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7320" w:type="dxa"/>
            <w:vAlign w:val="bottom"/>
            <w:gridSpan w:val="9"/>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EARNINGS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8"/>
        </w:trPr>
        <w:tc>
          <w:tcPr>
            <w:tcW w:w="18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64"/>
        </w:trPr>
        <w:tc>
          <w:tcPr>
            <w:tcW w:w="18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2"/>
        </w:trPr>
        <w:tc>
          <w:tcPr>
            <w:tcW w:w="18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0"/>
        </w:trPr>
        <w:tc>
          <w:tcPr>
            <w:tcW w:w="1840" w:type="dxa"/>
            <w:vAlign w:val="bottom"/>
            <w:tcBorders>
              <w:bottom w:val="single" w:sz="8" w:color="CCEEFF"/>
            </w:tcBorders>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4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4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earnings before tax</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4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 related to items of comprehensive earnings</w:t>
            </w:r>
          </w:p>
        </w:tc>
        <w:tc>
          <w:tcPr>
            <w:tcW w:w="14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5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comprehensive (loss) earnings, net of tax</w:t>
            </w:r>
          </w:p>
        </w:tc>
        <w:tc>
          <w:tcPr>
            <w:tcW w:w="1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3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1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r>
      <w:tr>
        <w:trPr>
          <w:trHeight w:val="243"/>
        </w:trPr>
        <w:tc>
          <w:tcPr>
            <w:tcW w:w="5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Less: Net earnings attributable to the noncontrolling interest</w:t>
            </w:r>
          </w:p>
        </w:tc>
        <w:tc>
          <w:tcPr>
            <w:tcW w:w="14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Labcorp Holdings Inc.</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SHAREHOLDERS’ EQUITY</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21" w:right="339" w:bottom="92" w:gutter="0" w:footer="0" w:header="0"/>
        </w:sect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Common</w:t>
            </w:r>
          </w:p>
        </w:tc>
        <w:tc>
          <w:tcPr>
            <w:tcW w:w="0" w:type="dxa"/>
            <w:vAlign w:val="bottom"/>
          </w:tcPr>
          <w:p>
            <w:pPr>
              <w:spacing w:after="0"/>
              <w:rPr>
                <w:sz w:val="1"/>
                <w:szCs w:val="1"/>
                <w:color w:val="auto"/>
              </w:rPr>
            </w:pPr>
          </w:p>
        </w:tc>
      </w:tr>
      <w:tr>
        <w:trPr>
          <w:trHeight w:val="241"/>
        </w:trPr>
        <w:tc>
          <w:tcPr>
            <w:tcW w:w="4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share settlement tax payments from issuance of stock to</w:t>
            </w: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employees</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earnings, net of tax</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share settlement tax payments from issuance of stock to</w:t>
            </w: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employees</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share settlement tax payments from issuance of stock to</w:t>
            </w: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employees</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8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share settlement tax payments from issuance of stock to</w:t>
            </w: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employees</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share settlement tax payments from issuance of stock to</w:t>
            </w: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employees</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common stock</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attributable to Labcorp Holdings Inc.</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 employee stock plans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share settlement tax payments from issuance of stock to</w:t>
            </w:r>
          </w:p>
        </w:tc>
        <w:tc>
          <w:tcPr>
            <w:tcW w:w="1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employees</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-8134350</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-7817485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-7508875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-7080250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-6454140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-6025515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-5716905</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-5400040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-5091430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-4662805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-4354195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-4122420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-3813810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-1087755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8"/>
              </w:rPr>
              <w:t>Additional</w:t>
            </w:r>
          </w:p>
        </w:tc>
        <w:tc>
          <w:tcPr>
            <w:tcW w:w="160" w:type="dxa"/>
            <w:vAlign w:val="bottom"/>
          </w:tcPr>
          <w:p>
            <w:pPr>
              <w:spacing w:after="0"/>
              <w:rPr>
                <w:sz w:val="17"/>
                <w:szCs w:val="17"/>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Retained</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Accumulated Other</w:t>
            </w:r>
          </w:p>
        </w:tc>
        <w:tc>
          <w:tcPr>
            <w:tcW w:w="140" w:type="dxa"/>
            <w:vAlign w:val="bottom"/>
          </w:tcPr>
          <w:p>
            <w:pPr>
              <w:spacing w:after="0"/>
              <w:rPr>
                <w:sz w:val="17"/>
                <w:szCs w:val="17"/>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122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37"/>
        </w:trPr>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Paid-in Capital</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8,303.4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37"/>
        </w:trPr>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8,307.4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7"/>
        </w:trPr>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8,472.7</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8,698.4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8,696.9</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37"/>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6"/>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8,905.2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8,847.8</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2">
            <w:col w:w="5760" w:space="100"/>
            <w:col w:w="5380"/>
          </w:cols>
          <w:pgMar w:left="320" w:top="121" w:right="339" w:bottom="92"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92"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92"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LABCORP HOLDINGS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7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50"/>
        </w:trPr>
        <w:tc>
          <w:tcPr>
            <w:tcW w:w="79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 expense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assets and liabilities (net of effects of acquisitions and divestitures):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unbilled services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supplies inventory</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prepaid expenses and other</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accounts payable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in unearned revenue</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 in accrued expenses and other</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37"/>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equity affiliates or other investments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6"/>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2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term loan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senior notes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4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revolving credit facilities</w:t>
            </w:r>
          </w:p>
        </w:tc>
        <w:tc>
          <w:tcPr>
            <w:tcW w:w="2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accounts receivable securitization</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accounts receivable securitization</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share settlement tax payments from issuance of stock to employees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stock to employees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43"/>
        </w:trPr>
        <w:tc>
          <w:tcPr>
            <w:tcW w:w="7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43"/>
        </w:trPr>
        <w:tc>
          <w:tcPr>
            <w:tcW w:w="7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43"/>
        </w:trPr>
        <w:tc>
          <w:tcPr>
            <w:tcW w:w="7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r>
      <w:tr>
        <w:trPr>
          <w:trHeight w:val="236"/>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r>
      <w:tr>
        <w:trPr>
          <w:trHeight w:val="236"/>
        </w:trPr>
        <w:tc>
          <w:tcPr>
            <w:tcW w:w="7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1,518.7</w:t>
            </w:r>
          </w:p>
        </w:tc>
      </w:tr>
      <w:tr>
        <w:trPr>
          <w:trHeight w:val="262"/>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FINANCIAL STATEMENT PRESENTATION</w:t>
      </w:r>
    </w:p>
    <w:p>
      <w:pPr>
        <w:spacing w:after="0" w:line="145" w:lineRule="exact"/>
        <w:rPr>
          <w:sz w:val="20"/>
          <w:szCs w:val="20"/>
          <w:color w:val="auto"/>
        </w:rPr>
      </w:pPr>
    </w:p>
    <w:p>
      <w:pPr>
        <w:jc w:val="both"/>
        <w:ind w:firstLine="243"/>
        <w:spacing w:after="0"/>
        <w:rPr>
          <w:sz w:val="20"/>
          <w:szCs w:val="20"/>
          <w:color w:val="auto"/>
        </w:rPr>
      </w:pPr>
      <w:r>
        <w:rPr>
          <w:rFonts w:ascii="Times New Roman" w:cs="Times New Roman" w:eastAsia="Times New Roman" w:hAnsi="Times New Roman"/>
          <w:sz w:val="18"/>
          <w:szCs w:val="18"/>
          <w:color w:val="auto"/>
        </w:rPr>
        <w:t>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(Labcorp, LHI, or the Company) is a global leader of innovative and comprehensive laboratory services that provides vital information to help doctors, hospitals, pharmaceutical companies, researchers, and patients make clear and confident decisions. By leveraging its unparalleled diagnostics and drug development capabilities, the Company provides insights and accelerates innovations to improve health and improve lives.</w:t>
      </w:r>
    </w:p>
    <w:p>
      <w:pPr>
        <w:spacing w:after="0" w:line="10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reports its business in two segments, Diagnostics Laboratories and Biopharma Laboratory Services. During the three months ended September 30, 2026, and 2025, Dx and BLS contributed approximately 77% and 23%, respectively, and 78% and 22%, respectively, of Revenues to the Company. During each of the nine months ended September 30, 2026, and 2025, Dx and BLS contributed approximately 78% and 22%, respectively, of Revenues to the Company.</w:t>
      </w:r>
    </w:p>
    <w:p>
      <w:pPr>
        <w:spacing w:after="0" w:line="8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balance sheet at December 31, 2025 presented herein, was derived from the Company’s annual audited Consolidated Financial Statements but does not include all disclosures required by GAAP, which are contained within the Annual Report.</w:t>
      </w:r>
    </w:p>
    <w:p>
      <w:pPr>
        <w:spacing w:after="0" w:line="10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are presented in accordance with the rules and regulations of the SEC and GAAP for interim reporting. As such, certain notes or other information that are normally required by the SEC or GAAP have been omitted if they substantially duplicate the disclosures contained in the Company’s annual audited Consolidated Financial Statements contained within its Annual Report. Accordingly, these Condensed Consolidated Financial Statements and notes should be read in conjunction with the Consolidated Financial Statements and notes thereto contained in the Company’s Annual Report.</w:t>
      </w:r>
    </w:p>
    <w:p>
      <w:pPr>
        <w:spacing w:after="0" w:line="8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These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The Company also has investments in other companies or investment funds that develop technology relating to the Company’s operations. Investments in which the Company does not exercise significant influence (generally, when the Company has an investment of less than 20%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The carrying values of investments without readily determinable fair values were $226.3 and $201.9 at September 30, 2026 and December 31, 2025, respectively, and are included within Other assets, net in the Company’s Condensed Consolidated Balance Sheets.</w:t>
      </w:r>
    </w:p>
    <w:p>
      <w:pPr>
        <w:spacing w:after="0" w:line="9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All significant intercompany transactions and accounts have been eliminated. The Company does not have any significant variable interest entities or special purpose entities whose financial results are not included in these Condensed Consolidated Financial Statements.</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Certain amounts in the prior year’s Condensed Consolidated Statement of Operations, Condensed Consolidated Statement of Cash Flows, and Note 11 Business Segment Information have been reclassified to conform to the current year presentation. These reclassifications had no impact on previously reported Net earnings attributable to LHI, Basic and Diluted EPS, Net cash provided by operating activities, Net cash used for investing activities, or Net decrease in Cash and cash equivalents.</w:t>
      </w:r>
    </w:p>
    <w:p>
      <w:pPr>
        <w:spacing w:after="0" w:line="8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loss within the Condensed Consolidated Balance Sheets.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accounting pronouncement provides all entities with a practical expedient to assume that current conditions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date do not change for the remaining life of the assets when measuring credit losses. ASU 2025-05 is effective for fiscal years beginning after December 15, 2025. This accounting pronouncement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Internal-Use-Software (Topic 350):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This accounting pronouncement improves the operability of the existing guidance by removing all references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software development project stages so that the guidance is neutral to different software development methods. ASU 2025-06 is effective for fiscal years beginning after December 15, 2027. The Company is currently assessing the impact that adopting this accounting pronouncement will have on its Condensed Consolidated Financial Statements.</w:t>
      </w:r>
    </w:p>
    <w:p>
      <w:pPr>
        <w:spacing w:after="0" w:line="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 Entities</w:t>
      </w:r>
      <w:r>
        <w:rPr>
          <w:rFonts w:ascii="Times New Roman" w:cs="Times New Roman" w:eastAsia="Times New Roman" w:hAnsi="Times New Roman"/>
          <w:sz w:val="18"/>
          <w:szCs w:val="18"/>
          <w:color w:val="auto"/>
        </w:rPr>
        <w:t>. This accounting pronouncement establishes guidance on the recognition, measurement, and presentation of government grants received by business entities. ASU 2025-10 is effective for fiscal years beginning after December 15, 2028. The Company is currently assessing the impact that adopting this accounting pronouncement will have on its Condensed Consolidated Financial Statements.</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This accounting pronouncement is intended to improve the navigability of guidance in ASC 270, Interim Reporting, and clarify when it applies. ASU 2025-11 is effective for fiscal years beginning after December 15, 2027. The Company is currently assessing the impact that adopting this accounting pronouncement will have on its future interim reporting.</w:t>
      </w:r>
    </w:p>
    <w:p>
      <w:pPr>
        <w:spacing w:after="0" w:line="8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This accounting pronouncement addresses suggestions received from stakeholders regarding the Accounting Standards Codification and makes other incremental improvements to GAAP that clarify, correct errors in, or make other improvements to a variety of topics that are intended to make it easier to understand and apply. ASU 2025-12 is effective for fiscal years beginning after December 15, 2026. The Company is currently assessing the impact that adopting this accounting pronouncement will have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Revenues by segment and by payer group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40" w:type="dxa"/>
            <w:vAlign w:val="bottom"/>
            <w:tcBorders>
              <w:right w:val="single" w:sz="8" w:color="auto"/>
            </w:tcBorders>
          </w:tcPr>
          <w:p>
            <w:pPr>
              <w:spacing w:after="0"/>
              <w:rPr>
                <w:sz w:val="17"/>
                <w:szCs w:val="17"/>
                <w:color w:val="auto"/>
              </w:rPr>
            </w:pPr>
          </w:p>
        </w:tc>
        <w:tc>
          <w:tcPr>
            <w:tcW w:w="3420" w:type="dxa"/>
            <w:vAlign w:val="bottom"/>
            <w:tcBorders>
              <w:top w:val="single" w:sz="8" w:color="auto"/>
            </w:tcBorders>
            <w:gridSpan w:val="7"/>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720" w:type="dxa"/>
            <w:vAlign w:val="bottom"/>
            <w:tcBorders>
              <w:top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20" w:type="dxa"/>
            <w:vAlign w:val="bottom"/>
            <w:tcBorders>
              <w:top w:val="single" w:sz="8" w:color="auto"/>
            </w:tcBorders>
            <w:gridSpan w:val="7"/>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auto"/>
            </w:tcBorders>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26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North America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30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3"/>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Third party</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3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8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c>
          <w:tcPr>
            <w:tcW w:w="140" w:type="dxa"/>
            <w:vAlign w:val="bottom"/>
            <w:tcBorders>
              <w:right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840" w:type="dxa"/>
            <w:vAlign w:val="bottom"/>
            <w:tcBorders>
              <w:right w:val="single" w:sz="8" w:color="auto"/>
            </w:tcBorders>
            <w:shd w:val="clear" w:color="auto" w:fill="CCEEFF"/>
          </w:tcPr>
          <w:p>
            <w:pPr>
              <w:ind w:left="140"/>
              <w:spacing w:after="0" w:line="153" w:lineRule="exact"/>
              <w:rPr>
                <w:sz w:val="20"/>
                <w:szCs w:val="20"/>
                <w:color w:val="auto"/>
              </w:rPr>
            </w:pPr>
            <w:r>
              <w:rPr>
                <w:rFonts w:ascii="Times New Roman" w:cs="Times New Roman" w:eastAsia="Times New Roman" w:hAnsi="Times New Roman"/>
                <w:sz w:val="14"/>
                <w:szCs w:val="14"/>
                <w:color w:val="auto"/>
              </w:rPr>
              <w:t>Pharmaceutical, biotechnology, medical</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40" w:type="dxa"/>
            <w:vAlign w:val="bottom"/>
            <w:tcBorders>
              <w:right w:val="single" w:sz="8" w:color="auto"/>
            </w:tcBorders>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8"/>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diagnostic companies, and CROs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40" w:type="dxa"/>
            <w:vAlign w:val="bottom"/>
            <w:tcBorders>
              <w:bottom w:val="single" w:sz="8" w:color="CCEEFF"/>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CCEEFF"/>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40" w:type="dxa"/>
            <w:vAlign w:val="bottom"/>
            <w:tcBorders>
              <w:top w:val="single" w:sz="8" w:color="CCEEFF"/>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40" w:type="dxa"/>
            <w:vAlign w:val="bottom"/>
            <w:tcBorders>
              <w:right w:val="single" w:sz="8" w:color="auto"/>
            </w:tcBorders>
          </w:tcPr>
          <w:p>
            <w:pPr>
              <w:spacing w:after="0"/>
              <w:rPr>
                <w:sz w:val="17"/>
                <w:szCs w:val="17"/>
                <w:color w:val="auto"/>
              </w:rPr>
            </w:pPr>
          </w:p>
        </w:tc>
        <w:tc>
          <w:tcPr>
            <w:tcW w:w="3400" w:type="dxa"/>
            <w:vAlign w:val="bottom"/>
            <w:tcBorders>
              <w:top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740" w:type="dxa"/>
            <w:vAlign w:val="bottom"/>
            <w:tcBorders>
              <w:top w:val="single" w:sz="8" w:color="auto"/>
              <w:right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3400" w:type="dxa"/>
            <w:vAlign w:val="bottom"/>
            <w:tcBorders>
              <w:top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40" w:type="dxa"/>
            <w:vAlign w:val="bottom"/>
            <w:tcBorders>
              <w:right w:val="single" w:sz="8" w:color="auto"/>
            </w:tcBorders>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North America</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24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right w:val="single" w:sz="8" w:color="auto"/>
            </w:tcBorders>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North America</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Europe</w:t>
            </w:r>
          </w:p>
        </w:tc>
        <w:tc>
          <w:tcPr>
            <w:tcW w:w="12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right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8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Dx:</w:t>
            </w: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auto"/>
            </w:tcBorders>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Clients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84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Patients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3"/>
        </w:trPr>
        <w:tc>
          <w:tcPr>
            <w:tcW w:w="28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Medicare and Medicaid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4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Third party</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8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Total Dx revenues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40" w:type="dxa"/>
            <w:vAlign w:val="bottom"/>
            <w:tcBorders>
              <w:right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BLS: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Borders>
              <w:right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840" w:type="dxa"/>
            <w:vAlign w:val="bottom"/>
            <w:tcBorders>
              <w:right w:val="single" w:sz="8" w:color="auto"/>
            </w:tcBorders>
            <w:shd w:val="clear" w:color="auto" w:fill="CCEEFF"/>
          </w:tcPr>
          <w:p>
            <w:pPr>
              <w:ind w:left="140"/>
              <w:spacing w:after="0" w:line="153" w:lineRule="exact"/>
              <w:rPr>
                <w:sz w:val="20"/>
                <w:szCs w:val="20"/>
                <w:color w:val="auto"/>
              </w:rPr>
            </w:pPr>
            <w:r>
              <w:rPr>
                <w:rFonts w:ascii="Times New Roman" w:cs="Times New Roman" w:eastAsia="Times New Roman" w:hAnsi="Times New Roman"/>
                <w:sz w:val="14"/>
                <w:szCs w:val="14"/>
                <w:color w:val="auto"/>
              </w:rPr>
              <w:t>Pharmaceutical, biotechnology, medical</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40" w:type="dxa"/>
            <w:vAlign w:val="bottom"/>
            <w:tcBorders>
              <w:right w:val="single" w:sz="8" w:color="auto"/>
            </w:tcBorders>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98"/>
        </w:trPr>
        <w:tc>
          <w:tcPr>
            <w:tcW w:w="2840" w:type="dxa"/>
            <w:vAlign w:val="bottom"/>
            <w:tcBorders>
              <w:right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device, diagnostic companies, and CROs</w:t>
            </w: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tcBorders>
              <w:right w:val="single" w:sz="8" w:color="auto"/>
            </w:tcBorders>
            <w:vMerge w:val="continue"/>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840" w:type="dxa"/>
            <w:vAlign w:val="bottom"/>
            <w:tcBorders>
              <w:bottom w:val="single" w:sz="8" w:color="CCEEFF"/>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CCEEFF"/>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840" w:type="dxa"/>
            <w:vAlign w:val="bottom"/>
            <w:tcBorders>
              <w:top w:val="single" w:sz="8" w:color="CCEEFF"/>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40" w:type="dxa"/>
            <w:vAlign w:val="bottom"/>
            <w:tcBorders>
              <w:top w:val="single" w:sz="8" w:color="CCEEFF"/>
              <w:bottom w:val="single" w:sz="8" w:color="CCEEFF"/>
              <w:right w:val="single" w:sz="8" w:color="auto"/>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28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Revenues in the U.S. were $3,169.0 (83.2%) and $2,968.5 (83.3%) for the three months ended September 30, 2026, and 2025, respectively, and were $9,178.5 (82.8%) and $8,713.9 (83.5%) for the nine months ended September 30, 2026, and 2025,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Unbilled Services, and Unearned Revenue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and unbilled services from contracts with customers: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60" w:type="dxa"/>
            <w:vAlign w:val="bottom"/>
          </w:tcPr>
          <w:p>
            <w:pPr>
              <w:spacing w:after="0"/>
              <w:rPr>
                <w:sz w:val="21"/>
                <w:szCs w:val="21"/>
                <w:color w:val="auto"/>
              </w:rPr>
            </w:pPr>
          </w:p>
        </w:tc>
        <w:tc>
          <w:tcPr>
            <w:tcW w:w="20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4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accounts receivable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BLS accounts receivable</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credit losses</w:t>
            </w:r>
          </w:p>
        </w:tc>
        <w:tc>
          <w:tcPr>
            <w:tcW w:w="2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3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2,103.8</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83"/>
        </w:trPr>
        <w:tc>
          <w:tcPr>
            <w:tcW w:w="6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4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unbilled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4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BLS allowance for credit losses</w:t>
            </w:r>
          </w:p>
        </w:tc>
        <w:tc>
          <w:tcPr>
            <w:tcW w:w="2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services,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1"/>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Revenues recognized during the period that were included in the unearned revenue balance at the beginning of the period were $19.0 and $16.0 for the three months ended September 30, 2026, and 2025, respectively, and were $111.4 and $119.3 for the nine months ended September 30, 2026, and 2025, respectively.</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BLS estimates future expected credit losses on Accounts receivable, net and Unbilled services, net over the remaining collection period of the underlying asset. The rollforward for the allowance for credit losses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Accounts</w:t>
            </w: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Unbilled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6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Receivable, net</w:t>
            </w:r>
          </w:p>
        </w:tc>
        <w:tc>
          <w:tcPr>
            <w:tcW w:w="18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Services, net</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4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impact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62"/>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BUSINESS ACQUISITIONS</w:t>
      </w:r>
    </w:p>
    <w:p>
      <w:pPr>
        <w:spacing w:after="0" w:line="13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acquired various businesses and related assets for total consideration of $789.1, net of cash acquired and including measurement period adjustments. Total consideration included cash payments and, as applicable, contingent consideration payable by the Company primarily upon the achievement of specified future performance targets of the acquired businesses. The preliminary purchase price for each of these acquisitions was allocated under the acquisition method of accounting to the estimated fair market value of the net assets acquired. During the nine months ended September 30, 2026, the Company recorded $439.0 of goodwill, including measurement period adjustments, of which $223.2 was tax-deductible. The following table includes the preliminary purchase price allocations for these acquisitions at September 30, 2026, which may be revised as additional information becomes available during the measurement period: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Empire City</w:t>
            </w:r>
          </w:p>
        </w:tc>
        <w:tc>
          <w:tcPr>
            <w:tcW w:w="140" w:type="dxa"/>
            <w:vAlign w:val="bottom"/>
          </w:tcPr>
          <w:p>
            <w:pPr>
              <w:spacing w:after="0"/>
              <w:rPr>
                <w:sz w:val="13"/>
                <w:szCs w:val="13"/>
                <w:color w:val="auto"/>
              </w:rPr>
            </w:pPr>
          </w:p>
        </w:tc>
        <w:tc>
          <w:tcPr>
            <w:tcW w:w="1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Parkview Health</w:t>
            </w:r>
          </w:p>
        </w:tc>
        <w:tc>
          <w:tcPr>
            <w:tcW w:w="140" w:type="dxa"/>
            <w:vAlign w:val="bottom"/>
          </w:tcPr>
          <w:p>
            <w:pPr>
              <w:spacing w:after="0"/>
              <w:rPr>
                <w:sz w:val="13"/>
                <w:szCs w:val="13"/>
                <w:color w:val="auto"/>
              </w:rPr>
            </w:pPr>
          </w:p>
        </w:tc>
        <w:tc>
          <w:tcPr>
            <w:tcW w:w="11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MLM Medical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 Acquisitions Closed</w:t>
            </w:r>
          </w:p>
        </w:tc>
        <w:tc>
          <w:tcPr>
            <w:tcW w:w="160" w:type="dxa"/>
            <w:vAlign w:val="bottom"/>
          </w:tcPr>
          <w:p>
            <w:pPr>
              <w:spacing w:after="0"/>
              <w:rPr>
                <w:sz w:val="13"/>
                <w:szCs w:val="13"/>
                <w:color w:val="auto"/>
              </w:rPr>
            </w:pPr>
          </w:p>
        </w:tc>
        <w:tc>
          <w:tcPr>
            <w:tcW w:w="11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Acquired During</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During the Nine Months</w:t>
            </w:r>
          </w:p>
        </w:tc>
        <w:tc>
          <w:tcPr>
            <w:tcW w:w="16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6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the Nine Months Ended</w:t>
            </w:r>
          </w:p>
        </w:tc>
        <w:tc>
          <w:tcPr>
            <w:tcW w:w="0" w:type="dxa"/>
            <w:vAlign w:val="bottom"/>
          </w:tcPr>
          <w:p>
            <w:pPr>
              <w:spacing w:after="0"/>
              <w:rPr>
                <w:sz w:val="1"/>
                <w:szCs w:val="1"/>
                <w:color w:val="auto"/>
              </w:rPr>
            </w:pPr>
          </w:p>
        </w:tc>
      </w:tr>
      <w:tr>
        <w:trPr>
          <w:trHeight w:val="209"/>
        </w:trPr>
        <w:tc>
          <w:tcPr>
            <w:tcW w:w="2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Laboratories, Inc.</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Systems, Inc.</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Labs</w:t>
            </w: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Ended September 30, 2026</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services</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439.0</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6"/>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 acquired</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0" w:type="dxa"/>
            <w:vAlign w:val="bottom"/>
          </w:tcPr>
          <w:p>
            <w:pPr>
              <w:spacing w:after="0"/>
              <w:rPr>
                <w:sz w:val="1"/>
                <w:szCs w:val="1"/>
                <w:color w:val="auto"/>
              </w:rPr>
            </w:pPr>
          </w:p>
        </w:tc>
      </w:tr>
      <w:tr>
        <w:trPr>
          <w:trHeight w:val="23"/>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Unearned revenue</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payable</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3"/>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liabilities acquired</w:t>
            </w: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18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799.0</w:t>
            </w: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93"/>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2025 escrow payments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3"/>
        </w:trPr>
        <w:tc>
          <w:tcPr>
            <w:tcW w:w="2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acquisitions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Intangible assets recognized from business acquisitions that closed during the nine months ended September 30, 2026, including any related measurement period adjustments, and their weighted-average amortization periods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Weighted-average</w:t>
            </w:r>
          </w:p>
        </w:tc>
      </w:tr>
      <w:tr>
        <w:trPr>
          <w:trHeight w:val="175"/>
        </w:trPr>
        <w:tc>
          <w:tcPr>
            <w:tcW w:w="7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Amortization Period</w:t>
            </w:r>
          </w:p>
        </w:tc>
      </w:tr>
      <w:tr>
        <w:trPr>
          <w:trHeight w:val="250"/>
        </w:trPr>
        <w:tc>
          <w:tcPr>
            <w:tcW w:w="77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7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June 28, 2026, the Company entered into an agreement to acquire select assets of an outreach laboratory services business for a purchase price of approximately $155.0. The transaction is subject to customary closing conditions and applicable regulatory approvals for a transaction of this type.</w:t>
      </w:r>
    </w:p>
    <w:p>
      <w:pPr>
        <w:spacing w:after="0" w:line="67" w:lineRule="exact"/>
        <w:rPr>
          <w:sz w:val="20"/>
          <w:szCs w:val="20"/>
          <w:color w:val="auto"/>
        </w:rPr>
      </w:pPr>
    </w:p>
    <w:p>
      <w:pPr>
        <w:jc w:val="both"/>
        <w:ind w:firstLine="243"/>
        <w:spacing w:after="0" w:line="232" w:lineRule="auto"/>
        <w:rPr>
          <w:sz w:val="20"/>
          <w:szCs w:val="20"/>
          <w:color w:val="auto"/>
        </w:rPr>
      </w:pPr>
      <w:r>
        <w:rPr>
          <w:rFonts w:ascii="Times New Roman" w:cs="Times New Roman" w:eastAsia="Times New Roman" w:hAnsi="Times New Roman"/>
          <w:sz w:val="18"/>
          <w:szCs w:val="18"/>
          <w:color w:val="auto"/>
        </w:rPr>
        <w:t>On October 15, 2026, the Company announced that it entered into an agreement with OPKO Health, Inc. to acquire select assets of the laboratory business of BioReference Health, LLC, a wholly owned subsidiary of OPKO. Through this transaction, the Company will acquire BioReference Health’s laboratory testing businesses focused on clinical and women’s health testing services, urology, corrections, certain operational assets, including additional patient service centers, and the proprietary 4Kscore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an FDA-approved blood test for prostate cancer. The estimated purchase price for the transaction is up to $872.0, including $722.0 payable in cash at closing and up to $150.0 of consideration contingent upon revenue from the 4Kscore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This transaction is anticipated to close mid-2027, subject to regulatory approvals and customary closing conditions for a transaction of this type.</w:t>
      </w:r>
    </w:p>
    <w:p>
      <w:pPr>
        <w:spacing w:after="0" w:line="10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October 20, 2026, the Company announced that it entered into an agreement to acquire the Prenatal Health testing business from Myriad Genetics, Inc. The estimated purchase price for this transaction is approximately $210.0 in cash, plus the value of the inventory of the Prenatal Health testing business at closing. The transaction is expected to close early 2027, subject to customary closing conditions and applicable regulatory approvals for a transaction of this type.</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October 23, 2026, the Company announced that it entered into an agreement to acquire Millennium Health, an accredited specialty laboratory with a focus on drug testing and surveillance. The estimated purchase price for the transaction is up to $375.0, including $245.0 payable in cash at closing and up to $130.0 of consideration contingent upon the outcome of specified future events. This transaction is anticipated to close in 2026, subject to regulatory approvals and customary closing conditions for a transaction of this type.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Supplemental Pro Forma Information</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If the aggregate of the Company’s 2026 and 2025 acquisitions, that were accounted for as business combinations, had been completed at January 1, 2025, the Company’s pro forma results would have been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1"/>
                <w:szCs w:val="21"/>
                <w:color w:val="auto"/>
              </w:rPr>
            </w:pPr>
          </w:p>
        </w:tc>
        <w:tc>
          <w:tcPr>
            <w:tcW w:w="34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35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10,666.6</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LHI</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r>
      <w:tr>
        <w:trPr>
          <w:trHeight w:val="918"/>
        </w:trPr>
        <w:tc>
          <w:tcPr>
            <w:tcW w:w="3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Basic EPS is computed by dividing Net earnings attributable to Labcorp Holdings Inc. by the weighted-average number of common shares outstanding. Diluted EPS is computed by dividing Net earnings attributable to Labcorp Holdings Inc., and if applicable, including the impact of dilutive adjustments by the weighted-average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units, and/or performance share awards.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The following represents a reconciliation of Basic EPS to Diluted EPS:</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10"/>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16"/>
                <w:szCs w:val="16"/>
                <w:color w:val="auto"/>
              </w:rPr>
            </w:pPr>
          </w:p>
        </w:tc>
        <w:tc>
          <w:tcPr>
            <w:tcW w:w="10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8"/>
              </w:rPr>
              <w:t>Dilutive</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16"/>
                <w:szCs w:val="16"/>
                <w:color w:val="auto"/>
              </w:rPr>
            </w:pPr>
          </w:p>
        </w:tc>
        <w:tc>
          <w:tcPr>
            <w:tcW w:w="10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8"/>
              </w:rPr>
              <w:t>Dilutive</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LHI</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6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10"/>
          </w:tcPr>
          <w:p>
            <w:pPr>
              <w:ind w:left="7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16"/>
                <w:szCs w:val="16"/>
                <w:color w:val="auto"/>
              </w:rPr>
            </w:pPr>
          </w:p>
        </w:tc>
        <w:tc>
          <w:tcPr>
            <w:tcW w:w="10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8"/>
              </w:rPr>
              <w:t>Dilutive</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00" w:type="dxa"/>
            <w:vAlign w:val="bottom"/>
          </w:tcPr>
          <w:p>
            <w:pPr>
              <w:spacing w:after="0"/>
              <w:rPr>
                <w:sz w:val="16"/>
                <w:szCs w:val="16"/>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7"/>
              </w:rPr>
              <w:t>Basic EPS</w:t>
            </w:r>
          </w:p>
        </w:tc>
        <w:tc>
          <w:tcPr>
            <w:tcW w:w="100" w:type="dxa"/>
            <w:vAlign w:val="bottom"/>
          </w:tcPr>
          <w:p>
            <w:pPr>
              <w:spacing w:after="0"/>
              <w:rPr>
                <w:sz w:val="16"/>
                <w:szCs w:val="16"/>
                <w:color w:val="auto"/>
              </w:rPr>
            </w:pPr>
          </w:p>
        </w:tc>
        <w:tc>
          <w:tcPr>
            <w:tcW w:w="106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8"/>
              </w:rPr>
              <w:t>Dilutive</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Effect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LHI</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6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EPS because their impact would have been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antidilutive:</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80"/>
        </w:trPr>
        <w:tc>
          <w:tcPr>
            <w:tcW w:w="4020" w:type="dxa"/>
            <w:vAlign w:val="bottom"/>
          </w:tcPr>
          <w:p>
            <w:pPr>
              <w:spacing w:after="0"/>
              <w:rPr>
                <w:sz w:val="24"/>
                <w:szCs w:val="24"/>
                <w:color w:val="auto"/>
              </w:rPr>
            </w:pPr>
          </w:p>
        </w:tc>
        <w:tc>
          <w:tcPr>
            <w:tcW w:w="3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40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19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balances, net of impairment, and changes in the carrying amount of goodwill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Dx</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BLS</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4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5,434.8</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1,354.7</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6,789.5</w:t>
            </w:r>
          </w:p>
        </w:tc>
      </w:tr>
      <w:tr>
        <w:trPr>
          <w:trHeight w:val="243"/>
        </w:trPr>
        <w:tc>
          <w:tcPr>
            <w:tcW w:w="6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acquired, excluding measurement period adjustments</w:t>
            </w:r>
          </w:p>
        </w:tc>
        <w:tc>
          <w:tcPr>
            <w:tcW w:w="8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43"/>
        </w:trPr>
        <w:tc>
          <w:tcPr>
            <w:tcW w:w="6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impact and other adjustments</w:t>
            </w:r>
          </w:p>
        </w:tc>
        <w:tc>
          <w:tcPr>
            <w:tcW w:w="8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3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5,693.6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7,177.0</w:t>
            </w:r>
          </w:p>
        </w:tc>
      </w:tr>
      <w:tr>
        <w:trPr>
          <w:trHeight w:val="20"/>
        </w:trPr>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did not record a goodwill or an intangible asset impairment charge.</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cumulative goodwill impairment for the Company as of September 30, 2026, and December 31, 2025, was $648.5 and primarily represents the goodwill of the Company’s ED reporting unit within the BLS segment.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identifiable intangible assets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16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Range of Useful Lives</w:t>
            </w:r>
          </w:p>
        </w:tc>
        <w:tc>
          <w:tcPr>
            <w:tcW w:w="140" w:type="dxa"/>
            <w:vAlign w:val="bottom"/>
          </w:tcPr>
          <w:p>
            <w:pPr>
              <w:spacing w:after="0"/>
              <w:rPr>
                <w:sz w:val="15"/>
                <w:szCs w:val="15"/>
                <w:color w:val="auto"/>
              </w:rPr>
            </w:pPr>
          </w:p>
        </w:tc>
        <w:tc>
          <w:tcPr>
            <w:tcW w:w="76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Accumulated</w:t>
            </w:r>
          </w:p>
        </w:tc>
        <w:tc>
          <w:tcPr>
            <w:tcW w:w="10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Net Carrying</w:t>
            </w:r>
          </w:p>
        </w:tc>
        <w:tc>
          <w:tcPr>
            <w:tcW w:w="120" w:type="dxa"/>
            <w:vAlign w:val="bottom"/>
          </w:tcPr>
          <w:p>
            <w:pPr>
              <w:spacing w:after="0"/>
              <w:rPr>
                <w:sz w:val="15"/>
                <w:szCs w:val="15"/>
                <w:color w:val="auto"/>
              </w:rPr>
            </w:pPr>
          </w:p>
        </w:tc>
        <w:tc>
          <w:tcPr>
            <w:tcW w:w="800" w:type="dxa"/>
            <w:vAlign w:val="bottom"/>
          </w:tcPr>
          <w:p>
            <w:pPr>
              <w:jc w:val="center"/>
              <w:ind w:right="59"/>
              <w:spacing w:after="0" w:line="175" w:lineRule="exact"/>
              <w:rPr>
                <w:sz w:val="20"/>
                <w:szCs w:val="20"/>
                <w:color w:val="auto"/>
              </w:rPr>
            </w:pPr>
            <w:r>
              <w:rPr>
                <w:rFonts w:ascii="Times New Roman" w:cs="Times New Roman" w:eastAsia="Times New Roman" w:hAnsi="Times New Roman"/>
                <w:sz w:val="16"/>
                <w:szCs w:val="16"/>
                <w:color w:val="auto"/>
              </w:rPr>
              <w:t>Gross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auto"/>
              </w:rPr>
              <w:t>Accumulated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Net Carrying</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(in Years)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9"/>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19"/>
                <w:szCs w:val="19"/>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Amount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Pr>
          <w:p>
            <w:pPr>
              <w:spacing w:after="0"/>
              <w:rPr>
                <w:sz w:val="19"/>
                <w:szCs w:val="19"/>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216"/>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4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(1,956.0)</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2,709.0</w:t>
            </w:r>
          </w:p>
        </w:tc>
        <w:tc>
          <w:tcPr>
            <w:tcW w:w="0" w:type="dxa"/>
            <w:vAlign w:val="bottom"/>
          </w:tcPr>
          <w:p>
            <w:pPr>
              <w:spacing w:after="0"/>
              <w:rPr>
                <w:sz w:val="1"/>
                <w:szCs w:val="1"/>
                <w:color w:val="auto"/>
              </w:rPr>
            </w:pPr>
          </w:p>
        </w:tc>
      </w:tr>
      <w:tr>
        <w:trPr>
          <w:trHeight w:val="23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licenses, and technology</w:t>
            </w:r>
          </w:p>
        </w:tc>
        <w:tc>
          <w:tcPr>
            <w:tcW w:w="42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3</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0" w:type="dxa"/>
            <w:vAlign w:val="bottom"/>
          </w:tcPr>
          <w:p>
            <w:pPr>
              <w:spacing w:after="0"/>
              <w:rPr>
                <w:sz w:val="1"/>
                <w:szCs w:val="1"/>
                <w:color w:val="auto"/>
              </w:rPr>
            </w:pPr>
          </w:p>
        </w:tc>
      </w:tr>
      <w:tr>
        <w:trPr>
          <w:trHeight w:val="226"/>
        </w:trPr>
        <w:tc>
          <w:tcPr>
            <w:tcW w:w="2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Non-compete agreements</w:t>
            </w:r>
          </w:p>
        </w:tc>
        <w:tc>
          <w:tcPr>
            <w:tcW w:w="42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w w:val="99"/>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9"/>
              </w:rPr>
              <w:t>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center"/>
              <w:ind w:right="139"/>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3,036.8</w:t>
            </w:r>
          </w:p>
        </w:tc>
        <w:tc>
          <w:tcPr>
            <w:tcW w:w="0" w:type="dxa"/>
            <w:vAlign w:val="bottom"/>
          </w:tcPr>
          <w:p>
            <w:pPr>
              <w:spacing w:after="0"/>
              <w:rPr>
                <w:sz w:val="1"/>
                <w:szCs w:val="1"/>
                <w:color w:val="auto"/>
              </w:rPr>
            </w:pPr>
          </w:p>
        </w:tc>
      </w:tr>
      <w:tr>
        <w:trPr>
          <w:trHeight w:val="23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4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Canadian and other licenses</w:t>
            </w:r>
          </w:p>
        </w:tc>
        <w:tc>
          <w:tcPr>
            <w:tcW w:w="4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0" w:type="dxa"/>
            <w:vAlign w:val="bottom"/>
          </w:tcPr>
          <w:p>
            <w:pPr>
              <w:spacing w:after="0"/>
              <w:rPr>
                <w:sz w:val="1"/>
                <w:szCs w:val="1"/>
                <w:color w:val="auto"/>
              </w:rPr>
            </w:pPr>
          </w:p>
        </w:tc>
      </w:tr>
      <w:tr>
        <w:trPr>
          <w:trHeight w:val="24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4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purchased select licenses classified as intangible assets for a total estimated purchase price up to $41.0, which included a $15.0 cash payment and up to $26.0 of consideration contingent upon meeting event-based outcomes, and will be amortized over a 20-year useful life. The cash payment is classified within investing activities in the Condensed Consolidated Statement of Cash Flows.</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was $78.7 and $69.5 for the three months ended September 30, 2026, and 2025, respectively, and was $232.4 and $207.4 for the nine months ended September 30, 2026, and 2025, respectively. At September 30, 2026, the amortization expense of intangible assets is estimated to be $81.2 for the remainder of 2026, $307.9 in 2027, $300.2 in 2028, $287.1 in 2029, $278.7 in 2030, and $1,921.5 thereafter.</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borrowings and the current portion of long-term debt consisted of the following:</w:t>
            </w:r>
          </w:p>
        </w:tc>
        <w:tc>
          <w:tcPr>
            <w:tcW w:w="1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70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1.55% senior notes due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61"/>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borrowings and current portion of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4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Term Loan due 2028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2027</w:t>
            </w:r>
          </w:p>
        </w:tc>
        <w:tc>
          <w:tcPr>
            <w:tcW w:w="180" w:type="dxa"/>
            <w:vAlign w:val="bottom"/>
          </w:tcPr>
          <w:p>
            <w:pPr>
              <w:spacing w:after="0"/>
              <w:rPr>
                <w:sz w:val="21"/>
                <w:szCs w:val="21"/>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2.95% senior notes due 2029</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4.35% senior notes due 2030</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2.70% senior notes due 2031</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4.55% senior notes due 2032</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4.80% senior notes due 2034</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4.70% senior notes due 2045</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 Facility due 2029</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61"/>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March 20, 2026, the Company entered into the $750.0 2026 Term Loan that will mature on March 20, 2028. On June 1, 2026, the net proceeds of the 2026 Term Loan were used to redeem the Company’s outstanding 1.55% senior notes due 2026 and, to the extent not used for such purpose, were made available for other general corporate uses. The principal balance of the 2026 Term Loan bears interest at a floating per annum rate equal to, at the Company’s election, either (i) a SOFR-based rate plus a margin of 0.700% or (ii) a base rate plus a margin of 0.0%. At September 30, 2026, the effective interest rate on the 2026 Term Loan was 4.77%.</w:t>
      </w:r>
    </w:p>
    <w:p>
      <w:pPr>
        <w:spacing w:after="0" w:line="102"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 maintains a senior revolving credit facility, which was amended and restated on June 27, 2025. It consists of a five-year revolving facility in the principal amount of up to $1,000.0, with the option of increasing the facility by up to an additional $500.0, subject to certain conditions, including obtaining additional commitments from new or existing lenders. The revolving credit facility also provides for a subfacility of up to $100.0 for swing line borrowings and a subfacility of up to $150.0 for issuances of letters of credit. Borrowings under the revolving credit facility bear interest at a floating rate equal to either (i) a SOFR-based rate plus a margin ranging from 0.805% to 1.300% or (ii) a base rate plus a margin ranging from 0.0% to 0.300%, in each case depending on the Company’s long-term debt ratings. The Company is required to pay a facility fee quarterly on the aggregate amount of commitments under the revolving credit facility, at a per annum rate ranging from 0.070% to 0.200%, depending on the Company’s long-term debt ratings, regardless of usage. The revolving credit facility is permitted to be used for general corporate purposes, including working capital, capital expenditures, funding of share repurchases and certain other payments, acquisitions, and other investments. The Company had $1,000.0 of available borrowing capacity under its revolving credit facility at September 30, 2026. At September 30, 2026, the effective interest rate on the revolving credit facility was 4.94%. In addition, there was $107.3 in outstanding letters of credit on the Company’s subfacility at September 30, 2026. The revolving credit facility expires in June 2030.</w:t>
      </w:r>
    </w:p>
    <w:p>
      <w:pPr>
        <w:spacing w:after="0" w:line="9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August 23, 2024, the Company and a SPV entered into a $300.0 three-year accounts receivable securitization facility with PNC Bank, National Association (PNC) as administrative agent. The AR Facility provides for purchases of accounts receivable by PNC in an amount of up to $300.0 through August 2027, and may increase up to $700.0, subject to the satisfaction of certain conditions.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January 31, 2025, the Company amended its AR Facility. The amended AR Facility increased the amount the Company can borrow from $300.0 to $700.0 through August 2027. On January 28, 2026, the Company further amended its AR Facility. Among other things, this amendment extended the scheduled termination date to January 26, 2029.</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SPV is a variable interest entity for which the Company is the primary beneficiary. The SPV’s sole business consists of the continuous purchase of receivables from the Company which is used as collateral for the loan. Although the SPV is included in the Company’s Condensed Consolidated Financial Statements, it is a separate legal entity with separate creditors.</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Upon the transfer of ownership and control of the receivables to the SPV, the Company has no retained interests in the receivables sold and they become unavailable to the Company’s creditors should the relevant seller become insolvent. The Company has collection and administrative responsibilities for the receivables sold to the SPV.</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net of repayments, the Company received loan proceeds of $31.0 and $225.0, respectively, under the AR Facility. Proceeds and payments under the AR Facility are included in financing activities in the Condensed Consolidated Statement of Cash Flows. At September 30, 2026, the effective interest rate on the AR Facility was 4.90%.</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Company’s 2026 Term Loan, revolving credit facility, indentures relating to the Company’s senior notes, and AR Facility, the Company is subject to negative covenants limiting subsidiary indebtedness and certain other covenants typical for investment grade-rated borrowers, and with respect to the 2026 Term Loan and revolving credit facility, the Company is required to maintain certain leverage ratios. The Company was in compliance with all such covenants and leverage ratios at September 30, 2026, and expects continued compliance with its existing covenants and leverage ratios for the next 12 months.</w:t>
      </w:r>
    </w:p>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PREFERRED STOCK AND COMMON SHAREHOLDERS’ EQUITY</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265.0 shares of its Common Stock. The Company is authorized to issue up to 30.0 shares of preferred stock, par value $0.10 per share. There were no preferred shares outstanding at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changes in the Company’s shares of Common Stock issued and outstanding are summarized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40" w:type="dxa"/>
            <w:vAlign w:val="bottom"/>
            <w:tcBorders>
              <w:bottom w:val="single" w:sz="8" w:color="CCEEFF"/>
            </w:tcBorders>
          </w:tcPr>
          <w:p>
            <w:pPr>
              <w:spacing w:after="0"/>
              <w:rPr>
                <w:sz w:val="21"/>
                <w:szCs w:val="21"/>
                <w:color w:val="auto"/>
              </w:rPr>
            </w:pPr>
          </w:p>
        </w:tc>
        <w:tc>
          <w:tcPr>
            <w:tcW w:w="4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r>
      <w:tr>
        <w:trPr>
          <w:trHeight w:val="24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43"/>
        </w:trPr>
        <w:tc>
          <w:tcPr>
            <w:tcW w:w="7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1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Shares repurchased</w:t>
            </w:r>
          </w:p>
        </w:tc>
        <w:tc>
          <w:tcPr>
            <w:tcW w:w="4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1"/>
        </w:trPr>
        <w:tc>
          <w:tcPr>
            <w:tcW w:w="714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entered and may continue to enter into Rule 10b5-1 plans to facilitate repurchases of its Common Stock. During the nine months ended September 30, 2026, the Company purchased 1.7 shares of its Common Stock at an average price of $263.12 per share for a total cost of $451.8. During the nine months ended September 30, 2025, the Company purchased 0.9 shares of its Common Stock at an average price of $249.27 per share for a total cost of $225.0.</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July 8, 2026, the Board authorized the repurchase of an additional $1,000.0 in the maximum value of the Company’s shares of Common Stock as part of the Company’s ongoing share repurchase program. At September 30, 2026, the Company had outstanding authorization from its Board to purchase up to $1,378.6 maximum value of shares of Common Stock. The repurchase authorization has no expiration date.</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When the Company repurchases shares of Common Stock, the amount paid to repurchase the shares in excess of the par or stated value is allocated to Additional paid-in capital within the Condensed Consolidated Balance Sheet unless subject to limitation or the balance in Additional paid-in capital is exhausted. Remaining amounts are recognized as a reduction in Retained earnings within the Company’s Condensed Consolidated Balance Sheet.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September 30, 2026, and 2025, the Company declared and paid a cash dividend of $0.72 per share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and 2025, the Company declared and paid a cash dividend of $2.16 per share of Common Stock.</w:t>
      </w:r>
    </w:p>
    <w:p>
      <w:pPr>
        <w:spacing w:after="0" w:line="12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October 21, 2026, the Company announced a cash dividend of $0.72 per share of Common Stock, or approximately $59.0 in the aggregate. The dividend will be paid on December 11, 2026, to stockholders of record of all issued and outstanding shares of Common Stock as of the close of business on November 24, 2026. The declaration and payment of any future dividends will be at the discretion of the Board.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21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Net Benefit Plan Adjustments</w:t>
            </w:r>
          </w:p>
        </w:tc>
        <w:tc>
          <w:tcPr>
            <w:tcW w:w="240" w:type="dxa"/>
            <w:vAlign w:val="bottom"/>
          </w:tcPr>
          <w:p>
            <w:pPr>
              <w:spacing w:after="0"/>
              <w:rPr>
                <w:sz w:val="16"/>
                <w:szCs w:val="16"/>
                <w:color w:val="auto"/>
              </w:rPr>
            </w:pPr>
          </w:p>
        </w:tc>
        <w:tc>
          <w:tcPr>
            <w:tcW w:w="1860" w:type="dxa"/>
            <w:vAlign w:val="bottom"/>
          </w:tcPr>
          <w:p>
            <w:pPr>
              <w:jc w:val="right"/>
              <w:ind w:right="311"/>
              <w:spacing w:after="0"/>
              <w:rPr>
                <w:sz w:val="20"/>
                <w:szCs w:val="20"/>
                <w:color w:val="auto"/>
              </w:rPr>
            </w:pPr>
            <w:r>
              <w:rPr>
                <w:rFonts w:ascii="Times New Roman" w:cs="Times New Roman" w:eastAsia="Times New Roman" w:hAnsi="Times New Roman"/>
                <w:sz w:val="16"/>
                <w:szCs w:val="16"/>
                <w:color w:val="auto"/>
              </w:rPr>
              <w:t>Accumulated Other</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6"/>
                <w:szCs w:val="16"/>
                <w:color w:val="auto"/>
              </w:rPr>
              <w:t>Adjustments</w:t>
            </w:r>
          </w:p>
        </w:tc>
        <w:tc>
          <w:tcPr>
            <w:tcW w:w="2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color w:val="auto"/>
              </w:rPr>
              <w:t>Comprehensive Loss</w:t>
            </w:r>
          </w:p>
        </w:tc>
        <w:tc>
          <w:tcPr>
            <w:tcW w:w="0" w:type="dxa"/>
            <w:vAlign w:val="bottom"/>
          </w:tcPr>
          <w:p>
            <w:pPr>
              <w:spacing w:after="0"/>
              <w:rPr>
                <w:sz w:val="1"/>
                <w:szCs w:val="1"/>
                <w:color w:val="auto"/>
              </w:rPr>
            </w:pPr>
          </w:p>
        </w:tc>
      </w:tr>
      <w:tr>
        <w:trPr>
          <w:trHeight w:val="94"/>
        </w:trPr>
        <w:tc>
          <w:tcPr>
            <w:tcW w:w="4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38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effect on adjustments</w:t>
            </w:r>
          </w:p>
        </w:tc>
        <w:tc>
          <w:tcPr>
            <w:tcW w:w="3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3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on adjustments</w:t>
            </w:r>
          </w:p>
        </w:tc>
        <w:tc>
          <w:tcPr>
            <w:tcW w:w="38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11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6"/>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380" w:type="dxa"/>
            <w:vAlign w:val="bottom"/>
            <w:tcBorders>
              <w:top w:val="single" w:sz="8" w:color="auto"/>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effect on adjustments</w:t>
            </w:r>
          </w:p>
        </w:tc>
        <w:tc>
          <w:tcPr>
            <w:tcW w:w="3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90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on adjustments</w:t>
            </w:r>
          </w:p>
        </w:tc>
        <w:tc>
          <w:tcPr>
            <w:tcW w:w="38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11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380" w:type="dxa"/>
            <w:vAlign w:val="bottom"/>
            <w:tcBorders>
              <w:top w:val="single" w:sz="8" w:color="auto"/>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5.8</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effect on adjustments</w:t>
            </w:r>
          </w:p>
        </w:tc>
        <w:tc>
          <w:tcPr>
            <w:tcW w:w="3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3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7"/>
              </w:rPr>
              <w:t>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year adjustments</w:t>
            </w:r>
          </w:p>
        </w:tc>
        <w:tc>
          <w:tcPr>
            <w:tcW w:w="3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180" w:type="dxa"/>
            <w:vAlign w:val="bottom"/>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43"/>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on adjustments</w:t>
            </w:r>
          </w:p>
        </w:tc>
        <w:tc>
          <w:tcPr>
            <w:tcW w:w="38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118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62"/>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60" w:firstLine="8"/>
        <w:spacing w:after="0" w:line="393"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Commitments</w:t>
      </w:r>
    </w:p>
    <w:p>
      <w:pPr>
        <w:spacing w:after="0" w:line="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a noncancelable contract with a vendor to purchase supplies inventory pursuant to which the Company is obligated to make expected total future minimum payments of $111.5, including $4.8 for the remainder of 2026, $32.7 in 2027, and $74.0 in 2028.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35" w:lineRule="exact"/>
        <w:rPr>
          <w:sz w:val="20"/>
          <w:szCs w:val="20"/>
          <w:color w:val="auto"/>
        </w:rPr>
      </w:pPr>
    </w:p>
    <w:p>
      <w:pPr>
        <w:jc w:val="both"/>
        <w:ind w:firstLine="283"/>
        <w:spacing w:after="0" w:line="254" w:lineRule="auto"/>
        <w:rPr>
          <w:sz w:val="20"/>
          <w:szCs w:val="20"/>
          <w:color w:val="auto"/>
        </w:rPr>
      </w:pPr>
      <w:r>
        <w:rPr>
          <w:rFonts w:ascii="Times New Roman" w:cs="Times New Roman" w:eastAsia="Times New Roman" w:hAnsi="Times New Roman"/>
          <w:sz w:val="18"/>
          <w:szCs w:val="18"/>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9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is named from time to time in suits brought under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plaintiff. Such claims are an inevitable part of doing business in the healthcare field today.</w:t>
      </w:r>
    </w:p>
    <w:p>
      <w:pPr>
        <w:spacing w:after="0" w:line="10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believes that it is in compliance in all material respects with all statutes, regulations, and other requirements applicable to its commercial laboratory operations and drug development support services. The healthcare diagnostics and drug development industries are, however, subject to extensive regulation, and the courts have not interpreted many of the applicable statutes and regulations. Therefore, the applicable statutes and regulations could be interpreted or applied by a prosecutorial,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9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establishes reserves for judicial, regulatory, and arbitration matters outside the aggregate legal reserve if and when those matters present loss contingencies that are both probable and reasonably estimable and would exceed the aggregate legal reserve. If the reasonable estimate of a known or probable loss is a range, and no amount within the range is a better estimate than any other, the minimum amount of the range is accrued. If a loss is reasonably possible but not known or probable, and may be reasonably estimated, the estimated loss or range of loss is disclosed. When loss contingencies are not both probable and reasonably estimable, the Company does not establish separate reserves.</w:t>
      </w:r>
    </w:p>
    <w:p>
      <w:pPr>
        <w:spacing w:after="0" w:line="9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is unable to estimate a range of reasonably possible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8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May 14, 2019, Retrieval-Masters Creditors Bureau, Inc. d/b/a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10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Twenty-three putative class action lawsuits were filed against the Company related to the AMCA Incident in various U.S. District Courts. Numerous similar lawsuits have been filed against other healthcare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per se,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On November 1, 2024, Plaintiffs served their motion for class certification. On March 2, 2026, the parties entered into a Class Action Settlement and Release. On August 20, 2026, the court granted final approval of the settlement.</w:t>
      </w:r>
    </w:p>
    <w:p>
      <w:pPr>
        <w:spacing w:after="0" w:line="93"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The Company was served with a shareholder derivative lawsuit, </w:t>
      </w:r>
      <w:r>
        <w:rPr>
          <w:rFonts w:ascii="Times New Roman" w:cs="Times New Roman" w:eastAsia="Times New Roman" w:hAnsi="Times New Roman"/>
          <w:sz w:val="18"/>
          <w:szCs w:val="18"/>
          <w:i w:val="1"/>
          <w:iCs w:val="1"/>
          <w:color w:val="auto"/>
        </w:rPr>
        <w:t>Raymond Eugenio, Derivatively on Behalf of Nominal Defendant, Laboratory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of America Holdings v. Lance Berberian, et al.</w:t>
      </w:r>
      <w:r>
        <w:rPr>
          <w:rFonts w:ascii="Times New Roman" w:cs="Times New Roman" w:eastAsia="Times New Roman" w:hAnsi="Times New Roman"/>
          <w:sz w:val="18"/>
          <w:szCs w:val="18"/>
          <w:color w:val="auto"/>
        </w:rPr>
        <w:t>, filed in the Court of Chancery of the State of Delaware on April 23, 2020. The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asserts derivative claims on the Company’s behalf against the Company’s board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 2020, the Company filed a Motion to Dismiss. On July 14, 2020, the court entered an order staying the lawsuit pending the resolution of the multi-district litigation. The Company will vigorously defend the lawsuit.</w:t>
      </w:r>
    </w:p>
    <w:p>
      <w:pPr>
        <w:spacing w:after="0" w:line="10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Certain governmental entities have requested information from the Company related to the AMCA Incident. The Company received a request for information from the OCR of the Department of Health and Human Services. On April 28, 2020, OCR notified the Company of the closure of its inquiry. The Company also received requests from a multi-state group of state Attorneys General (“multi-state AG Group”) and cooperated with these requests for information. On or about September 21, 2026, the Company entered into a settlement agreement with each member of the multi-state AG Group to resolve the matter.</w:t>
      </w:r>
    </w:p>
    <w:p>
      <w:pPr>
        <w:spacing w:after="0" w:line="8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January 31, 2020, the Company was served with a putative class action lawsuit, </w:t>
      </w:r>
      <w:r>
        <w:rPr>
          <w:rFonts w:ascii="Times New Roman" w:cs="Times New Roman" w:eastAsia="Times New Roman" w:hAnsi="Times New Roman"/>
          <w:sz w:val="18"/>
          <w:szCs w:val="18"/>
          <w:i w:val="1"/>
          <w:iCs w:val="1"/>
          <w:color w:val="auto"/>
        </w:rPr>
        <w:t>Luke Davis and Julian Vargas, et al. v. Laboratory 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America Holdings</w:t>
      </w:r>
      <w:r>
        <w:rPr>
          <w:rFonts w:ascii="Times New Roman" w:cs="Times New Roman" w:eastAsia="Times New Roman" w:hAnsi="Times New Roman"/>
          <w:sz w:val="18"/>
          <w:szCs w:val="18"/>
          <w:color w:val="auto"/>
        </w:rPr>
        <w:t>, filed in the U.S. District Court for the Central District of California. The lawsuit alleges that visually impaired patients are unable to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touchscreen kiosks at Company PSCs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On February 8, 2024, the Ninth Circuit affirmed the trial court’s decision to certify both a California damages class and a nationwide injunctive class. On March 25, 2024, the Company filed a Petition for Rehearing En Banc with the Ninth Circuit. On April 18, 2024, the Ninth Circuit denied the Petition for Rehearing En Banc. On September 13, 2024, the Company filed a Petition for Writ of Certiorari with the U.S. Supreme Court, which was granted on January 24, 2025, and then dismissed on June 5, 2025. In March 2026, the parties filed cross Motions for Summary Judgment. The Company will vigorously defend the lawsuit.</w:t>
      </w:r>
    </w:p>
    <w:p>
      <w:pPr>
        <w:spacing w:after="0" w:line="9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On October 16, 2020, Ravgen Inc. filed a patent infringement lawsuit, </w:t>
      </w:r>
      <w:r>
        <w:rPr>
          <w:rFonts w:ascii="Times New Roman" w:cs="Times New Roman" w:eastAsia="Times New Roman" w:hAnsi="Times New Roman"/>
          <w:sz w:val="18"/>
          <w:szCs w:val="18"/>
          <w:i w:val="1"/>
          <w:iCs w:val="1"/>
          <w:color w:val="auto"/>
        </w:rPr>
        <w:t>Ravgen Inc. v. Laboratory Corporation of America Holdings</w:t>
      </w:r>
      <w:r>
        <w:rPr>
          <w:rFonts w:ascii="Times New Roman" w:cs="Times New Roman" w:eastAsia="Times New Roman" w:hAnsi="Times New Roman"/>
          <w:sz w:val="18"/>
          <w:szCs w:val="18"/>
          <w:color w:val="auto"/>
        </w:rPr>
        <w:t>, in the U.S. District Court for the Western District of Texas, alleging infringement of two Ravgen-owned U.S. patents. The lawsuit sought monetary damages, enhancement of those damages for willfulness, and recovery of attorney’s fees and costs. On September 28, 2022, a jury rendered a verdict in favor of the Plaintiff on the sole asserted patent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On January 23, 2025, the court issued an order awarding Plaintiff post-verdict supplemental damages of $2.6, an ongoing royalty of one hundred dollars and 00/100 cents per test through the life of the patent at issue, pre- and post-judgment interest, and other relief. In January and February 2025, the trial court entered orders denying the Company’s post-trial motions and the Company has filed an appeal. On March 18, 2025, the Company filed an appeal bond with the Court to stay enforcement of the judgment pending appeal. The United States Court of Appeals for the Federal Circuit has scheduled oral argument on the Company’s appeal for December 15, 2026. The Company strongly disagrees with the verdict, based on a number of legal factors, and will vigorously defend the lawsuit through the appeal process.</w:t>
      </w:r>
    </w:p>
    <w:p>
      <w:pPr>
        <w:spacing w:after="0" w:line="11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 xml:space="preserve">On June 7, 2023, the Company was served with a putative class action lawsuit, </w:t>
      </w:r>
      <w:r>
        <w:rPr>
          <w:rFonts w:ascii="Times New Roman" w:cs="Times New Roman" w:eastAsia="Times New Roman" w:hAnsi="Times New Roman"/>
          <w:sz w:val="18"/>
          <w:szCs w:val="18"/>
          <w:i w:val="1"/>
          <w:iCs w:val="1"/>
          <w:color w:val="auto"/>
        </w:rPr>
        <w:t>Connie Howard, Yadira Yazmin Hernandez, and Deborah Reynolds,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 v. Laboratory Corporation of America, Laboratory Corporation of America Holdings, and Meta Platforms, Inc.</w:t>
      </w:r>
      <w:r>
        <w:rPr>
          <w:rFonts w:ascii="Times New Roman" w:cs="Times New Roman" w:eastAsia="Times New Roman" w:hAnsi="Times New Roman"/>
          <w:sz w:val="18"/>
          <w:szCs w:val="18"/>
          <w:color w:val="auto"/>
        </w:rPr>
        <w:t>, filed in the U.S. District Court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On August 23, 2023, the Company filed a Motion to Dismiss. On September 5, 2023, the lawsuit was transferred to the U.S. District Court for the Middle District of North Carolina. On September 9, 2023, Plaintiffs filed an Amended Complaint. Among other things, the Amended Complaint contains allegations that in addition to the Meta Pixel, the Company’s website uses Google Analytics and other online tracking technologies. On October 11, 2023, the Company filed a Motion to Dismiss the Amended Complaint. On April 2, 2026, the parties entered into a Class Action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and Release, which was preliminarily approved by the court on August 21, 2026. The settlement is subject to final court approval.</w:t>
      </w:r>
    </w:p>
    <w:p>
      <w:pPr>
        <w:spacing w:after="0" w:line="14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On July 27, 2026, the Company was served with a putative class action lawsuit, </w:t>
      </w:r>
      <w:r>
        <w:rPr>
          <w:rFonts w:ascii="Times New Roman" w:cs="Times New Roman" w:eastAsia="Times New Roman" w:hAnsi="Times New Roman"/>
          <w:sz w:val="18"/>
          <w:szCs w:val="18"/>
          <w:i w:val="1"/>
          <w:iCs w:val="1"/>
          <w:color w:val="auto"/>
        </w:rPr>
        <w:t>B.W., a Minor, through his Guardian, Julie Weiss, et al. v. Invitae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and Labcorp Genetics Inc.</w:t>
      </w:r>
      <w:r>
        <w:rPr>
          <w:rFonts w:ascii="Times New Roman" w:cs="Times New Roman" w:eastAsia="Times New Roman" w:hAnsi="Times New Roman"/>
          <w:sz w:val="18"/>
          <w:szCs w:val="18"/>
          <w:color w:val="auto"/>
        </w:rPr>
        <w:t>, filed in the U.S. District Court for the Northern District of Illinois. The complaint asserts claims under the Illinois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Genetic Information Privacy Act concerning the Company’s acquisition of certain assets from Invitae Corporation pursuant to Invitae’s bankruptcy proceedings and alleges that patients’ genetic information was disclosed without appropriate consent. The Plaintiff seeks statutory damages, injunctive relief, and attorneys’ fees and costs. On August 12, 2026, the Company joined Invitae Corporation’s motion to transfer the action to the U.S. District Court for the District of New Jersey for referral to the U.S. Bankruptcy Court for the District of New Jersey, where Invitae’s bankruptcy proceedings remain pending. The Company will vigorously defend the lawsuit.</w:t>
      </w:r>
    </w:p>
    <w:p>
      <w:pPr>
        <w:spacing w:after="0" w:line="9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August 20, 2026, the Company was served with a civil investigative demand issued by the North Carolina Attorney General’s Office requiring the production of documents related to urine drug testing. The Company is cooperating with the information requests.</w:t>
      </w:r>
    </w:p>
    <w:p>
      <w:pPr>
        <w:spacing w:after="0" w:line="6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 AND DERIVATIVE INSTRUMENTS AND HEDGING ACTIVITIES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population of financial assets and liabilities subject to fair value measurements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w:t>
            </w: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0" w:type="dxa"/>
            <w:vAlign w:val="bottom"/>
          </w:tcPr>
          <w:p>
            <w:pPr>
              <w:spacing w:after="0"/>
              <w:rPr>
                <w:sz w:val="1"/>
                <w:szCs w:val="1"/>
                <w:color w:val="auto"/>
              </w:rPr>
            </w:pPr>
          </w:p>
        </w:tc>
      </w:tr>
      <w:tr>
        <w:trPr>
          <w:trHeight w:val="94"/>
        </w:trPr>
        <w:tc>
          <w:tcPr>
            <w:tcW w:w="412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7"/>
              </w:rPr>
              <w:t>Fair Value at</w:t>
            </w:r>
          </w:p>
        </w:tc>
        <w:tc>
          <w:tcPr>
            <w:tcW w:w="120" w:type="dxa"/>
            <w:vAlign w:val="bottom"/>
          </w:tcPr>
          <w:p>
            <w:pPr>
              <w:spacing w:after="0"/>
              <w:rPr>
                <w:sz w:val="8"/>
                <w:szCs w:val="8"/>
                <w:color w:val="auto"/>
              </w:rPr>
            </w:pPr>
          </w:p>
        </w:tc>
        <w:tc>
          <w:tcPr>
            <w:tcW w:w="2720" w:type="dxa"/>
            <w:vAlign w:val="bottom"/>
            <w:gridSpan w:val="7"/>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224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8"/>
                <w:szCs w:val="18"/>
                <w:color w:val="auto"/>
                <w:w w:val="98"/>
              </w:rPr>
              <w:t>Balance Sheets</w:t>
            </w:r>
          </w:p>
        </w:tc>
        <w:tc>
          <w:tcPr>
            <w:tcW w:w="16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September 30, 2026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Accrued expenses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149"/>
        </w:trPr>
        <w:tc>
          <w:tcPr>
            <w:tcW w:w="4120" w:type="dxa"/>
            <w:vAlign w:val="bottom"/>
            <w:vMerge w:val="continue"/>
            <w:shd w:val="clear" w:color="auto" w:fill="CCEEFF"/>
          </w:tcPr>
          <w:p>
            <w:pPr>
              <w:spacing w:after="0"/>
              <w:rPr>
                <w:sz w:val="12"/>
                <w:szCs w:val="12"/>
                <w:color w:val="auto"/>
              </w:rPr>
            </w:pPr>
          </w:p>
        </w:tc>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160" w:type="dxa"/>
            <w:vAlign w:val="bottom"/>
            <w:vMerge w:val="continue"/>
            <w:shd w:val="clear" w:color="auto" w:fill="CCEEFF"/>
          </w:tcPr>
          <w:p>
            <w:pPr>
              <w:spacing w:after="0"/>
              <w:rPr>
                <w:sz w:val="12"/>
                <w:szCs w:val="12"/>
                <w:color w:val="auto"/>
              </w:rPr>
            </w:pPr>
          </w:p>
        </w:tc>
        <w:tc>
          <w:tcPr>
            <w:tcW w:w="1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20" w:type="dxa"/>
            <w:vAlign w:val="bottom"/>
            <w:shd w:val="clear" w:color="auto" w:fill="CCEEFF"/>
          </w:tcPr>
          <w:p>
            <w:pPr>
              <w:spacing w:after="0"/>
              <w:rPr>
                <w:sz w:val="8"/>
                <w:szCs w:val="8"/>
                <w:color w:val="auto"/>
              </w:rPr>
            </w:pPr>
          </w:p>
        </w:tc>
        <w:tc>
          <w:tcPr>
            <w:tcW w:w="22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05"/>
        </w:trPr>
        <w:tc>
          <w:tcPr>
            <w:tcW w:w="4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color w:val="auto"/>
                <w:w w:val="98"/>
              </w:rPr>
              <w:t>Fair Value Measurements</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Condensed Consolidated</w:t>
            </w:r>
          </w:p>
        </w:tc>
        <w:tc>
          <w:tcPr>
            <w:tcW w:w="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color w:val="auto"/>
              </w:rPr>
              <w:t>December 31, 2025</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4120" w:type="dxa"/>
            <w:vAlign w:val="bottom"/>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7"/>
              </w:rPr>
              <w:t>Fair Value at</w:t>
            </w:r>
          </w:p>
        </w:tc>
        <w:tc>
          <w:tcPr>
            <w:tcW w:w="120" w:type="dxa"/>
            <w:vAlign w:val="bottom"/>
          </w:tcPr>
          <w:p>
            <w:pPr>
              <w:spacing w:after="0"/>
              <w:rPr>
                <w:sz w:val="8"/>
                <w:szCs w:val="8"/>
                <w:color w:val="auto"/>
              </w:rPr>
            </w:pPr>
          </w:p>
        </w:tc>
        <w:tc>
          <w:tcPr>
            <w:tcW w:w="2720" w:type="dxa"/>
            <w:vAlign w:val="bottom"/>
            <w:gridSpan w:val="7"/>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Using Fair Value Hierarchy</w:t>
            </w: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22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7"/>
                <w:szCs w:val="17"/>
                <w:color w:val="auto"/>
              </w:rPr>
              <w:t>Balance Sheets</w:t>
            </w: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 put</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surrender value of life insurance policies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4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expenses and</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40"/>
        </w:trPr>
        <w:tc>
          <w:tcPr>
            <w:tcW w:w="4120" w:type="dxa"/>
            <w:vAlign w:val="bottom"/>
            <w:vMerge w:val="continue"/>
            <w:shd w:val="clear" w:color="auto" w:fill="CCEEFF"/>
          </w:tcPr>
          <w:p>
            <w:pPr>
              <w:spacing w:after="0"/>
              <w:rPr>
                <w:sz w:val="12"/>
                <w:szCs w:val="12"/>
                <w:color w:val="auto"/>
              </w:rPr>
            </w:pPr>
          </w:p>
        </w:tc>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other/Other liabilities</w:t>
            </w:r>
          </w:p>
        </w:tc>
        <w:tc>
          <w:tcPr>
            <w:tcW w:w="160" w:type="dxa"/>
            <w:vAlign w:val="bottom"/>
            <w:vMerge w:val="continue"/>
            <w:shd w:val="clear" w:color="auto" w:fill="CCEEFF"/>
          </w:tcPr>
          <w:p>
            <w:pPr>
              <w:spacing w:after="0"/>
              <w:rPr>
                <w:sz w:val="12"/>
                <w:szCs w:val="12"/>
                <w:color w:val="auto"/>
              </w:rPr>
            </w:pPr>
          </w:p>
        </w:tc>
        <w:tc>
          <w:tcPr>
            <w:tcW w:w="17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120" w:type="dxa"/>
            <w:vAlign w:val="bottom"/>
            <w:shd w:val="clear" w:color="auto" w:fill="CCEEFF"/>
          </w:tcPr>
          <w:p>
            <w:pPr>
              <w:spacing w:after="0"/>
              <w:rPr>
                <w:sz w:val="8"/>
                <w:szCs w:val="8"/>
                <w:color w:val="auto"/>
              </w:rPr>
            </w:pPr>
          </w:p>
        </w:tc>
        <w:tc>
          <w:tcPr>
            <w:tcW w:w="22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Measurement of Level 3 Liabilities:</w:t>
            </w: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44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Additions from business acquisitions, excluding measurement period adjustments, and purchase of intangible</w:t>
            </w:r>
          </w:p>
        </w:tc>
        <w:tc>
          <w:tcPr>
            <w:tcW w:w="200" w:type="dxa"/>
            <w:vAlign w:val="bottom"/>
          </w:tcPr>
          <w:p>
            <w:pPr>
              <w:spacing w:after="0"/>
              <w:rPr>
                <w:sz w:val="17"/>
                <w:szCs w:val="17"/>
                <w:color w:val="auto"/>
              </w:rPr>
            </w:pPr>
          </w:p>
        </w:tc>
        <w:tc>
          <w:tcPr>
            <w:tcW w:w="2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84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84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8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tcPr>
          <w:p>
            <w:pPr>
              <w:spacing w:after="0"/>
              <w:rPr>
                <w:sz w:val="21"/>
                <w:szCs w:val="21"/>
                <w:color w:val="auto"/>
              </w:rPr>
            </w:pPr>
          </w:p>
        </w:tc>
        <w:tc>
          <w:tcPr>
            <w:tcW w:w="260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62"/>
        </w:trPr>
        <w:tc>
          <w:tcPr>
            <w:tcW w:w="8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380" w:type="dxa"/>
            <w:vAlign w:val="bottom"/>
            <w:tcBorders>
              <w:top w:val="single" w:sz="8" w:color="CCEEFF"/>
              <w:bottom w:val="single" w:sz="8" w:color="CCEEFF"/>
            </w:tcBorders>
            <w:shd w:val="clear" w:color="auto" w:fill="CCEEFF"/>
          </w:tcPr>
          <w:p>
            <w:pPr>
              <w:jc w:val="right"/>
              <w:ind w:right="162"/>
              <w:spacing w:after="0" w:line="136" w:lineRule="exact"/>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 w:hanging="252"/>
        <w:spacing w:after="0" w:line="229" w:lineRule="auto"/>
        <w:tabs>
          <w:tab w:leader="none" w:pos="2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September 30, 2026, $45.2 and $78.8 of contingent consideration is included within Accrued expenses and other and Other liabilities, respectively, in the Company’s Condensed Consolidated Balance Sheets.</w:t>
      </w:r>
    </w:p>
    <w:p>
      <w:pPr>
        <w:spacing w:after="0" w:line="10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has a noncontrolling interest put option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fair values of derivative financial instruments have been determined based on market value equivalents at the balance sheet date, taking into account the current interest rate environment and therefore were classified as Level 2 measurements in the fair value hierarchy.</w:t>
      </w:r>
    </w:p>
    <w:p>
      <w:pPr>
        <w:spacing w:after="0" w:line="6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offers certain employees the opportunity to participate in an employee-funded DCP. A participant’s deferrals are allocated by the participant to one or more of multiple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9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measured the fair value of contingent consideration liabilities as Level 3 instruments. These contingent consideration liabilities were recorded at fair value on the acquisition date and are remeasured quarterly based on the then assessed fair value and adjusted, if necessary. The increases or decreases in the fair value of contingent consideration payable primarily result from changes in the anticipated achievement of specified future performance targets of the acquired businesses or other event-based outcomes. As the fair value measure is based on significant inputs that are not observable in the market, they are categorized as Level 3.</w:t>
      </w:r>
    </w:p>
    <w:p>
      <w:pPr>
        <w:spacing w:after="0" w:line="10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are considered to be representative of their respective fair values due to their short-term nature. Although recorded at amortized cost on the Company’s Condensed Consolidated Balance Sheets, the fair market value of the Company’s senior notes was $4,252.0 and $4,963.6 at September 30, 2026, and December 31, 2025, respectively. At September 30, 2026, the carrying value of the Company’s 2026 Term Loan, also recorded at amortized cost, was estimated to approximate fair value primarily due to its variable interest rate. The Company’s senior notes and 2026 Term Loan are considered Level 2 instruments, as the fair market values of these instruments are based on observable market pricing/inputs.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party to fixed-to-variable interest rate swap agreements for its 2.70% senior notes due 2031 with an aggregate notional amount of $500.0 and variable interest rates currently based on the compounded SOFR, plus 1.33%.</w:t>
      </w:r>
    </w:p>
    <w:p>
      <w:pPr>
        <w:spacing w:after="0" w:line="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Interest rate swap agreements, which have been used by the Company from time to time in the management of interest rate exposure, are accounted for at fair value. These derivative financial instruments are accounted for as fair value hedges that increase or decrease the value of the Company’s senior notes with the offset being recorded as a component of other long-term assets or liabilities, as applicable. As the specific terms and notional amounts of the derivative financial instruments match those of the fixed-rate debt being hedged, the derivative instruments are assumed to be perfectly effective hedges and accordingly, there is no impact to the Company’s Condensed Consolidated Statements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Cross Currency Swaps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party to various USD to Swiss Franc cross currency swap agreements with an aggregate notional amount of $1,200.0, with $300.0 maturing in 2029, $300.0 maturing in 2031, and $600.0 maturing in 2034. These instruments are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designated as a net investment hedge and are intended to economically offset a portion of the Company's investment exposure in Swiss Franc functional entities. Changes in the fair value of the cross currency swaps are charged or credited through Accumulated other comprehensive loss in the Condensed Consolidated Balance Sheet until the hedged item is recognized in earnings. The cumulative amount of the foreign exchange adjustments is recognized as currency translation within the Condensed Consolidated Statement of Comprehensive Earnings.</w:t>
      </w:r>
    </w:p>
    <w:p>
      <w:pPr>
        <w:spacing w:after="0" w:line="9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regarding the location and amount of pretax (losses) gains of derivatives designated in net investment hedging relationships: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rPr>
              <w:t>Amounts Included In Other Comprehensive Loss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50"/>
        </w:trPr>
        <w:tc>
          <w:tcPr>
            <w:tcW w:w="4120" w:type="dxa"/>
            <w:vAlign w:val="bottom"/>
          </w:tcPr>
          <w:p>
            <w:pPr>
              <w:spacing w:after="0"/>
              <w:rPr>
                <w:sz w:val="21"/>
                <w:szCs w:val="21"/>
                <w:color w:val="auto"/>
              </w:rPr>
            </w:pPr>
          </w:p>
        </w:tc>
        <w:tc>
          <w:tcPr>
            <w:tcW w:w="3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 currency swaps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4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Income taxes, net of refunds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Disclosure of non-cash financing and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p>
      <w:pPr>
        <w:spacing w:after="0" w:line="36" w:lineRule="exact"/>
        <w:rPr>
          <w:sz w:val="20"/>
          <w:szCs w:val="20"/>
          <w:color w:val="auto"/>
        </w:rPr>
      </w:pPr>
    </w:p>
    <w:p>
      <w:pPr>
        <w:ind w:left="240"/>
        <w:spacing w:after="0" w:line="237" w:lineRule="auto"/>
        <w:rPr>
          <w:sz w:val="20"/>
          <w:szCs w:val="20"/>
          <w:color w:val="auto"/>
        </w:rPr>
      </w:pPr>
      <w:r>
        <w:rPr>
          <w:rFonts w:ascii="Times New Roman" w:cs="Times New Roman" w:eastAsia="Times New Roman" w:hAnsi="Times New Roman"/>
          <w:sz w:val="18"/>
          <w:szCs w:val="18"/>
          <w:color w:val="auto"/>
        </w:rPr>
        <w:t>Contingent consideration related to business acquisitions, including measurement period adjustments, and purchase of intangible assets</w:t>
      </w:r>
    </w:p>
    <w:p>
      <w:pPr>
        <w:spacing w:after="0" w:line="208"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INFORMATION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wp:posOffset>
            </wp:positionV>
            <wp:extent cx="2228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28850" cy="1714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73"/>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r>
      <w:tr>
        <w:trPr>
          <w:trHeight w:val="243"/>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486"/>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38"/>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bl>
    <w:p>
      <w:pPr>
        <w:spacing w:after="0" w:line="630" w:lineRule="exact"/>
        <w:rPr>
          <w:sz w:val="20"/>
          <w:szCs w:val="20"/>
          <w:color w:val="auto"/>
        </w:rPr>
      </w:pPr>
    </w:p>
    <w:p>
      <w:pPr>
        <w:sectPr>
          <w:pgSz w:w="11900" w:h="16838" w:orient="portrait"/>
          <w:cols w:equalWidth="0" w:num="2">
            <w:col w:w="7560" w:space="160"/>
            <w:col w:w="3520"/>
          </w:cols>
          <w:pgMar w:left="320" w:top="121" w:right="339" w:bottom="1440" w:gutter="0" w:footer="0" w:header="0"/>
          <w:type w:val="continuous"/>
        </w:sect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following tables are a summary of segment information for the three and nine months ended September 30, 2026, and 2025.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CODM for evaluating segment performance and deciding how to allocate resources to segments. The Company’s chief executive officer has been identified as the CODM.</w:t>
      </w:r>
    </w:p>
    <w:p>
      <w:pPr>
        <w:spacing w:after="0" w:line="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CODM uses segment operating income as the primary measure for assessing segment performance and to allocate resources. This segment performance measure excludes the amortization of intangibles and other assets, restructuring and other charges, and certain corporate charges for items such as transaction costs and other special items. Other operating expenses are comprised primarily of rent, maintenance, sendout testing, utilities, travel and entertainment, and other segment expenses, including shipping costs for Dx. Segment asset information is not presented because it is not used by the CODM.</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89"/>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4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12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3,810.0</w:t>
            </w:r>
          </w:p>
        </w:tc>
      </w:tr>
      <w:tr>
        <w:trPr>
          <w:trHeight w:val="216"/>
        </w:trPr>
        <w:tc>
          <w:tcPr>
            <w:tcW w:w="4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37"/>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r>
      <w:tr>
        <w:trPr>
          <w:trHeight w:val="21"/>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89"/>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Intercompany eliminations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4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120" w:type="dxa"/>
            <w:vAlign w:val="bottom"/>
          </w:tcPr>
          <w:p>
            <w:pPr>
              <w:spacing w:after="0"/>
              <w:rPr>
                <w:sz w:val="21"/>
                <w:szCs w:val="21"/>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and 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5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3,563.5</w:t>
            </w:r>
          </w:p>
        </w:tc>
      </w:tr>
      <w:tr>
        <w:trPr>
          <w:trHeight w:val="216"/>
        </w:trPr>
        <w:tc>
          <w:tcPr>
            <w:tcW w:w="4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3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6"/>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r>
      <w:tr>
        <w:trPr>
          <w:trHeight w:val="21"/>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LABCORP HOLDINGS INC. AND SUBSIDIARIES NOTES TO CONDENSED CONSOLIDATED FINANCIAL STATEMENTS (Dollars and Shares in Millions, Except Per Share Data) (Unaudited)</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2026</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89"/>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color w:val="auto"/>
              </w:rPr>
              <w:t>Intercompany eliminations and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20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2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11,078.7</w:t>
            </w:r>
          </w:p>
        </w:tc>
      </w:tr>
      <w:tr>
        <w:trPr>
          <w:trHeight w:val="216"/>
        </w:trPr>
        <w:tc>
          <w:tcPr>
            <w:tcW w:w="4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37"/>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1,472.9</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37"/>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1,234.5</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1,034.1</w:t>
            </w: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189"/>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8"/>
                <w:szCs w:val="18"/>
                <w:color w:val="auto"/>
              </w:rPr>
              <w:t>Intercompany eliminations and</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Dx</w:t>
            </w:r>
          </w:p>
        </w:tc>
        <w:tc>
          <w:tcPr>
            <w:tcW w:w="20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BLS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LHI</w:t>
            </w:r>
          </w:p>
        </w:tc>
      </w:tr>
      <w:tr>
        <w:trPr>
          <w:trHeight w:val="230"/>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10,435.9</w:t>
            </w:r>
          </w:p>
        </w:tc>
      </w:tr>
      <w:tr>
        <w:trPr>
          <w:trHeight w:val="216"/>
        </w:trPr>
        <w:tc>
          <w:tcPr>
            <w:tcW w:w="4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Earnings: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Shipping costs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37"/>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1,723.1</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7"/>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 before income taxes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916.9</w:t>
            </w: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220"/>
        <w:spacing w:after="0" w:line="399"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ind w:firstLine="283"/>
        <w:spacing w:after="0" w:line="246" w:lineRule="auto"/>
        <w:rPr>
          <w:sz w:val="20"/>
          <w:szCs w:val="20"/>
          <w:color w:val="auto"/>
        </w:rPr>
      </w:pPr>
      <w:r>
        <w:rPr>
          <w:rFonts w:ascii="Times New Roman" w:cs="Times New Roman" w:eastAsia="Times New Roman" w:hAnsi="Times New Roman"/>
          <w:sz w:val="18"/>
          <w:szCs w:val="18"/>
          <w:color w:val="auto"/>
        </w:rPr>
        <w:t>In this Quarterly Report on Form 10-Q (Quarterly Report), Labcorp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Holdings Inc. together with its subsidiaries (Labcorp, LHI or the Company) has made,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“Risk Factors” section of the Annual Report, and in the Company’s other public filings, press releases, and discussions with Company management, including:</w:t>
      </w:r>
    </w:p>
    <w:p>
      <w:pPr>
        <w:spacing w:after="0" w:line="195" w:lineRule="exact"/>
        <w:rPr>
          <w:sz w:val="20"/>
          <w:szCs w:val="20"/>
          <w:color w:val="auto"/>
        </w:rPr>
      </w:pPr>
    </w:p>
    <w:p>
      <w:pPr>
        <w:jc w:val="both"/>
        <w:ind w:left="340" w:hanging="332"/>
        <w:spacing w:after="0" w:line="255"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monetary damages and penalties, and/or exclusion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fines, penalties, costs, unanticipated compliance expenditures, and/or damage to the Company’s reputation arising from the failure to comply with applicable privacy and security laws and regulations;</w:t>
      </w: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suspension of a license or imposition of fines or penalties under, or future changes in or interpretations of the U.S. Clinical Laboratory Improvement Amendments of 1988, Medicare, Medicaid, or other national, state, or local laws or regulations of the U.S. and other countries where the Company operates laboratories;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or other remedies, including fines, unanticipated compliance expenditures, enforcement actions, injunctions or criminal prosecution arising from failure to comply with the U.S. Animal Welfare Act or applicable national, state, and local laws and regulations in jurisdictions in which the Company conducts business;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testing guidelines or recommendations by government agencies, medical specialty societies, and other authoritative bodies affecting the development, validation, approval, clearance, commercialization, or utilization of laboratory tests;</w:t>
      </w: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failure to comply with the applicable regulations of pharmaceutical and medical device regulators affecting the approval, availability of, and the selling and marketing of diagnostic tests, including laboratory-developed tests, drug development, or the conduct of drug development and medical device and diagnostic studies and trials, including regulations and policies of the U.S. Food and Drug Administration, the U.S. Department of Agriculture, the Medicines and Healthcare Products Regulatory Agency in the U.K., the National Medical Products Administration in China, the Pharmaceutical and Medical Devices Agency in Japan, the European Union, the European Medicines Agency, and similar regulations and policies of agencies in other jurisdictions in which the Company conducts business;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pertaining to the pharmaceutical, biotechnology, medical device, and diagnostic industries, changes in reimbursement of pharmaceutical products, or reduced spending on research and development by pharmaceutical, biotechnology, medical device, and diagnostic customers;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result from the failure to comply with corporate governance requirements;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applicable laws or regulations or otherwise disregard compliance standards in the industry;</w:t>
      </w:r>
    </w:p>
    <w:p>
      <w:pPr>
        <w:spacing w:after="0" w:line="1"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payer mix or payment structure or process, including insurance carrier participation in health insurance exchanges, an increase in capitated reimbursement mechanisms, the impact of clearinghouses on the claims reimbursement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color w:val="auto"/>
        </w:rPr>
        <w:t>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or attract business from MCOs as a result of changes in strategy or business models;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convergence of customers, competitors, and suppliers, potentially causing material shifts in insourcing, utilization, pricing, reimbursement, and supply chain access;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invest in or effectively develop and deploy new systems, system modifications or enhancements required in response to evolving market, business, and customer trends and needs;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the expected benefits and synergies of newly acquired businesses, including due to items not discovered in the due diligence process, and the impact on the Company’s cash position, levels of indebtedness, and stock price;</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loss, delay, reduction in scope, or increased costs of contracts;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errors or omissions in the performance of testing and other services or other contractual arrangements;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disruption in the provision or transportation of services or supplies provided by third parties or their termination for failure to follow the Company’s performance standards and requirements;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disruption to the Company’s facilities;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reputation or business, from acts of animal rights activists or potential harm, liability, or operational disruptions arising from, or increased regulations and restrictions, of animal research activities;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litigation matters;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retain, and develop experienced and qualified personnel, including personnel in key roles and critical positions, due to increased competition for talent, wage growth, or other market factors beyond the Company’s control;</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costs arising from the inability to commercialize newly licensed tests or technologies or to obtain appropriate coverage or reimbursement for such tests;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maintain, and enforce intellectual property rights for protection of the Company’s offerings and defend against challenges to those rights;</w:t>
      </w: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validity, and enforceability of patents and other proprietary rights held by third parties that may impact the Company’s ability to develop, perform, or market the Company’s offerings or operate its business;</w:t>
      </w: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receivables impairment, delays in cash collection impacting days sales outstanding, supply chain disruptions or inventory obsolescence, increases in the Company’s material costs or other operating costs, or other impacts on the business due to natural disasters, adverse weather, chronic physical climate risks such as prolonged heat, drought, water stress, or rising energy costs, geopolitical events, public health crises, and other events beyond the Company’s control;</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discontinuation or recalls of existing products used in the performance of testing;</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information technology systems of the Company or newly-acquired businesses, the failure of the Company or its third-party suppliers and vendors to maintain the security of their information technology systems or to protect against cybersecurity incidents, failures in the development and implementation of the Company’s automation platforms, or adverse effects from the use of or regulation of artificial intelligence and machine learning tools;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deficiencies, or higher-than-anticipated costs in implementing, integrating, or operating the Company’s new ERP system across broader areas of the Company could disrupt the Company’s business operations, including its supply chain and procurement processes, result in data errors, impair its ability to process transactions, or reduce cash flows or liquidity, including as a result of increased inventory purchases;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jc w:val="both"/>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the Company’s revenues, cash collections, and the availability of credit for general liquidity or other financing needs arising from a significant deterioration in the economy or financial markets or in the Company’s credit ratings by S&amp;P and/or Moody’s;</w:t>
      </w:r>
    </w:p>
    <w:p>
      <w:pPr>
        <w:ind w:left="340" w:right="20" w:hanging="332"/>
        <w:spacing w:after="0" w:line="250"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expected capital structure for the Company, including failure to maintain the Company’s investment grade rating, or failure to comply with the leverage ratio or other financial covenants under its debt agreements;</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foreign governments and foreign currency fluctuations;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hanging="332"/>
        <w:spacing w:after="0" w:line="261"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certain billing information from physicians, resulting in increased costs and complexity, a temporary disruption in receipts, and ongoing reductions in reimbursements and revenues;</w:t>
      </w:r>
    </w:p>
    <w:p>
      <w:pPr>
        <w:jc w:val="both"/>
        <w:ind w:left="340" w:hanging="332"/>
        <w:spacing w:after="0" w:line="250"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risks associated with international operations, including, but not limited to, compliance with the U.S. Foreign Corrupt Practices Act, the U.K. Bribery Act, other applicable anti-corruption laws and regulations, trade sanction laws and regulations, and economic, political, legal, and other operational risks associated with foreign jurisdictions;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expected efficiencies, benefits, and savings in connection with the Company’s business process improvement initiatives;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or changes in their interpretation;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 and government and regulatory changes; and</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impacts and expected benefits and costs of the completed Spin-off of the Company’s former clinical development and commercialization services business, Fortrea, including but not limited to factors that could adversely affect the Company’s ability to realize the expected benefits of the Spin-off or the failure of the Spin-off to qualify as a tax-free transaction for U.S. federal income tax purposes.</w:t>
      </w:r>
    </w:p>
    <w:p>
      <w:pPr>
        <w:spacing w:after="0" w:line="9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(dollars in millions)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the Company’s revenues were $3,810.0, an increase of 6.9% from $3,563.5 for the corresponding period in 2025. The 6.9% increase for the three months ended September 30, 2026, as compared to the corresponding period in 2025, was primarily due to organic revenue of 5.5% and acquisitions, net of divestitures, of 1.5%, partially offset by unfavorable foreign currency translation of 0.1%.</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the Company’s revenues were $11,078.7, an increase of 6.2% from $10,435.9 for the corresponding period in 2025. The 6.2% increase for the nine months ended September 30, 2026, as compared to the corresponding period in 2025, was due to organic revenue of 4.3%, acquisitions, net of divestitures, of 1.3%, and favorable foreign currency translation of 0.5%.</w:t>
      </w:r>
    </w:p>
    <w:p>
      <w:pPr>
        <w:spacing w:after="0" w:line="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defines organic revenue and organic growth as the increase in revenues excluding the year-over-year impact of acquisitions, divestitures, and currency, as well as other strategic actions taken in ED. The impacts relating to acquisitions, divestitures, and other strategic actions are considered for a 12-month period following the closing of each transaction.</w:t>
      </w:r>
    </w:p>
    <w:p>
      <w:pPr>
        <w:spacing w:after="0" w:line="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July 4, 2025, the U.S. government enacted the OBBBA, which included provisions addressing regulations and federal funding affecting healthcare. These provisions include, but are not limited to, changes to Medicaid and the Affordable Care Act, and could lead to revised regulatory requirements and reduced federal funding. As a result of these changes, the Company could experience a decline in utilization of its diagnostics testing services due to a reduction in overall insurance coverage, which may cause the Company’s revenue to decrease. However, the Company currently believes any such reduction would not likely have a material impact on its results of operations in future periods. The potential impacts described above represent the Company’s assessment at this time, and the Company will continue to evaluate the impact of the OBBBA on its business and operations as the legislation’s provisions continue to become effective through 2028.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 (dollars in millions)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212529"/>
        </w:rPr>
        <w:t>The following tables present the financial measures that management considers to be the most significant indicators of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s performance.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98"/>
        </w:trPr>
        <w:tc>
          <w:tcPr>
            <w:tcW w:w="74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c>
          <w:tcPr>
            <w:tcW w:w="35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40" w:type="dxa"/>
            <w:vAlign w:val="bottom"/>
            <w:tcBorders>
              <w:bottom w:val="single" w:sz="8" w:color="CCEEFF"/>
            </w:tcBorders>
          </w:tcPr>
          <w:p>
            <w:pPr>
              <w:spacing w:after="0"/>
              <w:rPr>
                <w:sz w:val="21"/>
                <w:szCs w:val="21"/>
                <w:color w:val="auto"/>
              </w:rPr>
            </w:pPr>
          </w:p>
        </w:tc>
        <w:tc>
          <w:tcPr>
            <w:tcW w:w="53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2,948.9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4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10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3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3,810.0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
        </w:trPr>
        <w:tc>
          <w:tcPr>
            <w:tcW w:w="7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Dx revenues for the three months ended September 30, 2026, were $2,948.9, an increase of 6.5% over $2,769.6 in the third quarter of 2025. The increase was primarily due to organic revenue of 4.4% and acquisitions, net of divestitures, of 2.2%, partially offset by unfavorable foreign currency translation of 0.1%.</w:t>
      </w:r>
    </w:p>
    <w:p>
      <w:pPr>
        <w:spacing w:after="0" w:line="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Dx total volume, measured by requisitions, increased by 4.8% as organic volume increased by 3.1% and acquisition volume, net of divestitures, contributed 1.6%. Price/mix increased by 1.7% due to organic growth of 1.3% and acquisitions, net of divestitures, of 0.5%, partially offset by unfavorable foreign currency translation of 0.1%.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BLS revenues for the three months ended September 30, 2026, were $866.7, an increase of 8.5% over $799.1 in the third quarter of 2025. The increase was due to organic growth of 9.6%, partially offset by a 0.8% reduction in acquisitions, net of divestitures, which included an unfavorable impact related to strategic actions undertaken in ED, and unfavorable foreign currency translation of 0.3%.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8"/>
        </w:trPr>
        <w:tc>
          <w:tcPr>
            <w:tcW w:w="1320" w:type="dxa"/>
            <w:vAlign w:val="bottom"/>
            <w:tcBorders>
              <w:top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40" w:type="dxa"/>
            <w:vAlign w:val="bottom"/>
          </w:tcPr>
          <w:p>
            <w:pPr>
              <w:spacing w:after="0"/>
              <w:rPr>
                <w:sz w:val="24"/>
                <w:szCs w:val="24"/>
                <w:color w:val="auto"/>
              </w:rPr>
            </w:pPr>
          </w:p>
        </w:tc>
      </w:tr>
      <w:tr>
        <w:trPr>
          <w:trHeight w:val="250"/>
        </w:trPr>
        <w:tc>
          <w:tcPr>
            <w:tcW w:w="1320" w:type="dxa"/>
            <w:vAlign w:val="bottom"/>
            <w:tcBorders>
              <w:bottom w:val="single" w:sz="8" w:color="CCEEFF"/>
            </w:tcBorders>
          </w:tcPr>
          <w:p>
            <w:pPr>
              <w:spacing w:after="0"/>
              <w:rPr>
                <w:sz w:val="21"/>
                <w:szCs w:val="21"/>
                <w:color w:val="auto"/>
              </w:rPr>
            </w:pPr>
          </w:p>
        </w:tc>
        <w:tc>
          <w:tcPr>
            <w:tcW w:w="44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percentage of revenues</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17"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Cost of revenues increased 6.4% during the three months ended September 30, 2026, as compared with the corresponding period in 2025. Cost of revenues as a percentage of revenues during the three months ended September 30, 2026, decreased to 70.9%, as compared to 71.2% in the corresponding period in 2025. This decrease was primarily due to organic growth and operating efficiencies.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8"/>
        </w:trPr>
        <w:tc>
          <w:tcPr>
            <w:tcW w:w="358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384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40" w:type="dxa"/>
            <w:vAlign w:val="bottom"/>
          </w:tcPr>
          <w:p>
            <w:pPr>
              <w:spacing w:after="0"/>
              <w:rPr>
                <w:sz w:val="24"/>
                <w:szCs w:val="24"/>
                <w:color w:val="auto"/>
              </w:rPr>
            </w:pPr>
          </w:p>
        </w:tc>
      </w:tr>
      <w:tr>
        <w:trPr>
          <w:trHeight w:val="250"/>
        </w:trPr>
        <w:tc>
          <w:tcPr>
            <w:tcW w:w="358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553.1</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SG&amp;A as a percentage of revenues</w:t>
            </w: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17"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SG&amp;A as a percentage of revenues were 16.0% and 15.5% during the three months ended September 30, 2026, and 2025, respectively. The increase was primarily due to increased personnel costs and higher costs associated with LaunchPad initiatives, partially offset by revenue growth.</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98"/>
        </w:trPr>
        <w:tc>
          <w:tcPr>
            <w:tcW w:w="35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50"/>
        </w:trPr>
        <w:tc>
          <w:tcPr>
            <w:tcW w:w="3500" w:type="dxa"/>
            <w:vAlign w:val="bottom"/>
            <w:tcBorders>
              <w:bottom w:val="single" w:sz="8" w:color="CCEEFF"/>
            </w:tcBorders>
          </w:tcPr>
          <w:p>
            <w:pPr>
              <w:spacing w:after="0"/>
              <w:rPr>
                <w:sz w:val="21"/>
                <w:szCs w:val="21"/>
                <w:color w:val="auto"/>
              </w:rPr>
            </w:pPr>
          </w:p>
        </w:tc>
        <w:tc>
          <w:tcPr>
            <w:tcW w:w="25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bl>
    <w:p>
      <w:pPr>
        <w:spacing w:after="0" w:line="117"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September 30,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9"/>
        </w:trPr>
        <w:tc>
          <w:tcPr>
            <w:tcW w:w="262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50"/>
        </w:trPr>
        <w:tc>
          <w:tcPr>
            <w:tcW w:w="262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163.9 %</w:t>
            </w:r>
          </w:p>
        </w:tc>
      </w:tr>
    </w:tbl>
    <w:p>
      <w:pPr>
        <w:spacing w:after="0" w:line="198"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recorded net restructuring and other charges of $15.9. The charges were comprised of $12.3 related to severance and other personnel costs, $2.5 in long-lived asset impairment and other non-cash charges, and $2.3 in facility-related costs. The charges were adjusted by the reversal of previously established liabilities of $0.6 in unused facility-related costs, $0.5 in unused contract termination costs, and $0.1 in unused severance and other personnel costs.</w:t>
      </w:r>
    </w:p>
    <w:p>
      <w:pPr>
        <w:spacing w:after="0" w:line="85"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recorded net restructuring and other charges of $5.9. The charges were comprised of $4.2 related to severance and other personnel costs, $1.8 in facility-related costs, and $0.2 in contract termination costs. The charges were adjusted by the reversal of previously established liabilities of $0.2 in unused severance and other personnel costs and $0.1 in unused facility-related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98"/>
        </w:trPr>
        <w:tc>
          <w:tcPr>
            <w:tcW w:w="128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50"/>
        </w:trPr>
        <w:tc>
          <w:tcPr>
            <w:tcW w:w="1280" w:type="dxa"/>
            <w:vAlign w:val="bottom"/>
            <w:tcBorders>
              <w:bottom w:val="single" w:sz="8" w:color="CCEEFF"/>
            </w:tcBorders>
          </w:tcPr>
          <w:p>
            <w:pPr>
              <w:spacing w:after="0"/>
              <w:rPr>
                <w:sz w:val="21"/>
                <w:szCs w:val="21"/>
                <w:color w:val="auto"/>
              </w:rPr>
            </w:pPr>
          </w:p>
        </w:tc>
        <w:tc>
          <w:tcPr>
            <w:tcW w:w="47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bl>
    <w:p>
      <w:pPr>
        <w:spacing w:after="0" w:line="19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interest expense increased 5.6%, as compared with the corresponding period in 2025. The increase was primarily due to a higher average amount of total debt outstanding during the three months ended September 30, 2026, when compared to the three months ended September 30,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71"/>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Method Loss, Net</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3"/>
        </w:trPr>
        <w:tc>
          <w:tcPr>
            <w:tcW w:w="18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50"/>
        </w:trPr>
        <w:tc>
          <w:tcPr>
            <w:tcW w:w="18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1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109.3 %</w:t>
            </w:r>
          </w:p>
        </w:tc>
      </w:tr>
    </w:tbl>
    <w:p>
      <w:pPr>
        <w:spacing w:after="0" w:line="117"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Equity method loss, net represents the Company’s ownership share in joint venture partnerships along with equity investments in other companies in the healthcare industry. The increase in Equity method loss, net for the three months ended September 30, 2026, as compared with the corresponding period in 2025, was primarily due to the loss recognized from the SYNLAB investment.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Other, Net</w:t>
            </w:r>
          </w:p>
        </w:tc>
        <w:tc>
          <w:tcPr>
            <w:tcW w:w="5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98"/>
        </w:trPr>
        <w:tc>
          <w:tcPr>
            <w:tcW w:w="8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60" w:type="dxa"/>
            <w:vAlign w:val="bottom"/>
          </w:tcPr>
          <w:p>
            <w:pPr>
              <w:spacing w:after="0"/>
              <w:rPr>
                <w:sz w:val="24"/>
                <w:szCs w:val="24"/>
                <w:color w:val="auto"/>
              </w:rPr>
            </w:pPr>
          </w:p>
        </w:tc>
      </w:tr>
      <w:tr>
        <w:trPr>
          <w:trHeight w:val="250"/>
        </w:trPr>
        <w:tc>
          <w:tcPr>
            <w:tcW w:w="820" w:type="dxa"/>
            <w:vAlign w:val="bottom"/>
            <w:tcBorders>
              <w:bottom w:val="single" w:sz="8" w:color="CCEEFF"/>
            </w:tcBorders>
          </w:tcPr>
          <w:p>
            <w:pPr>
              <w:spacing w:after="0"/>
              <w:rPr>
                <w:sz w:val="21"/>
                <w:szCs w:val="21"/>
                <w:color w:val="auto"/>
              </w:rPr>
            </w:pPr>
          </w:p>
        </w:tc>
        <w:tc>
          <w:tcPr>
            <w:tcW w:w="5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5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176.1 %</w:t>
            </w:r>
          </w:p>
        </w:tc>
      </w:tr>
    </w:tbl>
    <w:p>
      <w:pPr>
        <w:spacing w:after="0" w:line="11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change in Other, net was primarily due to a decrease in investment gains recorded during the three months ended September 30, 2026, as compared to the corresponding period of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98"/>
        </w:trPr>
        <w:tc>
          <w:tcPr>
            <w:tcW w:w="2100" w:type="dxa"/>
            <w:vAlign w:val="bottom"/>
            <w:tcBorders>
              <w:top w:val="single" w:sz="8" w:color="auto"/>
            </w:tcBorders>
          </w:tcPr>
          <w:p>
            <w:pPr>
              <w:spacing w:after="0"/>
              <w:rPr>
                <w:sz w:val="24"/>
                <w:szCs w:val="24"/>
                <w:color w:val="auto"/>
              </w:rPr>
            </w:pPr>
          </w:p>
        </w:tc>
        <w:tc>
          <w:tcPr>
            <w:tcW w:w="6280" w:type="dxa"/>
            <w:vAlign w:val="bottom"/>
          </w:tcPr>
          <w:p>
            <w:pPr>
              <w:spacing w:after="0"/>
              <w:rPr>
                <w:sz w:val="24"/>
                <w:szCs w:val="24"/>
                <w:color w:val="auto"/>
              </w:rPr>
            </w:pPr>
          </w:p>
        </w:tc>
        <w:tc>
          <w:tcPr>
            <w:tcW w:w="28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50"/>
        </w:trPr>
        <w:tc>
          <w:tcPr>
            <w:tcW w:w="2100" w:type="dxa"/>
            <w:vAlign w:val="bottom"/>
            <w:tcBorders>
              <w:bottom w:val="single" w:sz="8" w:color="CCEEFF"/>
            </w:tcBorders>
          </w:tcPr>
          <w:p>
            <w:pPr>
              <w:spacing w:after="0"/>
              <w:rPr>
                <w:sz w:val="21"/>
                <w:szCs w:val="21"/>
                <w:color w:val="auto"/>
              </w:rPr>
            </w:pPr>
          </w:p>
        </w:tc>
        <w:tc>
          <w:tcPr>
            <w:tcW w:w="62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75.5</w:t>
            </w:r>
          </w:p>
        </w:tc>
      </w:tr>
      <w:tr>
        <w:trPr>
          <w:trHeight w:val="243"/>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 as a percentage of earnings from operations before income taxes</w:t>
            </w:r>
          </w:p>
        </w:tc>
        <w:tc>
          <w:tcPr>
            <w:tcW w:w="300" w:type="dxa"/>
            <w:vAlign w:val="bottom"/>
          </w:tcPr>
          <w:p>
            <w:pPr>
              <w:spacing w:after="0"/>
              <w:rPr>
                <w:sz w:val="21"/>
                <w:szCs w:val="21"/>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22.4 %</w:t>
            </w:r>
          </w:p>
        </w:tc>
      </w:tr>
    </w:tbl>
    <w:p>
      <w:pPr>
        <w:spacing w:after="0" w:line="117"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for the three months ended September 30, 2026, as compared with the corresponding period in 2025, was primarily attributable to the release of uncertain tax positions related to U.S. research and development tax credits.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19"/>
        </w:trPr>
        <w:tc>
          <w:tcPr>
            <w:tcW w:w="23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388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540" w:type="dxa"/>
            <w:vAlign w:val="bottom"/>
          </w:tcPr>
          <w:p>
            <w:pPr>
              <w:spacing w:after="0"/>
              <w:rPr>
                <w:sz w:val="24"/>
                <w:szCs w:val="24"/>
                <w:color w:val="auto"/>
              </w:rPr>
            </w:pPr>
          </w:p>
        </w:tc>
      </w:tr>
      <w:tr>
        <w:trPr>
          <w:trHeight w:val="250"/>
        </w:trPr>
        <w:tc>
          <w:tcPr>
            <w:tcW w:w="2340" w:type="dxa"/>
            <w:vAlign w:val="bottom"/>
            <w:tcBorders>
              <w:bottom w:val="single" w:sz="8" w:color="CCEEFF"/>
            </w:tcBorders>
          </w:tcPr>
          <w:p>
            <w:pPr>
              <w:spacing w:after="0"/>
              <w:rPr>
                <w:sz w:val="21"/>
                <w:szCs w:val="21"/>
                <w:color w:val="auto"/>
              </w:rPr>
            </w:pPr>
          </w:p>
        </w:tc>
        <w:tc>
          <w:tcPr>
            <w:tcW w:w="348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43"/>
        </w:trPr>
        <w:tc>
          <w:tcPr>
            <w:tcW w:w="5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16.7 %</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r>
      <w:tr>
        <w:trPr>
          <w:trHeight w:val="24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1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43"/>
        </w:trPr>
        <w:tc>
          <w:tcPr>
            <w:tcW w:w="58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1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18.3 %</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16.5 %</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1.8 %</w:t>
            </w:r>
          </w:p>
        </w:tc>
      </w:tr>
      <w:tr>
        <w:trPr>
          <w:trHeight w:val="236"/>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650.6</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4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110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r>
      <w:tr>
        <w:trPr>
          <w:trHeight w:val="24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1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43"/>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163.9 %</w:t>
            </w:r>
          </w:p>
        </w:tc>
      </w:tr>
      <w:tr>
        <w:trPr>
          <w:trHeight w:val="261"/>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Dx segment operating income was $491.6 for the three months ended September 30, 2026, an increase of $41.2 over operating income of $450.4 in the corresponding period of 2025, and Dx segment operating margin increased approximately 40 basis points year-over-year. The increase in Dx segment operating margin was primarily due to organic growth and operating efficiencies.</w:t>
      </w:r>
    </w:p>
    <w:p>
      <w:pPr>
        <w:spacing w:after="0" w:line="81"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BLS segment operating income was $159.0 for the three months ended September 30, 2026, an increase of $26.8 over operating income of $132.2 in the corresponding period of 2025, and BLS segment operating margin increased approximately 180 basis points year-over-year. The increase in BLS segment operating margin was primarily due to organic growth and operating efficiencies from the strategic actions taken in ED.</w:t>
      </w:r>
    </w:p>
    <w:p>
      <w:pPr>
        <w:spacing w:after="0" w:line="95"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General corporate and unallocated expenses are comprised primarily of administrative services such as executive management, human resources, legal, finance, corporate affairs, and information technology. General corporate and unallocated expenses were $153.9 for the three months ended September 30, 2026, an increase of $43.3 compared to general corporate and unallocated expenses of $110.6 in the corresponding period of 2025, primarily due to higher LaunchPad costs and acquisition and disposition-related costs.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18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TABLE OF CONTENTS</w:t>
            </w: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71"/>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3"/>
        </w:trPr>
        <w:tc>
          <w:tcPr>
            <w:tcW w:w="74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0"/>
        </w:trPr>
        <w:tc>
          <w:tcPr>
            <w:tcW w:w="7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4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3"/>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BLS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43"/>
        </w:trPr>
        <w:tc>
          <w:tcPr>
            <w:tcW w:w="6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eliminations and other</w:t>
            </w:r>
          </w:p>
        </w:tc>
        <w:tc>
          <w:tcPr>
            <w:tcW w:w="2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11,078.7</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10,435.9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
        </w:trPr>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Dx revenues for the nine months ended September 30, 2026, were $8,611.7, an increase of 5.7% over $8,148.0 during the nine months ended September 30, 2025. The increase was due to organic revenue of 3.6% and acquisitions, net of divestitures, of 2.0%.</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Dx total volume, measured by requisitions, increased by 3.4% as organic volume increased by 2.0% and acquisition volume, net of divestitures, contributed 1.4%. Price/mix increased by 2.3% due to organic growth of 1.6% and acquisitions, net of divestitures, of 0.6%.</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BLS revenues for the nine months ended September 30, 2026, were $2,483.5, an increase of 7.7% over $2,305.2 during the nine months ended September 30, 2025. The increase was due to organic growth of 6.6% and favorable foreign currency translation of 2.2%, partially offset by a 1.1% reduction in acquisitions, net of divestitures, which included an unfavorable impact related to strategic actions undertaken in 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8"/>
        </w:trPr>
        <w:tc>
          <w:tcPr>
            <w:tcW w:w="132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40" w:type="dxa"/>
            <w:vAlign w:val="bottom"/>
          </w:tcPr>
          <w:p>
            <w:pPr>
              <w:spacing w:after="0"/>
              <w:rPr>
                <w:sz w:val="24"/>
                <w:szCs w:val="24"/>
                <w:color w:val="auto"/>
              </w:rPr>
            </w:pPr>
          </w:p>
        </w:tc>
      </w:tr>
      <w:tr>
        <w:trPr>
          <w:trHeight w:val="250"/>
        </w:trPr>
        <w:tc>
          <w:tcPr>
            <w:tcW w:w="1320" w:type="dxa"/>
            <w:vAlign w:val="bottom"/>
            <w:tcBorders>
              <w:bottom w:val="single" w:sz="8" w:color="CCEEFF"/>
            </w:tcBorders>
          </w:tcPr>
          <w:p>
            <w:pPr>
              <w:spacing w:after="0"/>
              <w:rPr>
                <w:sz w:val="21"/>
                <w:szCs w:val="21"/>
                <w:color w:val="auto"/>
              </w:rPr>
            </w:pPr>
          </w:p>
        </w:tc>
        <w:tc>
          <w:tcPr>
            <w:tcW w:w="45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7,844.8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7,416.6</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as a percentage of revenues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71.1 %</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17"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Cost of revenues increased 5.8% during the nine months ended September 30, 2026, as compared with the corresponding period in 2025. Cost of revenues as a percentage of revenues during the nine months ended September 30, 2026, decreased to 70.8%, as compared to 71.1% in the corresponding period in 2025. This decrease was primarily due to organic growth and operating efficiencies.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98"/>
        </w:trPr>
        <w:tc>
          <w:tcPr>
            <w:tcW w:w="358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40" w:type="dxa"/>
            <w:vAlign w:val="bottom"/>
          </w:tcPr>
          <w:p>
            <w:pPr>
              <w:spacing w:after="0"/>
              <w:rPr>
                <w:sz w:val="24"/>
                <w:szCs w:val="24"/>
                <w:color w:val="auto"/>
              </w:rPr>
            </w:pPr>
          </w:p>
        </w:tc>
      </w:tr>
      <w:tr>
        <w:trPr>
          <w:trHeight w:val="250"/>
        </w:trPr>
        <w:tc>
          <w:tcPr>
            <w:tcW w:w="3580" w:type="dxa"/>
            <w:vAlign w:val="bottom"/>
            <w:tcBorders>
              <w:bottom w:val="single" w:sz="8" w:color="CCEEFF"/>
            </w:tcBorders>
          </w:tcPr>
          <w:p>
            <w:pPr>
              <w:spacing w:after="0"/>
              <w:rPr>
                <w:sz w:val="21"/>
                <w:szCs w:val="21"/>
                <w:color w:val="auto"/>
              </w:rPr>
            </w:pPr>
          </w:p>
        </w:tc>
        <w:tc>
          <w:tcPr>
            <w:tcW w:w="2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1,739.6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1,678.4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SG&amp;A as a percentage of revenues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bl>
    <w:p>
      <w:pPr>
        <w:spacing w:after="0" w:line="117"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SG&amp;A as a percentage of revenues were 15.7% and 16.1% during the nine months ended September 30, 2026, and 2025, respectively. The decrease was primarily due to revenue growth.</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Amortization of Intangibles and Other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98"/>
        </w:trPr>
        <w:tc>
          <w:tcPr>
            <w:tcW w:w="35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50"/>
        </w:trPr>
        <w:tc>
          <w:tcPr>
            <w:tcW w:w="3500" w:type="dxa"/>
            <w:vAlign w:val="bottom"/>
            <w:tcBorders>
              <w:bottom w:val="single" w:sz="8" w:color="CCEEFF"/>
            </w:tcBorders>
          </w:tcPr>
          <w:p>
            <w:pPr>
              <w:spacing w:after="0"/>
              <w:rPr>
                <w:sz w:val="21"/>
                <w:szCs w:val="21"/>
                <w:color w:val="auto"/>
              </w:rPr>
            </w:pPr>
          </w:p>
        </w:tc>
        <w:tc>
          <w:tcPr>
            <w:tcW w:w="256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bl>
    <w:p>
      <w:pPr>
        <w:spacing w:after="0" w:line="117"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increase in amortization of intangibles and other assets primarily reflects additional amortization for assets acquired subsequent to September 30,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9"/>
        </w:trPr>
        <w:tc>
          <w:tcPr>
            <w:tcW w:w="262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50"/>
        </w:trPr>
        <w:tc>
          <w:tcPr>
            <w:tcW w:w="2620" w:type="dxa"/>
            <w:vAlign w:val="bottom"/>
            <w:tcBorders>
              <w:bottom w:val="single" w:sz="8" w:color="CCEEFF"/>
            </w:tcBorders>
          </w:tcPr>
          <w:p>
            <w:pPr>
              <w:spacing w:after="0"/>
              <w:rPr>
                <w:sz w:val="21"/>
                <w:szCs w:val="21"/>
                <w:color w:val="auto"/>
              </w:rPr>
            </w:pPr>
          </w:p>
        </w:tc>
        <w:tc>
          <w:tcPr>
            <w:tcW w:w="34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67.1 %</w:t>
            </w:r>
          </w:p>
        </w:tc>
      </w:tr>
    </w:tbl>
    <w:p>
      <w:pPr>
        <w:spacing w:after="0" w:line="184"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recorded net restructuring and other charges of $27.4. The charges were comprised of $32.1 related to severance and other personnel costs, $5.6 in facility-related costs, $2.5 in long-lived asset impairment and other non-cash charges, and $0.1 in contract termination costs. The charges were adjusted by the reversal of previously established liabilities of $9.0 in unused facility-related costs, $3.6 in unused contract termination costs, and $0.3 in unused severance and other personnel costs.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recorded net restructuring and other charges of $16.4. The charges were comprised of $21.2 related to severance and other personnel costs, $15.3 in contract termination costs, and $9.1 in facility-related costs. The charges were adjusted by the reversal of a previously established liability of $27.6 in unused facility-related costs and $1.6 in unused severance and other personnel costs.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98"/>
        </w:trPr>
        <w:tc>
          <w:tcPr>
            <w:tcW w:w="1280" w:type="dxa"/>
            <w:vAlign w:val="bottom"/>
            <w:tcBorders>
              <w:top w:val="single" w:sz="8" w:color="auto"/>
            </w:tcBorders>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50"/>
        </w:trPr>
        <w:tc>
          <w:tcPr>
            <w:tcW w:w="1280" w:type="dxa"/>
            <w:vAlign w:val="bottom"/>
            <w:tcBorders>
              <w:bottom w:val="single" w:sz="8" w:color="CCEEFF"/>
            </w:tcBorders>
          </w:tcPr>
          <w:p>
            <w:pPr>
              <w:spacing w:after="0"/>
              <w:rPr>
                <w:sz w:val="21"/>
                <w:szCs w:val="21"/>
                <w:color w:val="auto"/>
              </w:rPr>
            </w:pPr>
          </w:p>
        </w:tc>
        <w:tc>
          <w:tcPr>
            <w:tcW w:w="47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117"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interest expense increased 3.7%, as compared with the corresponding period in 2025. The increase was primarily due to a higher average amount of total debt outstanding during the nine months ended September 30, 2026, when compared to the nine months ended September 30, 2025.</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 Method Loss, Net</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98"/>
        </w:trPr>
        <w:tc>
          <w:tcPr>
            <w:tcW w:w="19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50"/>
        </w:trPr>
        <w:tc>
          <w:tcPr>
            <w:tcW w:w="1920" w:type="dxa"/>
            <w:vAlign w:val="bottom"/>
            <w:tcBorders>
              <w:bottom w:val="single" w:sz="8" w:color="CCEEFF"/>
            </w:tcBorders>
          </w:tcPr>
          <w:p>
            <w:pPr>
              <w:spacing w:after="0"/>
              <w:rPr>
                <w:sz w:val="21"/>
                <w:szCs w:val="21"/>
                <w:color w:val="auto"/>
              </w:rPr>
            </w:pPr>
          </w:p>
        </w:tc>
        <w:tc>
          <w:tcPr>
            <w:tcW w:w="4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loss,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207.3 %</w:t>
            </w: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Equity method loss, net represents the Company’s ownership share in joint venture partnerships along with equity investments in other companies in the healthcare industry. The increase in Equity method loss, net for the nine months ended September 30, 2026, as compared with the corresponding period in 2025, was primarily due to the loss recognized from the SYNLAB investment.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net</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98"/>
        </w:trPr>
        <w:tc>
          <w:tcPr>
            <w:tcW w:w="78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50"/>
        </w:trPr>
        <w:tc>
          <w:tcPr>
            <w:tcW w:w="780" w:type="dxa"/>
            <w:vAlign w:val="bottom"/>
            <w:tcBorders>
              <w:bottom w:val="single" w:sz="8" w:color="CCEEFF"/>
            </w:tcBorders>
          </w:tcPr>
          <w:p>
            <w:pPr>
              <w:spacing w:after="0"/>
              <w:rPr>
                <w:sz w:val="21"/>
                <w:szCs w:val="21"/>
                <w:color w:val="auto"/>
              </w:rPr>
            </w:pPr>
          </w:p>
        </w:tc>
        <w:tc>
          <w:tcPr>
            <w:tcW w:w="5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bl>
    <w:p>
      <w:pPr>
        <w:spacing w:after="0" w:line="130" w:lineRule="exact"/>
        <w:rPr>
          <w:sz w:val="20"/>
          <w:szCs w:val="20"/>
          <w:color w:val="auto"/>
        </w:rPr>
      </w:pPr>
    </w:p>
    <w:p>
      <w:pPr>
        <w:jc w:val="both"/>
        <w:ind w:firstLine="286"/>
        <w:spacing w:after="0" w:line="258" w:lineRule="auto"/>
        <w:rPr>
          <w:sz w:val="20"/>
          <w:szCs w:val="20"/>
          <w:color w:val="auto"/>
        </w:rPr>
      </w:pPr>
      <w:r>
        <w:rPr>
          <w:rFonts w:ascii="Times New Roman" w:cs="Times New Roman" w:eastAsia="Times New Roman" w:hAnsi="Times New Roman"/>
          <w:sz w:val="18"/>
          <w:szCs w:val="18"/>
          <w:color w:val="auto"/>
        </w:rPr>
        <w:t>The change in Other, net for the nine months ended September 30, 2026, as compared to the nine months ended September 30, 2025, was primarily due to investment losses of $8.5 recorded during the nine months ended September 30, 2026, compared to investment losses of $32.4 for the corresponding period of 2025. In addition, there were foreign currency transaction losses of $13.1 recognized for the nine months ended September 30, 2026, as compared to losses of $8.0 for the corresponding period of 2025. As the TSA between Fortrea and LCAH expired on June 30, 2025, there were no fees charged to Fortrea for the nine months ended September 30, 2026, as compared to $3.8 in the corresponding period in 2025.</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98"/>
        </w:trPr>
        <w:tc>
          <w:tcPr>
            <w:tcW w:w="2100" w:type="dxa"/>
            <w:vAlign w:val="bottom"/>
            <w:tcBorders>
              <w:top w:val="single" w:sz="8" w:color="auto"/>
            </w:tcBorders>
          </w:tcPr>
          <w:p>
            <w:pPr>
              <w:spacing w:after="0"/>
              <w:rPr>
                <w:sz w:val="24"/>
                <w:szCs w:val="24"/>
                <w:color w:val="auto"/>
              </w:rPr>
            </w:pPr>
          </w:p>
        </w:tc>
        <w:tc>
          <w:tcPr>
            <w:tcW w:w="6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50"/>
        </w:trPr>
        <w:tc>
          <w:tcPr>
            <w:tcW w:w="2100" w:type="dxa"/>
            <w:vAlign w:val="bottom"/>
            <w:tcBorders>
              <w:bottom w:val="single" w:sz="8" w:color="CCEEFF"/>
            </w:tcBorders>
          </w:tcPr>
          <w:p>
            <w:pPr>
              <w:spacing w:after="0"/>
              <w:rPr>
                <w:sz w:val="21"/>
                <w:szCs w:val="21"/>
                <w:color w:val="auto"/>
              </w:rPr>
            </w:pPr>
          </w:p>
        </w:tc>
        <w:tc>
          <w:tcPr>
            <w:tcW w:w="6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204.1</w:t>
            </w:r>
          </w:p>
        </w:tc>
      </w:tr>
      <w:tr>
        <w:trPr>
          <w:trHeight w:val="24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 as a percentage of earnings from operations before income taxes</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r>
    </w:tbl>
    <w:p>
      <w:pPr>
        <w:spacing w:after="0" w:line="130"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The decrease in the effective tax rate for the nine months ended September 30, 2026, as compared to the corresponding period in 2025, was primarily attributable to discrete benefits recognized from the tax restructuring of certain foreign entities.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419"/>
        </w:trPr>
        <w:tc>
          <w:tcPr>
            <w:tcW w:w="234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540" w:type="dxa"/>
            <w:vAlign w:val="bottom"/>
          </w:tcPr>
          <w:p>
            <w:pPr>
              <w:spacing w:after="0"/>
              <w:rPr>
                <w:sz w:val="24"/>
                <w:szCs w:val="24"/>
                <w:color w:val="auto"/>
              </w:rPr>
            </w:pPr>
          </w:p>
        </w:tc>
      </w:tr>
      <w:tr>
        <w:trPr>
          <w:trHeight w:val="250"/>
        </w:trPr>
        <w:tc>
          <w:tcPr>
            <w:tcW w:w="2340" w:type="dxa"/>
            <w:vAlign w:val="bottom"/>
            <w:tcBorders>
              <w:bottom w:val="single" w:sz="8" w:color="CCEEFF"/>
            </w:tcBorders>
          </w:tcPr>
          <w:p>
            <w:pPr>
              <w:spacing w:after="0"/>
              <w:rPr>
                <w:sz w:val="21"/>
                <w:szCs w:val="21"/>
                <w:color w:val="auto"/>
              </w:rPr>
            </w:pPr>
          </w:p>
        </w:tc>
        <w:tc>
          <w:tcPr>
            <w:tcW w:w="36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4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Dx segment operating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1,472.9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1,360.7</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43"/>
        </w:trPr>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Dx segment operating margin</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17.1 %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16.7 %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r>
      <w:tr>
        <w:trPr>
          <w:trHeight w:val="24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BLS segment operating income</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43"/>
        </w:trPr>
        <w:tc>
          <w:tcPr>
            <w:tcW w:w="59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BLS segment operating margin</w:t>
            </w: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17.0 %</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15.7 %</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r>
      <w:tr>
        <w:trPr>
          <w:trHeight w:val="23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1,894.8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1,723.1</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 and unallocated expenses</w:t>
            </w:r>
          </w:p>
        </w:tc>
        <w:tc>
          <w:tcPr>
            <w:tcW w:w="3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4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 and other assets</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43"/>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67.1 %</w:t>
            </w:r>
          </w:p>
        </w:tc>
      </w:tr>
      <w:tr>
        <w:trPr>
          <w:trHeight w:val="261"/>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83"/>
        <w:spacing w:after="0" w:line="282" w:lineRule="auto"/>
        <w:rPr>
          <w:sz w:val="20"/>
          <w:szCs w:val="20"/>
          <w:color w:val="auto"/>
        </w:rPr>
      </w:pPr>
      <w:r>
        <w:rPr>
          <w:rFonts w:ascii="Times New Roman" w:cs="Times New Roman" w:eastAsia="Times New Roman" w:hAnsi="Times New Roman"/>
          <w:sz w:val="18"/>
          <w:szCs w:val="18"/>
          <w:color w:val="auto"/>
        </w:rPr>
        <w:t>Dx segment operating income was $1,472.9 for the nine months ended September 30, 2026, an increase of $112.2 over operating income of $1,360.7 in the corresponding period of 2025, and Dx segment operating margin increased approximately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basis points year-over-year. The increase in Dx segment operating margin was primarily due to organic growth and operating efficiencies.</w:t>
      </w:r>
    </w:p>
    <w:p>
      <w:pPr>
        <w:spacing w:after="0" w:line="144"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BLS segment operating income was $421.9 for the nine months ended September 30, 2026, an increase of $59.5 over operating income of $362.4 in the corresponding period of 2025, and BLS segment operating margin increased approximately 130 basis points year-over-year. The increase in BLS segment operating margin was primarily due to organic growth and operating efficiencies from the strategic actions taken in ED.</w:t>
      </w:r>
    </w:p>
    <w:p>
      <w:pPr>
        <w:spacing w:after="0" w:line="8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General corporate and unallocated expenses are comprised primarily of administrative services such as executive management, human resources, legal, finance, corporate affairs, and information technology. General corporate and unallocated expenses were $400.5 for the nine months ended September 30, 2026, an increase of $18.3 compared to general corporate and unallocated expenses of $382.2 in the corresponding period of 2025, primarily due to increased personnel costs and higher LaunchPad costs, partially offset by lower costs related to the Spin-off.</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 (dollars and shares in millions, except per share amounts)</w:t>
      </w:r>
    </w:p>
    <w:p>
      <w:pPr>
        <w:spacing w:after="0" w:line="14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The Company’s cash-generating capability and financial condition typically have provided ready access to capital markets. The Company’s principal source of liquidity is operating cash flow, supplemented by proceeds from debt offerings. The Company’s senior unsecured revolving credit facility is further discussed in Note 6 Debt to the Company’s Condensed Consolidated Financial Statements.</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summary, the Company’s cash flows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78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w:t>
            </w:r>
          </w:p>
        </w:tc>
      </w:tr>
      <w:tr>
        <w:trPr>
          <w:trHeight w:val="24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r>
      <w:tr>
        <w:trPr>
          <w:trHeight w:val="243"/>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on changes in Cash and cash equivalents</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61"/>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Cash and cash equivalents at September 30, 2026, and 2025, totaled $261.8 and $598.1, respectively. Cash and cash equivalents consist of highly liquid instruments, such as time deposits, and other money market investments, which have original maturities of three months or less.</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Cash and cash equivalents, at September 30, 2026, the Company had $1,000.0 of available borrowings under its revolving credit facility, which, as amended on June 27, 2025, expires in 2030.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48" w:lineRule="exact"/>
        <w:rPr>
          <w:sz w:val="20"/>
          <w:szCs w:val="20"/>
          <w:color w:val="auto"/>
        </w:rPr>
      </w:pPr>
    </w:p>
    <w:p>
      <w:pPr>
        <w:jc w:val="both"/>
        <w:ind w:firstLine="283"/>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Company’s operations provided $1,200.8 of cash, as compared to $1,026.3 during the same period in 2025. The $174.5 increase in net cash provided by operations during the nine months ended September 30, 2026, as compared with the corresponding 2025 period, was primarily due to higher cash earnings.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cash used for investing activities for the nine months ended September 30, 2026, was $1,122.0, as compared to $804.1 for the nine months ended September 30, 2025. The increase in cash used for investing activities for the nine months ended September 30, 2026, as compared to the corresponding period in 2025, was primarily due to increased business acquisitions and capital expenditures, partially offset by a decrease in the purchase of equity affiliates or other investments.</w:t>
      </w:r>
    </w:p>
    <w:p>
      <w:pPr>
        <w:spacing w:after="0" w:line="9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Capital expenditures were $404.2 and $310.6 for the nine months ended September 30, 2026, and 2025, respectively. Capital expenditures for the nine months ended September 30, 2026, were 3.6% of Revenues, primarily in connection with projects to support growth in the Company’s core businesses, facility expansion and updates, implement advanced technology, and further acquisition integration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3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cash used for financing activities for the nine months ended September 30, 2026, was $349.4, as compared to $1,166.6 for the nine months ended September 30, 2025. The decrease in cash flows used for financing activities for the nine months ended September 30, 2026, as compared to the nine months ended September 30, 2025, was primarily due to increased proceeds from the 2026 Term Loan of $750.0, decreased payments on senior notes of $500.0, partially offset by increased Common Stock repurchases of $226.8 and decreased proceeds, net of repayments, from the Company’s AR Facility of $194.0.</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January 28, 2026, the Company further amended its AR Facility. Among other things, this amendment extended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termination date to January 26, 2029.</w:t>
      </w:r>
    </w:p>
    <w:p>
      <w:pPr>
        <w:spacing w:after="0" w:line="1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March 20, 2026, the Company entered into the $750.0 2026 Term Loan that will mature on March 20, 2028. On June 1, 2026, the net proceeds of the 2026 Term Loan were used to redeem the Company’s outstanding 1.55% senior notes due 2026 and, to the extent not used for such purpose, were made available for other general corporate uses. The principal balance of the 2026 Term Loan bears interest at a floating per annum rate equal to, at the Company’s election, either (i) a SOFR-based rate plus a margin of 0.700% or (ii) a base rate plus a margin of 0.0%.</w:t>
      </w:r>
    </w:p>
    <w:p>
      <w:pPr>
        <w:spacing w:after="0" w:line="8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Company’s 2026 Term Loan, revolving credit facility, indentures relating to the Company’s senior notes, and AR Facility, the Company is subject to negative covenants limiting subsidiary indebtedness and certain other covenants typical for investment grade-rated borrowers, and with respect to the 2026 Term Loan and revolving credit facility, the Company is required to maintain certain leverage ratios. The Company was in compliance with all covenants at September 30, 2026, and expects continued compliance with its existing covenants and leverage ratios for the next 12 months.</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July 8, 2026, the Board authorized the repurchase of an additional $1,000.0 in the maximum value of the Company’s shares of Common Stock as part of the Company’s ongoing share repurchase program. At September 30, 2026, the Company had outstanding authorization from its Board to purchase up to $1,378.6 maximum value of shares of Common Stock. The repurchase authorization has no expiration date.</w:t>
      </w:r>
    </w:p>
    <w:p>
      <w:pPr>
        <w:spacing w:after="0" w:line="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2026, the Company paid $178.1 in Common Stock dividends. On October 21, 2026, the Company announced a cash dividend of $0.72 per share of Common Stock, or approximately $59.0 in the aggregate. The dividend will be paid on December 11, 2026, to stockholders of record of all issued and outstanding shares of Common Stock as of the close of business on November 24, 2026. The declaration and payment of any future dividends will be at the discretion of the Board.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Guarantor Information</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2024, the Company, LCAH and U.S. Bank Trust Company, National Association (the Trustee) entered into a seventeenth supplemental indenture (the Seventeenth Supplemental Indenture) to the indenture, dated as of November 19, 2010, between LCAH and the Trustee (2010 Indenture). In addition, the Company, LCAH and the Trustee entered into the 2024 Indenture on September 23, 2024 (the 2024 Indenture, together with the 2010 Indenture, the Indentures). The Seventeenth Supplemental Indenture, among other things, provides for the full and unconditional guarantee by the Company of LCAH’s obligations under the 2010 Indenture, and each series of senior notes issued and outstanding thereunder, and the 2024 Indenture provides for the full and unconditional guarantee by the Company of LCAH’s obligations, and each series of senior notes issued and outstanding, thereunder (collectively, the Labcorp Holdings Guarantees). Also, the Indentures permit the Company to satisfy LCAH’s reporting obligations so long as the Labcorp Holdings Guarantees remain in place and the Company’s Condensed Consolidated Financial Statements and other information comply with the requirements of Rule 3-10 of Regulation S-X.</w:t>
      </w:r>
    </w:p>
    <w:p>
      <w:pPr>
        <w:spacing w:after="0" w:line="1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September 30, 2026, there was $2,650.0 and $2,000.0 aggregate principal amount of issued and outstanding senior notes of LCAH, issued under the 2010 Indenture and the 2024 Indenture, respectively, that are fully and unconditionally guaranteed by the Company. Accordingly, pursuant to Rule 3-10 of Regulation S-X, separate consolidated financial statements of LCAH have not been presented. As permitted under Rule 13-01(a)(4)(vi) of Regulation S-X, the Company has excluded the summarized financial information for LCAH because the assets, liabilities, and results of operations of LCAH are not materially different than the corresponding amounts in the Company’s Condensed Consolidated Financial Statements and management believes such summarized financial information would be repetitive and would not provide incremental value to investors.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investment grade credit ratings from Moody’s and S&amp;P Global Ratings contribute to the Company’s ability to access capital markets.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does not have any variable interest entities or special purpose entities whose financial results are not included in the Company’s Condensed Consolidated Financial Statements.</w:t>
      </w:r>
    </w:p>
    <w:p>
      <w:pPr>
        <w:spacing w:after="0" w:line="6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a noncancelable contract with a vendor to purchase supplies inventory pursuant to which the Company is obligated to make expected total future minimum payments of $111.5, including $4.8 for the remainder of 2026, $32.7 in 2027, and $74.0 in 2028.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Commercial Commitments</w:t>
      </w:r>
    </w:p>
    <w:p>
      <w:pPr>
        <w:spacing w:after="0" w:line="14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At September 30, 2026, the Company has debt instruments, net of interest rate swaps, with total future payments of $5,885.8, of which $601.7 is payable within 12 months.</w:t>
      </w:r>
    </w:p>
    <w:p>
      <w:pPr>
        <w:spacing w:after="0" w:line="6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has leases for PSCs, laboratories and testing facilities, clinical facilities, general office spaces, vehicles, and office and laboratory equipment. At September 30, 2026, the Company had total future lease payments for short-term and long-term leases of $1,129.4, with payments of $229.3 due within 12 months.</w:t>
      </w:r>
    </w:p>
    <w:p>
      <w:pPr>
        <w:spacing w:after="0" w:line="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On June 28, 2026, the Company entered into an agreement to acquire select assets of an outreach laboratory services business for a purchase price of approximately $155.0. The transaction is subject to customary closing conditions and applicable regulatory approvals for a transaction of this type.</w:t>
      </w:r>
    </w:p>
    <w:p>
      <w:pPr>
        <w:spacing w:after="0" w:line="81" w:lineRule="exact"/>
        <w:rPr>
          <w:sz w:val="20"/>
          <w:szCs w:val="20"/>
          <w:color w:val="auto"/>
        </w:rPr>
      </w:pPr>
    </w:p>
    <w:p>
      <w:pPr>
        <w:jc w:val="both"/>
        <w:ind w:firstLine="243"/>
        <w:spacing w:after="0" w:line="232" w:lineRule="auto"/>
        <w:rPr>
          <w:sz w:val="20"/>
          <w:szCs w:val="20"/>
          <w:color w:val="auto"/>
        </w:rPr>
      </w:pPr>
      <w:r>
        <w:rPr>
          <w:rFonts w:ascii="Times New Roman" w:cs="Times New Roman" w:eastAsia="Times New Roman" w:hAnsi="Times New Roman"/>
          <w:sz w:val="18"/>
          <w:szCs w:val="18"/>
          <w:color w:val="auto"/>
        </w:rPr>
        <w:t>On October 15, 2026, the Company announced that it entered into an agreement with OPKO Health, Inc. to acquire select assets of the laboratory business of BioReference Health, LLC, a wholly owned subsidiary of OPKO. Through this transaction, the Company will acquire BioReference Health’s laboratory testing businesses focused on clinical and women’s health testing services, urology, corrections, certain operational assets, including additional patient service centers, and the proprietary 4Kscore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an FDA-approved blood test for prostate cancer. The estimated purchase price for the transaction is up to $872.0, including $722.0 payable in cash at closing and up to $150.0 of consideration contingent upon revenue from the 4Kscore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 This transaction is anticipated to close mid-2027, subject to regulatory approvals and customary closing conditions for a transaction of this type.</w:t>
      </w:r>
    </w:p>
    <w:p>
      <w:pPr>
        <w:spacing w:after="0" w:line="10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October 20, 2026, the Company announced that it entered into an agreement to acquire the Prenatal Health testing business from Myriad Genetics, Inc. The estimated purchase price for this transaction is approximately $210.0 in cash, plus the value of the inventory of the Prenatal Health testing business at closing. The transaction is expected to close early 2027, subject to customary closing conditions and applicable regulatory approvals for a transaction of this type.</w:t>
      </w:r>
    </w:p>
    <w:p>
      <w:pPr>
        <w:spacing w:after="0" w:line="8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October 23, 2026, the Company announced that it entered into an agreement to acquire Millennium Health, an accredited specialty laboratory with a focus on drug testing and surveillance. The estimated purchase price for the transaction is up to $375.0, including $245.0 payable in cash at closing and up to $130.0 of consideration contingent upon the outcome of specified future events. This transaction is anticipated to close in 2026, subject to regulatory approvals and customary closing conditions for a transaction of this type.</w:t>
      </w:r>
    </w:p>
    <w:p>
      <w:pPr>
        <w:spacing w:after="0" w:line="9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At September 30, 2026, the Company provided letters of credit aggregating approximately $107.3, primarily in connection with certain insurance programs which are renewed annually.</w:t>
      </w:r>
    </w:p>
    <w:p>
      <w:pPr>
        <w:spacing w:after="0" w:line="6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Based on current and projected levels of cash flows from operations, coupled with availability under its revolving credit facility and the AR Facility, the Company believes it has sufficient liquidity to meet both its anticipated short-term and long-term cash needs for the next 12 months and the reasonably foreseeable future; however, the Company continually reassesses its liquidity position in light of market conditions and other relevant factors. In addition, the Company believes its credit profile would support access to additional financing if needed to fund operations, service debt, pursue growth opportunities, and satisfy upcoming debt maturities.</w:t>
      </w:r>
    </w:p>
    <w:p>
      <w:pPr>
        <w:spacing w:after="0" w:line="8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Borrowings under the Company’s 2026 Term Loan, the AR Facility, and the revolving credit facility bear interest at variable rates. In the current interest rate environment, the Company has experienced an increase in interest expense. Further increases in benchmark interest rates would further increase interest expense on the Company’s variable-rate debt, and wider credit spreads could increase the cost of any new debt the Company incurs. In addition, the Company expects to refinance its $600.0 3.60% senior notes due 2027, which mature on September 1, 2027. In the current interest rate environment, the Company expects that new or refinanced debt will bear interest at rates higher than that of the debt being replaced, which will also increase interest expense. See Item 3, “Quantitative and Qualitative Disclosures About Market Risk.”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CRITICAL ACCOUNTING ESTIMATES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changes to the critical accounting estimates that appear in Part II. Item 7 of the Annual Report.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IMPACT OF RECENT ACCOUNTING PRONOUNCEMENTS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impact of recent accounting pronouncements, if any, is discussed in Note 1 Basis of Financial Statement Presentation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(dollar amounts in millions)</w:t>
      </w:r>
    </w:p>
    <w:p>
      <w:pPr>
        <w:spacing w:after="0" w:line="148" w:lineRule="exact"/>
        <w:rPr>
          <w:sz w:val="20"/>
          <w:szCs w:val="20"/>
          <w:color w:val="auto"/>
        </w:rPr>
      </w:pPr>
    </w:p>
    <w:p>
      <w:pPr>
        <w:jc w:val="both"/>
        <w:ind w:firstLine="283"/>
        <w:spacing w:after="0" w:line="256"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the exposure to such changes. The Company addresses its exposure to market risks, principally the market risks associated with changes in foreign currency exchange rates and interest rates, through a controlled program of risk management that includes the use of derivative financial instruments such as foreign currency forward contracts, cross currency swaps, and interest rate swap agreements. The Company does not hold or issue derivative financial instruments for trading purposes.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3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Approximately 13.7% and 13.5% of the Company’s revenues for the nine months ended September 30, 2026, and 2025, respectively, were denominated in currencies other than the USD. The Company’s Condensed Consolidated Financial Statements are reported in USD and, accordingly, fluctuations in exchange rates will affect the translation of revenues and expenses denominated in foreign currencies into USD for the purpose of reporting the Company’s consolidated financial results. During the nine months ended September 30, 2026 and the year ended December 31, 2025,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nine months ended September 30, 2026, by approximately $26.6. Foreign currency translation adjustments recorded as a separate component of Shareholders’ equity were $(41.8) and $(7.8) for the quarter ended September 30, 2026, and 2025, respectively. The Company does not have significant operations in countries in which the economy is considered to be highly inflationary.</w:t>
      </w:r>
    </w:p>
    <w:p>
      <w:pPr>
        <w:spacing w:after="0" w:line="1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earns revenue from service contracts over a period of several months, and in some cases, over a period of several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September 30, 2026, the Company had 11 open foreign exchange forward contracts with various amounts maturing monthly through October 2026 with a notional value totaling approximately $514.1. At December 31, 2025, the Company had eight open foreign exchange forward contracts with various amounts maturing monthly through January 2026 with a notional value totaling approximately $238.0.</w:t>
      </w:r>
    </w:p>
    <w:p>
      <w:pPr>
        <w:spacing w:after="0" w:line="9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is a party to USD to Swiss Franc cross currency swap agreements with an aggregate notional amount of $1,200.0, with $300.0 maturing in 2029, $300.0 maturing in 2031, and $600.0 maturing in 2034. These instruments are designated as a hedge and are intended to economically offset a portion of the Company’s investment exposure in Swiss Franc functional entities.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4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Some of the Company’s debt is subject to interest at variable rates. As a result, fluctuations in interest rates affect the Company’s financial results. The Company attempts to manage interest rate risk and overall borrowing costs through an appropriate mix of fixed and variable rate debt including the utilization of derivative financial instruments, primarily interest rate swaps.</w:t>
      </w:r>
    </w:p>
    <w:p>
      <w:pPr>
        <w:spacing w:after="0" w:line="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Borrowings under the Company’s 2026 Term Loan, revolving credit facility, and AR Facility are subject to variable interest rates, unless fixed through interest rate swaps or other agreements. At September 30, 2026, the Company had $750.0 and $556.0 of variable rate debt outstanding under its 2026 Term Loan and AR Facility, respectively. Each quarter-point increase or decrease in the variable rate would result in the Company’s interest expense changing by approximately $3.3 per year for the Company’s debt currently outstanding under its 2026 Term Loan and AR Facility.</w:t>
      </w:r>
    </w:p>
    <w:p>
      <w:pPr>
        <w:spacing w:after="0" w:line="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 hedge against changes in the fair value portion of the Company’s long-term debt, the Company is party to fixed-to-variable interest rate swap agreements for the 2.70% senior notes due 2031 with an aggregate notional value of $500.0 and variable interest rates currently based on the compounded SOFR plus 1.33%.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jc w:val="both"/>
        <w:ind w:firstLine="283"/>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 13a-15(e) and 15d-15(e) under the Securities Exchange Act of 1934, as amended). Based upon this evaluation, the Company’s principal executive officer and principal financial officer concluded that the Company’s disclosure controls and procedures were effective at September 30, 2026.</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jc w:val="both"/>
        <w:ind w:right="20" w:firstLine="283"/>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Securities Exchange Act of 1934, as amended) that occurred during the quarter ended September 30,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8 Commitments and Contingencies to the Company’s Condensed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risk factors set forth below revise and supplement the corresponding risk factors set forth in the Company’s Annual Report. With the exception of the following, there have been no material changes in the risk factors that appear in Part I. Item 1A of the Annual Report.</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in the information technology systems of the Company or its vendors and other third-party service providers, or newly acquired businesses, or delays or failures in the development and implementation of new systems or updates or enhancements to existing systems, including the implementation of the Company’s new ERP system, could adversely affect the Company’s business.</w:t>
      </w:r>
    </w:p>
    <w:p>
      <w:pPr>
        <w:spacing w:after="0" w:line="8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The Company’s operations rely on the continued performance and security of its information technology systems. System failures, cybersecurity incidents, disruptions, or other issues affecting information technology systems could impair data processing, service delivery, billing, and customer communications. Failure in the information technology systems of the Company or its vendors and other third-party service providers, or newly acquired businesses, or delays or failures in the development and implementation of new systems or updates or enhancements to existing systems, could adversely affect the Company’s business. The Company also relies on third parties for critical services, including transportation, supplies, and data processing and expects them to comply with applicable laws and regulations, including environmental, health and safety, and privacy and data security laws. Failures by these providers, whether operational, legal, or cybersecurity-related, and issues affecting their information technology systems, could disrupt services, compromise personal or other confidential information, expose the Company to liability and could materially impact its business, even if the Company is not responsible for the underlying cause of any such failure or issue. In addition, the Company may be subject to regulatory, contractual, or other obligations arising from any such failure or issue. Despite contingency plans, risks remain, and a significant information technology system disruption could adversely affect the Company’s reputation, operations, financial condition, and profitability.</w:t>
      </w:r>
    </w:p>
    <w:p>
      <w:pPr>
        <w:spacing w:after="0" w:line="9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is implementing a new ERP system and expects to extend its deployment across broader areas of the Company. Integrating an ERP system of this scope is complex, and the process may be more difficult or costly than anticipated. Challenges or deficiencies in the integration, data migration, or operation of the system as it is extended could disrupt aspects of the Company’s business operations, including its supply chain and procurement processes, result in data errors, or affect the Company’s ability to process transactions and operate effectively. In connection with extending the system and mitigating potential supply chain disruptions, the Company may increase or accelerate certain inventory purchases, which could adversely affect cash flows and liquidity.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(dollars in millions)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months ended September 30, 2026, the Company did not repurchase any of its shares of Common Stock.</w:t>
      </w:r>
    </w:p>
    <w:p>
      <w:pPr>
        <w:spacing w:after="0" w:line="13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July 8, 2026, the Board authorized the repurchase of an additional $1,000.0 in the maximum value of the Company’s shares of Common Stock as part of the Company’s ongoing share repurchase program. At September 30, 2026, the Company had outstanding authorization from its Board to purchase up to $1,378.6 maximum value of shares of Common Stock. The repurchase authorization has no expiration date.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Insider Adoption or Termination of Trading Arrangements:</w:t>
      </w:r>
    </w:p>
    <w:p>
      <w:pPr>
        <w:spacing w:after="0" w:line="13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none of the Company’s directors or officers informed it of the adoption, modification, or termination of a “Rule 10b5-1 trading arrangement” or “non-Rule 10b5-1 trading arrangement,” as those terms are defined in Regulation S-K, Item 408, except as described in the table below:</w:t>
      </w:r>
    </w:p>
    <w:p>
      <w:pPr>
        <w:sectPr>
          <w:pgSz w:w="11900" w:h="16838" w:orient="portrait"/>
          <w:cols w:equalWidth="0" w:num="1">
            <w:col w:w="11240"/>
          </w:cols>
          <w:pgMar w:left="320" w:top="121" w:right="339" w:bottom="1440" w:gutter="0" w:footer="0" w:header="0"/>
        </w:sectPr>
      </w:pP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Aggregate Number of Shares of</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Character of Trading</w:t>
            </w:r>
          </w:p>
        </w:tc>
        <w:tc>
          <w:tcPr>
            <w:tcW w:w="296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rPr>
              <w:t>Common Stock to be (Sold)</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00" w:type="dxa"/>
            <w:vAlign w:val="bottom"/>
            <w:vMerge w:val="restart"/>
          </w:tcPr>
          <w:p>
            <w:pPr>
              <w:spacing w:after="0"/>
              <w:rPr>
                <w:sz w:val="15"/>
                <w:szCs w:val="15"/>
                <w:color w:val="auto"/>
              </w:rPr>
            </w:pPr>
          </w:p>
        </w:tc>
        <w:tc>
          <w:tcPr>
            <w:tcW w:w="15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Date Adopted</w:t>
            </w:r>
          </w:p>
        </w:tc>
        <w:tc>
          <w:tcPr>
            <w:tcW w:w="120" w:type="dxa"/>
            <w:vAlign w:val="bottom"/>
            <w:vMerge w:val="restart"/>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9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Purchased Pursuant to Trading</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230"/>
        </w:trPr>
        <w:tc>
          <w:tcPr>
            <w:tcW w:w="21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00" w:type="dxa"/>
            <w:vAlign w:val="bottom"/>
          </w:tcPr>
          <w:p>
            <w:pPr>
              <w:spacing w:after="0"/>
              <w:rPr>
                <w:sz w:val="19"/>
                <w:szCs w:val="19"/>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80" w:type="dxa"/>
            <w:vAlign w:val="bottom"/>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Adam H. Schechter</w:t>
            </w:r>
          </w:p>
        </w:tc>
        <w:tc>
          <w:tcPr>
            <w:tcW w:w="1660" w:type="dxa"/>
            <w:vAlign w:val="bottom"/>
            <w:gridSpan w:val="2"/>
          </w:tcPr>
          <w:p>
            <w:pPr>
              <w:ind w:left="220"/>
              <w:spacing w:after="0" w:line="191" w:lineRule="exact"/>
              <w:rPr>
                <w:sz w:val="20"/>
                <w:szCs w:val="20"/>
                <w:color w:val="auto"/>
              </w:rPr>
            </w:pPr>
            <w:r>
              <w:rPr>
                <w:rFonts w:ascii="Times New Roman" w:cs="Times New Roman" w:eastAsia="Times New Roman" w:hAnsi="Times New Roman"/>
                <w:sz w:val="18"/>
                <w:szCs w:val="18"/>
                <w:color w:val="auto"/>
              </w:rPr>
              <w:t>August 3, 2026</w:t>
            </w:r>
          </w:p>
        </w:tc>
        <w:tc>
          <w:tcPr>
            <w:tcW w:w="2160" w:type="dxa"/>
            <w:vAlign w:val="bottom"/>
            <w:gridSpan w:val="2"/>
          </w:tcPr>
          <w:p>
            <w:pPr>
              <w:jc w:val="center"/>
              <w:ind w:right="100"/>
              <w:spacing w:after="0" w:line="191" w:lineRule="exact"/>
              <w:rPr>
                <w:sz w:val="20"/>
                <w:szCs w:val="20"/>
                <w:color w:val="auto"/>
              </w:rPr>
            </w:pPr>
            <w:r>
              <w:rPr>
                <w:rFonts w:ascii="Times New Roman" w:cs="Times New Roman" w:eastAsia="Times New Roman" w:hAnsi="Times New Roman"/>
                <w:sz w:val="18"/>
                <w:szCs w:val="18"/>
                <w:color w:val="auto"/>
                <w:w w:val="99"/>
              </w:rPr>
              <w:t>Rule 10b5-1 Trading</w:t>
            </w:r>
          </w:p>
        </w:tc>
        <w:tc>
          <w:tcPr>
            <w:tcW w:w="2880" w:type="dxa"/>
            <w:vAlign w:val="bottom"/>
          </w:tcPr>
          <w:p>
            <w:pPr>
              <w:jc w:val="right"/>
              <w:ind w:right="893"/>
              <w:spacing w:after="0" w:line="191" w:lineRule="exact"/>
              <w:rPr>
                <w:sz w:val="20"/>
                <w:szCs w:val="20"/>
                <w:color w:val="auto"/>
              </w:rPr>
            </w:pPr>
            <w:r>
              <w:rPr>
                <w:rFonts w:ascii="Times New Roman" w:cs="Times New Roman" w:eastAsia="Times New Roman" w:hAnsi="Times New Roman"/>
                <w:sz w:val="16"/>
                <w:szCs w:val="16"/>
                <w:color w:val="auto"/>
              </w:rPr>
              <w:t xml:space="preserve">(45,455) </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16"/>
                <w:szCs w:val="16"/>
                <w:color w:val="auto"/>
              </w:rPr>
            </w:pPr>
          </w:p>
        </w:tc>
        <w:tc>
          <w:tcPr>
            <w:tcW w:w="1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August 27, 2027</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Arrangement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 Chief</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Peter J. Wilkinson</w:t>
            </w:r>
          </w:p>
        </w:tc>
        <w:tc>
          <w:tcPr>
            <w:tcW w:w="16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August 6, 2026</w:t>
            </w:r>
          </w:p>
        </w:tc>
        <w:tc>
          <w:tcPr>
            <w:tcW w:w="21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Rule 10b5-1 Trading</w:t>
            </w:r>
          </w:p>
        </w:tc>
        <w:tc>
          <w:tcPr>
            <w:tcW w:w="2880" w:type="dxa"/>
            <w:vAlign w:val="bottom"/>
          </w:tcPr>
          <w:p>
            <w:pPr>
              <w:jc w:val="right"/>
              <w:ind w:right="893"/>
              <w:spacing w:after="0" w:line="198" w:lineRule="exact"/>
              <w:rPr>
                <w:sz w:val="20"/>
                <w:szCs w:val="20"/>
                <w:color w:val="auto"/>
              </w:rPr>
            </w:pPr>
            <w:r>
              <w:rPr>
                <w:rFonts w:ascii="Times New Roman" w:cs="Times New Roman" w:eastAsia="Times New Roman" w:hAnsi="Times New Roman"/>
                <w:sz w:val="16"/>
                <w:szCs w:val="16"/>
                <w:color w:val="auto"/>
              </w:rPr>
              <w:t xml:space="preserve">(2,177) </w:t>
            </w:r>
            <w:r>
              <w:rPr>
                <w:rFonts w:ascii="Times New Roman" w:cs="Times New Roman" w:eastAsia="Times New Roman" w:hAnsi="Times New Roman"/>
                <w:sz w:val="22"/>
                <w:szCs w:val="22"/>
                <w:color w:val="auto"/>
                <w:vertAlign w:val="superscript"/>
              </w:rPr>
              <w:t>(3)</w:t>
            </w:r>
          </w:p>
        </w:tc>
        <w:tc>
          <w:tcPr>
            <w:tcW w:w="80" w:type="dxa"/>
            <w:vAlign w:val="bottom"/>
          </w:tcPr>
          <w:p>
            <w:pPr>
              <w:spacing w:after="0"/>
              <w:rPr>
                <w:sz w:val="17"/>
                <w:szCs w:val="17"/>
                <w:color w:val="auto"/>
              </w:rPr>
            </w:pPr>
          </w:p>
        </w:tc>
        <w:tc>
          <w:tcPr>
            <w:tcW w:w="1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30, 2027</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Arrangement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Senior Vice President, Chief</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713232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902" w:lineRule="exact"/>
        <w:rPr>
          <w:sz w:val="20"/>
          <w:szCs w:val="20"/>
          <w:color w:val="auto"/>
        </w:rPr>
      </w:pPr>
    </w:p>
    <w:p>
      <w:pPr>
        <w:sectPr>
          <w:pgSz w:w="11900" w:h="16838" w:orient="portrait"/>
          <w:cols w:equalWidth="0" w:num="2">
            <w:col w:w="10900" w:space="20"/>
            <w:col w:w="320"/>
          </w:cols>
          <w:pgMar w:left="320" w:top="121" w:right="339" w:bottom="1440" w:gutter="0" w:footer="0" w:header="0"/>
          <w:type w:val="continuous"/>
        </w:sectPr>
      </w:pPr>
    </w:p>
    <w:p>
      <w:pPr>
        <w:ind w:left="240" w:hanging="232"/>
        <w:spacing w:after="0"/>
        <w:tabs>
          <w:tab w:leader="none" w:pos="2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 presented represents the shares to be sold that were previously acquired from an equity award vesting event.</w:t>
      </w:r>
    </w:p>
    <w:p>
      <w:pPr>
        <w:spacing w:after="0" w:line="86" w:lineRule="exact"/>
        <w:rPr>
          <w:rFonts w:ascii="Times New Roman" w:cs="Times New Roman" w:eastAsia="Times New Roman" w:hAnsi="Times New Roman"/>
          <w:sz w:val="23"/>
          <w:szCs w:val="23"/>
          <w:color w:val="auto"/>
          <w:vertAlign w:val="superscript"/>
        </w:rPr>
      </w:pPr>
    </w:p>
    <w:p>
      <w:pPr>
        <w:ind w:left="240" w:hanging="232"/>
        <w:spacing w:after="0"/>
        <w:tabs>
          <w:tab w:leader="none" w:pos="2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trading arrangement permits transactions through the completion of all sales on the respective order entry date.</w:t>
      </w:r>
    </w:p>
    <w:p>
      <w:pPr>
        <w:spacing w:after="0" w:line="103" w:lineRule="exact"/>
        <w:rPr>
          <w:rFonts w:ascii="Times New Roman" w:cs="Times New Roman" w:eastAsia="Times New Roman" w:hAnsi="Times New Roman"/>
          <w:sz w:val="23"/>
          <w:szCs w:val="23"/>
          <w:color w:val="auto"/>
          <w:vertAlign w:val="superscript"/>
        </w:rPr>
      </w:pPr>
    </w:p>
    <w:p>
      <w:pPr>
        <w:ind w:left="260" w:right="20" w:hanging="252"/>
        <w:spacing w:after="0" w:line="229" w:lineRule="auto"/>
        <w:tabs>
          <w:tab w:leader="none" w:pos="2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 presented represents the shares to be sold on the vesting of equity awards and may vary subject to the achievement of certain performance conditions and/or shares to be withheld for tax purposes.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15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22.1*</w:t>
            </w:r>
          </w:p>
        </w:tc>
        <w:tc>
          <w:tcPr>
            <w:tcW w:w="3140" w:type="dxa"/>
            <w:vAlign w:val="bottom"/>
            <w:tcBorders>
              <w:bottom w:val="single" w:sz="8" w:color="0000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w w:val="99"/>
              </w:rPr>
              <w:t>Subsidiary Issuers of Guaranteed Securities</w:t>
            </w:r>
          </w:p>
        </w:tc>
        <w:tc>
          <w:tcPr>
            <w:tcW w:w="6480" w:type="dxa"/>
            <w:vAlign w:val="bottom"/>
            <w:gridSpan w:val="4"/>
          </w:tcPr>
          <w:p>
            <w:pPr>
              <w:spacing w:after="0"/>
              <w:rPr>
                <w:sz w:val="17"/>
                <w:szCs w:val="17"/>
                <w:color w:val="auto"/>
              </w:rPr>
            </w:pPr>
          </w:p>
        </w:tc>
      </w:tr>
      <w:tr>
        <w:trPr>
          <w:trHeight w:val="23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Rule 13a-14(a) or Rule 15d-14(a)</w:t>
            </w:r>
          </w:p>
        </w:tc>
      </w:tr>
      <w:tr>
        <w:trPr>
          <w:trHeight w:val="23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Rule 13a-14(a) or Rule 15d-14(a)</w:t>
            </w:r>
          </w:p>
        </w:tc>
        <w:tc>
          <w:tcPr>
            <w:tcW w:w="40" w:type="dxa"/>
            <w:vAlign w:val="bottom"/>
            <w:tcBorders>
              <w:top w:val="single" w:sz="8" w:color="0000FF"/>
            </w:tcBorders>
          </w:tcPr>
          <w:p>
            <w:pPr>
              <w:spacing w:after="0"/>
              <w:rPr>
                <w:sz w:val="20"/>
                <w:szCs w:val="20"/>
                <w:color w:val="auto"/>
              </w:rPr>
            </w:pPr>
          </w:p>
        </w:tc>
        <w:tc>
          <w:tcPr>
            <w:tcW w:w="3140" w:type="dxa"/>
            <w:vAlign w:val="bottom"/>
            <w:gridSpan w:val="2"/>
          </w:tcPr>
          <w:p>
            <w:pPr>
              <w:spacing w:after="0"/>
              <w:rPr>
                <w:sz w:val="20"/>
                <w:szCs w:val="20"/>
                <w:color w:val="auto"/>
              </w:rPr>
            </w:pP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Written Statement of Chief Executive Officer and Chief Financial Officer pursuant to Section 906 of the Sarbanes-Oxley Act of 2002</w:t>
            </w:r>
          </w:p>
        </w:tc>
      </w:tr>
      <w:tr>
        <w:trPr>
          <w:trHeight w:val="155"/>
        </w:trPr>
        <w:tc>
          <w:tcPr>
            <w:tcW w:w="1560" w:type="dxa"/>
            <w:vAlign w:val="bottom"/>
          </w:tcPr>
          <w:p>
            <w:pPr>
              <w:spacing w:after="0"/>
              <w:rPr>
                <w:sz w:val="13"/>
                <w:szCs w:val="13"/>
                <w:color w:val="auto"/>
              </w:rPr>
            </w:pPr>
          </w:p>
        </w:tc>
        <w:tc>
          <w:tcPr>
            <w:tcW w:w="18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(18 U.S.C. Section 1350)</w:t>
            </w:r>
          </w:p>
        </w:tc>
        <w:tc>
          <w:tcPr>
            <w:tcW w:w="77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56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4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r>
    </w:tbl>
    <w:p>
      <w:pPr>
        <w:spacing w:after="0" w:line="117" w:lineRule="exact"/>
        <w:rPr>
          <w:sz w:val="20"/>
          <w:szCs w:val="20"/>
          <w:color w:val="auto"/>
        </w:rPr>
      </w:pPr>
    </w:p>
    <w:p>
      <w:pPr>
        <w:ind w:left="1120" w:hanging="1094"/>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120" w:hanging="1094"/>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u w:val="single" w:color="auto"/>
          <w:color w:val="auto"/>
        </w:rPr>
        <w:t>LABCORP HOLDINGS INC.</w:t>
      </w:r>
    </w:p>
    <w:p>
      <w:pPr>
        <w:spacing w:after="0" w:line="27" w:lineRule="exact"/>
        <w:rPr>
          <w:sz w:val="20"/>
          <w:szCs w:val="20"/>
          <w:color w:val="auto"/>
        </w:rPr>
      </w:pPr>
    </w:p>
    <w:p>
      <w:pPr>
        <w:jc w:val="center"/>
        <w:ind w:right="-959"/>
        <w:spacing w:after="0"/>
        <w:rPr>
          <w:sz w:val="20"/>
          <w:szCs w:val="20"/>
          <w:color w:val="auto"/>
        </w:rPr>
      </w:pPr>
      <w:r>
        <w:rPr>
          <w:rFonts w:ascii="Times New Roman" w:cs="Times New Roman" w:eastAsia="Times New Roman" w:hAnsi="Times New Roman"/>
          <w:sz w:val="18"/>
          <w:szCs w:val="18"/>
          <w:color w:val="auto"/>
        </w:rPr>
        <w:t>Registrant</w:t>
      </w:r>
    </w:p>
    <w:p>
      <w:pPr>
        <w:spacing w:after="0" w:line="180" w:lineRule="exact"/>
        <w:rPr>
          <w:sz w:val="20"/>
          <w:szCs w:val="20"/>
          <w:color w:val="auto"/>
        </w:rPr>
      </w:pPr>
    </w:p>
    <w:p>
      <w:pPr>
        <w:ind w:left="5620"/>
        <w:spacing w:after="0"/>
        <w:tabs>
          <w:tab w:leader="none" w:pos="6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44" w:lineRule="exact"/>
        <w:rPr>
          <w:sz w:val="20"/>
          <w:szCs w:val="20"/>
          <w:color w:val="auto"/>
        </w:rPr>
      </w:pPr>
    </w:p>
    <w:p>
      <w:pPr>
        <w:ind w:left="562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JULIA A. WANG</w:t>
      </w:r>
    </w:p>
    <w:p>
      <w:pPr>
        <w:spacing w:after="0" w:line="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Julia A. Wang</w:t>
      </w:r>
    </w:p>
    <w:p>
      <w:pPr>
        <w:spacing w:after="0" w:line="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2026</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280"/>
          </w:cols>
          <w:pgMar w:left="320" w:top="121" w:right="12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Issuers of Guaranteed Securities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securities (collectively referred to in this exhibit as the “Senior Notes”) issued by Laboratory Corporation of America Holdings (“LCAH”), a Delaware corporation and wholly-owned subsidiary of Labcorp Holdings Inc. (“LHI”), a Delaware corporation, were outstanding as of September 30, 2026.</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Senior Notes</w:t>
      </w:r>
    </w:p>
    <w:p>
      <w:pPr>
        <w:spacing w:after="0" w:line="54" w:lineRule="exact"/>
        <w:rPr>
          <w:sz w:val="20"/>
          <w:szCs w:val="20"/>
          <w:color w:val="auto"/>
        </w:rPr>
      </w:pPr>
    </w:p>
    <w:p>
      <w:pPr>
        <w:ind w:left="20" w:right="660"/>
        <w:spacing w:after="0" w:line="250" w:lineRule="auto"/>
        <w:rPr>
          <w:sz w:val="20"/>
          <w:szCs w:val="20"/>
          <w:color w:val="auto"/>
        </w:rPr>
      </w:pPr>
      <w:r>
        <w:rPr>
          <w:rFonts w:ascii="Times New Roman" w:cs="Times New Roman" w:eastAsia="Times New Roman" w:hAnsi="Times New Roman"/>
          <w:sz w:val="18"/>
          <w:szCs w:val="18"/>
          <w:color w:val="auto"/>
        </w:rPr>
        <w:t>3.60% Senior Notes due 2027 (issued under the Twelfth Supplemental Indenture to the Indenture, dated as of November 19, 2010, by and between LCAH and U.S. Bank Trust Company, National Association, as trustee (the “2010 Indenture”))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2.95% Senior Notes due 2029 (issued under the Fourteenth Supplemental Indenture to the 2010 Indenture)</w:t>
      </w:r>
    </w:p>
    <w:p>
      <w:pPr>
        <w:spacing w:after="0" w:line="50" w:lineRule="exact"/>
        <w:rPr>
          <w:sz w:val="20"/>
          <w:szCs w:val="20"/>
          <w:color w:val="auto"/>
        </w:rPr>
      </w:pPr>
    </w:p>
    <w:p>
      <w:pPr>
        <w:ind w:left="20" w:right="880"/>
        <w:spacing w:after="0" w:line="250" w:lineRule="auto"/>
        <w:rPr>
          <w:sz w:val="20"/>
          <w:szCs w:val="20"/>
          <w:color w:val="auto"/>
        </w:rPr>
      </w:pPr>
      <w:r>
        <w:rPr>
          <w:rFonts w:ascii="Times New Roman" w:cs="Times New Roman" w:eastAsia="Times New Roman" w:hAnsi="Times New Roman"/>
          <w:sz w:val="18"/>
          <w:szCs w:val="18"/>
          <w:color w:val="auto"/>
        </w:rPr>
        <w:t>4.35% Senior Notes due 2030 (issued under the First Supplemental Indenture to the Indenture, dated as of September 23, 2024, by and between LCAH and U.S. Bank Trust Company, National Association, as trustee (the “2024 Indenture”))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2.70% Senior Notes due 2031 (issued under the Sixteenth Supplemental Indenture to the 2010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4.55% Senior Notes due 2032 (issued under the Second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4.80% Senior Notes due 2034 (issued under the Third Supplemental Indenture to the 2024 Indenture)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4.70% Senior Notes due 2045 (issued under the Tenth Supplemental Indenture to the 2010 Indenture)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obligors under the Senior Notes consisted of LHI, as guarantor, and LCAH, as issuer.</w:t>
      </w:r>
    </w:p>
    <w:p>
      <w:pPr>
        <w:sectPr>
          <w:pgSz w:w="11900" w:h="16838" w:orient="portrait"/>
          <w:cols w:equalWidth="0" w:num="1">
            <w:col w:w="11240"/>
          </w:cols>
          <w:pgMar w:left="320" w:top="14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H. Schechter, certify that:</w:t>
      </w:r>
    </w:p>
    <w:p>
      <w:pPr>
        <w:spacing w:after="0" w:line="252"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October 30, 2026</w:t>
      </w:r>
    </w:p>
    <w:p>
      <w:pPr>
        <w:spacing w:after="0" w:line="36"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0420"/>
          </w:cols>
          <w:pgMar w:left="320" w:top="887" w:right="11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Julia A. Wang, certify that:</w:t>
      </w:r>
    </w:p>
    <w:p>
      <w:pPr>
        <w:spacing w:after="0" w:line="252"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Labcorp Holdings Inc.;</w:t>
      </w:r>
    </w:p>
    <w:p>
      <w:pPr>
        <w:spacing w:after="0" w:line="252"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1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33"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6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80" w:hanging="10"/>
        <w:spacing w:after="0" w:line="282" w:lineRule="auto"/>
        <w:tabs>
          <w:tab w:leader="none" w:pos="38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80" w:hanging="10"/>
        <w:spacing w:after="0" w:line="266" w:lineRule="auto"/>
        <w:tabs>
          <w:tab w:leader="none" w:pos="39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1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80" w:hanging="10"/>
        <w:spacing w:after="0" w:line="282" w:lineRule="auto"/>
        <w:tabs>
          <w:tab w:leader="none" w:pos="39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1080"/>
        <w:spacing w:after="0"/>
        <w:tabs>
          <w:tab w:leader="none" w:pos="1620" w:val="left"/>
        </w:tabs>
        <w:rPr>
          <w:sz w:val="20"/>
          <w:szCs w:val="20"/>
          <w:color w:val="auto"/>
        </w:rPr>
      </w:pPr>
      <w:r>
        <w:rPr>
          <w:rFonts w:ascii="Times New Roman" w:cs="Times New Roman" w:eastAsia="Times New Roman" w:hAnsi="Times New Roman"/>
          <w:sz w:val="18"/>
          <w:szCs w:val="18"/>
          <w:color w:val="auto"/>
        </w:rPr>
        <w:t>Date:</w:t>
        <w:tab/>
        <w:t>October 30, 2026</w:t>
      </w:r>
    </w:p>
    <w:p>
      <w:pPr>
        <w:spacing w:after="0" w:line="36" w:lineRule="exact"/>
        <w:rPr>
          <w:sz w:val="20"/>
          <w:szCs w:val="20"/>
          <w:color w:val="auto"/>
        </w:rPr>
      </w:pPr>
    </w:p>
    <w:p>
      <w:pPr>
        <w:ind w:left="6440"/>
        <w:spacing w:after="0"/>
        <w:tabs>
          <w:tab w:leader="none" w:pos="6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JULIA A. WANG</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Julia A. Wang</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420"/>
          </w:cols>
          <w:pgMar w:left="320" w:top="887" w:right="11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Statement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the Chief Executive Officer and the Chief Financial Officer of Labcorp Holdings Inc. (the “Company”), each hereby certifies that, to his knowledge on the date hereof:</w:t>
      </w:r>
    </w:p>
    <w:p>
      <w:pPr>
        <w:spacing w:after="0" w:line="189" w:lineRule="exact"/>
        <w:rPr>
          <w:sz w:val="20"/>
          <w:szCs w:val="20"/>
          <w:color w:val="auto"/>
        </w:rPr>
      </w:pPr>
    </w:p>
    <w:p>
      <w:pPr>
        <w:ind w:firstLine="8"/>
        <w:spacing w:after="0" w:line="282" w:lineRule="auto"/>
        <w:tabs>
          <w:tab w:leader="none" w:pos="2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of the Company for the Period Ended September 30, 2026, filed on the date hereof with the Securities and Exchange Commission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600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ADAM H. SCHECHTER</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Adam H. Schechter</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October 30, 2026</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0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JULIA A. WANG</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Julia A. Wang</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October 30, 2026</w:t>
      </w:r>
    </w:p>
    <w:p>
      <w:pPr>
        <w:sectPr>
          <w:pgSz w:w="11900" w:h="16838" w:orient="portrait"/>
          <w:cols w:equalWidth="0" w:num="1">
            <w:col w:w="10420"/>
          </w:cols>
          <w:pgMar w:left="320" w:top="887" w:right="115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Labcorp Holdings Inc. and will be retained by Labcorp Holdings Inc. and furnished to the Securities and Exchange Commission or its staff upon request.</w:t>
      </w:r>
    </w:p>
    <w:sectPr>
      <w:pgSz w:w="11900" w:h="16838" w:orient="portrait"/>
      <w:cols w:equalWidth="0" w:num="1">
        <w:col w:w="11120"/>
      </w:cols>
      <w:pgMar w:left="320" w:top="89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8"/>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4"/>
    </w:lvl>
  </w:abstractNum>
  <w:abstractNum w:abstractNumId="7">
    <w:nsid w:val="1F16E9E8"/>
    <w:multiLevelType w:val="hybridMultilevel"/>
    <w:lvl w:ilvl="0">
      <w:lvlJc w:val="left"/>
      <w:lvlText w:val="%1."/>
      <w:numFmt w:val="decimal"/>
      <w:start w:val="40"/>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2026-10-30T15:30:34Z</dcterms:created>
  <dcterms:modified xsi:type="dcterms:W3CDTF">2026-10-30T15:30:34Z</dcterms:modified>
</cp:coreProperties>
</file>