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3"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QUARTERLY REPORT PURSUANT TO SECTION 13 OR 15(d)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880" w:type="dxa"/>
            <w:vAlign w:val="bottom"/>
          </w:tcPr>
          <w:p>
            <w:pPr>
              <w:spacing w:after="0"/>
              <w:rPr>
                <w:sz w:val="20"/>
                <w:szCs w:val="20"/>
                <w:color w:val="auto"/>
              </w:rPr>
            </w:pPr>
          </w:p>
        </w:tc>
        <w:tc>
          <w:tcPr>
            <w:tcW w:w="3780" w:type="dxa"/>
            <w:vAlign w:val="bottom"/>
            <w:gridSpan w:val="4"/>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99-2588107</w:t>
            </w:r>
          </w:p>
        </w:tc>
        <w:tc>
          <w:tcPr>
            <w:tcW w:w="20" w:type="dxa"/>
            <w:vAlign w:val="bottom"/>
          </w:tcPr>
          <w:p>
            <w:pPr>
              <w:spacing w:after="0"/>
              <w:rPr>
                <w:sz w:val="20"/>
                <w:szCs w:val="20"/>
                <w:color w:val="auto"/>
              </w:rPr>
            </w:pPr>
          </w:p>
        </w:tc>
      </w:tr>
      <w:tr>
        <w:trPr>
          <w:trHeight w:val="232"/>
        </w:trPr>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34"/>
        </w:trPr>
        <w:tc>
          <w:tcPr>
            <w:tcW w:w="1880" w:type="dxa"/>
            <w:vAlign w:val="bottom"/>
          </w:tcPr>
          <w:p>
            <w:pPr>
              <w:spacing w:after="0"/>
              <w:rPr>
                <w:sz w:val="24"/>
                <w:szCs w:val="24"/>
                <w:color w:val="auto"/>
              </w:rPr>
            </w:pPr>
          </w:p>
        </w:tc>
        <w:tc>
          <w:tcPr>
            <w:tcW w:w="3780" w:type="dxa"/>
            <w:vAlign w:val="bottom"/>
            <w:gridSpan w:val="4"/>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1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378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27215</w:t>
            </w:r>
          </w:p>
        </w:tc>
        <w:tc>
          <w:tcPr>
            <w:tcW w:w="20" w:type="dxa"/>
            <w:vAlign w:val="bottom"/>
          </w:tcPr>
          <w:p>
            <w:pPr>
              <w:spacing w:after="0"/>
              <w:rPr>
                <w:sz w:val="20"/>
                <w:szCs w:val="20"/>
                <w:color w:val="auto"/>
              </w:rPr>
            </w:pPr>
          </w:p>
        </w:tc>
      </w:tr>
      <w:tr>
        <w:trPr>
          <w:trHeight w:val="232"/>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307" w:lineRule="exact"/>
        <w:rPr>
          <w:sz w:val="24"/>
          <w:szCs w:val="24"/>
          <w:color w:val="auto"/>
        </w:rPr>
      </w:pPr>
    </w:p>
    <w:p>
      <w:pPr>
        <w:ind w:right="3220" w:firstLine="3225"/>
        <w:spacing w:after="0" w:line="402" w:lineRule="auto"/>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r>
        <w:rPr>
          <w:rFonts w:ascii="Times New Roman" w:cs="Times New Roman" w:eastAsia="Times New Roman" w:hAnsi="Times New Roman"/>
          <w:sz w:val="18"/>
          <w:szCs w:val="18"/>
          <w:color w:val="auto"/>
        </w:rPr>
        <w:t xml:space="preserve"> Securities registered pursuant to Section 12(b) of the Exchange Act.</w:t>
      </w:r>
    </w:p>
    <w:p>
      <w:pPr>
        <w:sectPr>
          <w:pgSz w:w="11900" w:h="16838" w:orient="portrait"/>
          <w:cols w:equalWidth="0" w:num="1">
            <w:col w:w="11240"/>
          </w:cols>
          <w:pgMar w:left="320" w:top="972" w:right="339" w:bottom="1440" w:gutter="0" w:footer="0" w:header="0"/>
        </w:sectPr>
      </w:pPr>
    </w:p>
    <w:p>
      <w:pPr>
        <w:spacing w:after="0" w:line="80" w:lineRule="exact"/>
        <w:rPr>
          <w:sz w:val="24"/>
          <w:szCs w:val="24"/>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27" w:lineRule="exact"/>
        <w:rPr>
          <w:sz w:val="24"/>
          <w:szCs w:val="24"/>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Common Stock, $0.10 par value</w:t>
      </w:r>
      <w:r>
        <w:rPr>
          <w:sz w:val="20"/>
          <w:szCs w:val="20"/>
          <w:color w:val="auto"/>
        </w:rPr>
        <w:tab/>
      </w:r>
      <w:r>
        <w:rPr>
          <w:rFonts w:ascii="Times New Roman" w:cs="Times New Roman" w:eastAsia="Times New Roman" w:hAnsi="Times New Roman"/>
          <w:sz w:val="18"/>
          <w:szCs w:val="18"/>
          <w:color w:val="auto"/>
        </w:rPr>
        <w:t>LH</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2" w:right="339" w:bottom="1440" w:gutter="0" w:footer="0" w:header="0"/>
          <w:type w:val="continuous"/>
        </w:sectPr>
      </w:pPr>
    </w:p>
    <w:p>
      <w:pPr>
        <w:spacing w:after="0" w:line="2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3"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12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Class</w:t>
            </w:r>
          </w:p>
        </w:tc>
        <w:tc>
          <w:tcPr>
            <w:tcW w:w="25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8"/>
              </w:rPr>
              <w:t>Shares Outstanding</w:t>
            </w:r>
          </w:p>
        </w:tc>
        <w:tc>
          <w:tcPr>
            <w:tcW w:w="1580" w:type="dxa"/>
            <w:vAlign w:val="bottom"/>
          </w:tcPr>
          <w:p>
            <w:pPr>
              <w:spacing w:after="0"/>
              <w:rPr>
                <w:sz w:val="18"/>
                <w:szCs w:val="18"/>
                <w:color w:val="auto"/>
              </w:rPr>
            </w:pPr>
          </w:p>
        </w:tc>
        <w:tc>
          <w:tcPr>
            <w:tcW w:w="2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47"/>
        </w:trPr>
        <w:tc>
          <w:tcPr>
            <w:tcW w:w="46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8"/>
              </w:rPr>
              <w:t>Common Stock $0.10 par value</w:t>
            </w: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83,639,261</w:t>
            </w:r>
          </w:p>
        </w:tc>
        <w:tc>
          <w:tcPr>
            <w:tcW w:w="1120" w:type="dxa"/>
            <w:vAlign w:val="bottom"/>
          </w:tcPr>
          <w:p>
            <w:pPr>
              <w:spacing w:after="0"/>
              <w:rPr>
                <w:sz w:val="21"/>
                <w:szCs w:val="21"/>
                <w:color w:val="auto"/>
              </w:rPr>
            </w:pPr>
          </w:p>
        </w:tc>
        <w:tc>
          <w:tcPr>
            <w:tcW w:w="40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7"/>
              </w:rPr>
              <w:t>October 28, 2024</w:t>
            </w:r>
          </w:p>
        </w:tc>
      </w:tr>
      <w:tr>
        <w:trPr>
          <w:trHeight w:val="966"/>
        </w:trPr>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20"/>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5860" w:type="dxa"/>
            <w:vAlign w:val="bottom"/>
            <w:gridSpan w:val="10"/>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320" w:type="dxa"/>
            <w:vAlign w:val="bottom"/>
            <w:gridSpan w:val="9"/>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w:t>
            </w:r>
          </w:p>
        </w:tc>
        <w:tc>
          <w:tcPr>
            <w:tcW w:w="4600" w:type="dxa"/>
            <w:vAlign w:val="bottom"/>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36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Changes in Shareholders’ Equity</w:t>
            </w:r>
          </w:p>
        </w:tc>
        <w:tc>
          <w:tcPr>
            <w:tcW w:w="304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w w:val="99"/>
              </w:rPr>
              <w:t>Nine Months Ended September 30, 2024 and 2023</w:t>
            </w:r>
          </w:p>
        </w:tc>
        <w:tc>
          <w:tcPr>
            <w:tcW w:w="4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Unaudited Condensed Consolidated Financial Statements</w:t>
            </w:r>
          </w:p>
        </w:tc>
        <w:tc>
          <w:tcPr>
            <w:tcW w:w="3480" w:type="dxa"/>
            <w:vAlign w:val="bottom"/>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4"/>
                <w:szCs w:val="24"/>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4"/>
                <w:szCs w:val="24"/>
                <w:color w:val="auto"/>
              </w:rPr>
            </w:pPr>
          </w:p>
        </w:tc>
      </w:tr>
      <w:tr>
        <w:trPr>
          <w:trHeight w:val="567"/>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7"/>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4"/>
                <w:szCs w:val="24"/>
                <w:color w:val="auto"/>
              </w:rPr>
            </w:pPr>
          </w:p>
        </w:tc>
      </w:tr>
      <w:tr>
        <w:trPr>
          <w:trHeight w:val="86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140" w:type="dxa"/>
            <w:vAlign w:val="bottom"/>
            <w:gridSpan w:val="11"/>
          </w:tcPr>
          <w:p>
            <w:pPr>
              <w:jc w:val="center"/>
              <w:ind w:left="3931"/>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7"/>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7"/>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7"/>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7"/>
        </w:trPr>
        <w:tc>
          <w:tcPr>
            <w:tcW w:w="7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7"/>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7"/>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7"/>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3,225.2</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173"/>
        </w:trPr>
        <w:tc>
          <w:tcPr>
            <w:tcW w:w="722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Common stock, $0.10 par value, 83.7 and 83.9 shares outstanding at September 30, 2024, and</w:t>
            </w: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4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7"/>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33"/>
        </w:trPr>
        <w:tc>
          <w:tcPr>
            <w:tcW w:w="7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3"/>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7,875.0</w:t>
            </w:r>
          </w:p>
        </w:tc>
      </w:tr>
      <w:tr>
        <w:trPr>
          <w:trHeight w:val="25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59"/>
        </w:trPr>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240" w:type="dxa"/>
            <w:vAlign w:val="bottom"/>
            <w:gridSpan w:val="6"/>
          </w:tcPr>
          <w:p>
            <w:pPr>
              <w:jc w:val="center"/>
              <w:ind w:left="281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0" w:type="dxa"/>
            <w:vAlign w:val="bottom"/>
            <w:gridSpan w:val="8"/>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80" w:type="dxa"/>
            <w:vAlign w:val="bottom"/>
            <w:gridSpan w:val="5"/>
          </w:tcPr>
          <w:p>
            <w:pPr>
              <w:jc w:val="center"/>
              <w:ind w:left="307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40" w:type="dxa"/>
            <w:vAlign w:val="bottom"/>
            <w:gridSpan w:val="2"/>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9"/>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4"/>
        </w:trPr>
        <w:tc>
          <w:tcPr>
            <w:tcW w:w="160" w:type="dxa"/>
            <w:vAlign w:val="bottom"/>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9,128.3</w:t>
            </w:r>
          </w:p>
        </w:tc>
      </w:tr>
      <w:tr>
        <w:trPr>
          <w:trHeight w:val="227"/>
        </w:trPr>
        <w:tc>
          <w:tcPr>
            <w:tcW w:w="160" w:type="dxa"/>
            <w:vAlign w:val="bottom"/>
          </w:tcPr>
          <w:p>
            <w:pPr>
              <w:spacing w:after="0"/>
              <w:rPr>
                <w:sz w:val="19"/>
                <w:szCs w:val="19"/>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6,584.8</w:t>
            </w:r>
          </w:p>
        </w:tc>
      </w:tr>
      <w:tr>
        <w:trPr>
          <w:trHeight w:val="220"/>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w:t>
            </w: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47"/>
        </w:trPr>
        <w:tc>
          <w:tcPr>
            <w:tcW w:w="160" w:type="dxa"/>
            <w:vAlign w:val="bottom"/>
          </w:tcPr>
          <w:p>
            <w:pPr>
              <w:spacing w:after="0"/>
              <w:rPr>
                <w:sz w:val="21"/>
                <w:szCs w:val="21"/>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3"/>
        </w:trPr>
        <w:tc>
          <w:tcPr>
            <w:tcW w:w="160" w:type="dxa"/>
            <w:vAlign w:val="bottom"/>
          </w:tcPr>
          <w:p>
            <w:pPr>
              <w:spacing w:after="0"/>
              <w:rPr>
                <w:sz w:val="18"/>
                <w:szCs w:val="18"/>
                <w:color w:val="auto"/>
              </w:rPr>
            </w:pPr>
          </w:p>
        </w:tc>
        <w:tc>
          <w:tcPr>
            <w:tcW w:w="47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42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0"/>
        </w:trPr>
        <w:tc>
          <w:tcPr>
            <w:tcW w:w="16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3"/>
        </w:trPr>
        <w:tc>
          <w:tcPr>
            <w:tcW w:w="1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continuing operations</w:t>
            </w:r>
          </w:p>
        </w:tc>
        <w:tc>
          <w:tcPr>
            <w:tcW w:w="16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7"/>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earnings per share discontinued operations</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45"/>
        </w:trPr>
        <w:tc>
          <w:tcPr>
            <w:tcW w:w="160" w:type="dxa"/>
            <w:vAlign w:val="bottom"/>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160" w:type="dxa"/>
            <w:vAlign w:val="bottom"/>
          </w:tcPr>
          <w:p>
            <w:pPr>
              <w:spacing w:after="0" w:line="20" w:lineRule="exact"/>
              <w:rPr>
                <w:sz w:val="1"/>
                <w:szCs w:val="1"/>
                <w:color w:val="auto"/>
              </w:rPr>
            </w:pPr>
          </w:p>
        </w:tc>
        <w:tc>
          <w:tcPr>
            <w:tcW w:w="476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 continuing operations</w:t>
            </w: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 discontinued operations</w:t>
            </w:r>
          </w:p>
        </w:tc>
        <w:tc>
          <w:tcPr>
            <w:tcW w:w="16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20"/>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
        </w:trPr>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06"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59"/>
        </w:trPr>
        <w:tc>
          <w:tcPr>
            <w:tcW w:w="560" w:type="dxa"/>
            <w:vAlign w:val="bottom"/>
            <w:tcBorders>
              <w:top w:val="single" w:sz="8" w:color="0000FF"/>
            </w:tcBorders>
          </w:tcPr>
          <w:p>
            <w:pPr>
              <w:spacing w:after="0"/>
              <w:rPr>
                <w:sz w:val="24"/>
                <w:szCs w:val="24"/>
                <w:color w:val="auto"/>
              </w:rPr>
            </w:pPr>
          </w:p>
        </w:tc>
        <w:tc>
          <w:tcPr>
            <w:tcW w:w="7140" w:type="dxa"/>
            <w:vAlign w:val="bottom"/>
            <w:gridSpan w:val="5"/>
          </w:tcPr>
          <w:p>
            <w:pPr>
              <w:jc w:val="center"/>
              <w:ind w:left="291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560" w:type="dxa"/>
            <w:vAlign w:val="bottom"/>
          </w:tcPr>
          <w:p>
            <w:pPr>
              <w:spacing w:after="0"/>
              <w:rPr>
                <w:sz w:val="18"/>
                <w:szCs w:val="18"/>
                <w:color w:val="auto"/>
              </w:rPr>
            </w:pPr>
          </w:p>
        </w:tc>
        <w:tc>
          <w:tcPr>
            <w:tcW w:w="8600" w:type="dxa"/>
            <w:vAlign w:val="bottom"/>
            <w:gridSpan w:val="9"/>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7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7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9"/>
        </w:trPr>
        <w:tc>
          <w:tcPr>
            <w:tcW w:w="5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center"/>
              <w:ind w:right="3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7"/>
                <w:szCs w:val="17"/>
                <w:color w:val="auto"/>
              </w:rPr>
            </w:pPr>
          </w:p>
        </w:tc>
        <w:tc>
          <w:tcPr>
            <w:tcW w:w="2080" w:type="dxa"/>
            <w:vAlign w:val="bottom"/>
            <w:gridSpan w:val="4"/>
          </w:tcPr>
          <w:p>
            <w:pPr>
              <w:jc w:val="right"/>
              <w:ind w:right="311"/>
              <w:spacing w:after="0" w:line="199"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7"/>
        </w:trPr>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8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27"/>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0"/>
        </w:trPr>
        <w:tc>
          <w:tcPr>
            <w:tcW w:w="5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r>
      <w:tr>
        <w:trPr>
          <w:trHeight w:val="24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48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r>
      <w:tr>
        <w:trPr>
          <w:trHeight w:val="20"/>
        </w:trPr>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2"/>
                <w:szCs w:val="12"/>
                <w:color w:val="auto"/>
              </w:rPr>
            </w:pPr>
          </w:p>
        </w:tc>
        <w:tc>
          <w:tcPr>
            <w:tcW w:w="96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rPr>
              <w:t>Common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11"/>
                <w:szCs w:val="11"/>
                <w:color w:val="auto"/>
              </w:rPr>
            </w:pPr>
          </w:p>
        </w:tc>
        <w:tc>
          <w:tcPr>
            <w:tcW w:w="96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20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Fortrea Holdings Inc. spin-off</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19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tcBorders>
              <w:top w:val="single" w:sz="8" w:color="CCEEFF"/>
            </w:tcBorders>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59"/>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supplies 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unearned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discontinued operating activities</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47"/>
        </w:trPr>
        <w:tc>
          <w:tcPr>
            <w:tcW w:w="40" w:type="dxa"/>
            <w:vAlign w:val="bottom"/>
          </w:tcPr>
          <w:p>
            <w:pPr>
              <w:spacing w:after="0"/>
              <w:rPr>
                <w:sz w:val="21"/>
                <w:szCs w:val="21"/>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or distribution of investments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discontinued investing activities</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7"/>
        </w:trPr>
        <w:tc>
          <w:tcPr>
            <w:tcW w:w="40" w:type="dxa"/>
            <w:vAlign w:val="bottom"/>
          </w:tcPr>
          <w:p>
            <w:pPr>
              <w:spacing w:after="0"/>
              <w:rPr>
                <w:sz w:val="21"/>
                <w:szCs w:val="21"/>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senior note offerings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on senior notes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continuing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33"/>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20"/>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45"/>
        </w:trPr>
        <w:tc>
          <w:tcPr>
            <w:tcW w:w="4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06"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2"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Labcorp® Holdings Inc. (Labcorp®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6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April 25, 2024, the Company announced plans to implement a new public holding company structure, with Labcorp Holdings Inc. as the new holding company. On May 17, 2024, the Company completed the holding company reorganization (Reorganization) and Labcorp Holdings Inc. became the successor issuer to Laboratory Corporation of America Holdings (LCAH). The new holding company has no independent assets or operations and its sole ownership interest is in LCAH.</w:t>
      </w:r>
    </w:p>
    <w:p>
      <w:pPr>
        <w:spacing w:after="0" w:line="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(Dx) and Biopharma Laboratory Services (BLS), formerly Drug Development. For further financial information about these segments, see Note 12 (Business Segment Information) to the Condensed Consolidated Financial Statements. During the three months ended September 30, 2024, Dx and BLS contributed approximately 78% and 22%, respectively, of revenues to the Company. During the nine months ended September 30, 2024, Dx and BLS contributed approximately 78% and 22%, respectively, of revenues to the Company.</w:t>
      </w:r>
    </w:p>
    <w:p>
      <w:pPr>
        <w:spacing w:after="0" w:line="1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Securities and Exchange Commission (SEC) and do not contain certain information included in the Company’s fiscal year 2023 Annual Report on Form 10-K (Annual Report). Therefore, these interim statements should be read in conjunction with the consolidated financial statements and notes thereto contained in the Company’s Annual Report.</w:t>
      </w:r>
    </w:p>
    <w:p>
      <w:pPr>
        <w:spacing w:after="0" w:line="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10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June 30, 2023 (the Distribution Date), Labcorp completed the previously announced separation (the Separation or spin-off) from the Company of Fortrea Holdings Inc. (Fortrea), formerly the Company's Clinical Development and Commercialization Services (CDCS) business, into a separate, publicly-traded company. All historical operating results of Fortrea are presented as Discontinued Operations, net of tax, in the Condensed Consolidated Statements of Operations. The spin-off is expected to be treated as tax-free for the Company and its shareholders for U.S. federal income tax purposes.</w:t>
      </w:r>
    </w:p>
    <w:p>
      <w:pPr>
        <w:spacing w:after="0" w:line="10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8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In June 2023, Fortrea, prior to the Separation and while a subsidiary of the Company, issued $570.0 of 7.500% senior secured notes due 2030 (the Fortrea Notes). The proceeds from the Fortrea Notes were used to fund cash payments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approximately $1,600.0 to the Company in connection with the Separation. The Company does not guarantee the Fortrea Notes following the Separation. Also in June 2023, Fortrea entered into three floating secured overnight financing rate (SOFR) credit facilities totaling $1,520.0. These are comprised of a $450.0 Revolver maturing June 30, 2028; a $500.0 Term Loan A maturing June 30, 2028; and a $570.0 Term Loan B maturing June 30, 2030.</w:t>
      </w:r>
    </w:p>
    <w:p>
      <w:pPr>
        <w:spacing w:after="0" w:line="84" w:lineRule="exact"/>
        <w:rPr>
          <w:sz w:val="20"/>
          <w:szCs w:val="20"/>
          <w:color w:val="auto"/>
        </w:rPr>
      </w:pPr>
    </w:p>
    <w:p>
      <w:pPr>
        <w:jc w:val="both"/>
        <w:ind w:right="100" w:firstLine="240"/>
        <w:spacing w:after="0" w:line="253"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but the service fees are included in other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30"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8"/>
          <w:szCs w:val="18"/>
          <w:color w:val="auto"/>
        </w:rPr>
        <w:t>Earnings from discontinued operations, net of tax in the Consolidated Statements of Operations reflect the after-tax results of Fortrea's business and Separation-related fees, and do not include any allocation of general corporate overhead expense or interest expense of the Company.</w:t>
      </w:r>
    </w:p>
    <w:p>
      <w:pPr>
        <w:spacing w:after="0" w:line="70"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from Discontinued Operations, Net of Tax in the Condensed Consolidated Statements of Operations for the nine months ended September 30, 2023:</w:t>
      </w:r>
    </w:p>
    <w:p>
      <w:pPr>
        <w:spacing w:after="0" w:line="9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7"/>
        </w:trPr>
        <w:tc>
          <w:tcPr>
            <w:tcW w:w="90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27"/>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r>
      <w:tr>
        <w:trPr>
          <w:trHeight w:val="22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7"/>
        </w:trPr>
        <w:tc>
          <w:tcPr>
            <w:tcW w:w="9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7"/>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revenues by segment and by payers/customer groups for the three and nine months ended September 30, 2024, and 2023,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2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60" w:type="dxa"/>
            <w:vAlign w:val="bottom"/>
            <w:tcBorders>
              <w:right w:val="single" w:sz="8" w:color="auto"/>
            </w:tcBorders>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1"/>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2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60" w:type="dxa"/>
            <w:vAlign w:val="bottom"/>
            <w:tcBorders>
              <w:right w:val="single" w:sz="8" w:color="auto"/>
            </w:tcBorders>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5"/>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right="40" w:firstLine="240"/>
        <w:spacing w:after="0" w:line="275" w:lineRule="auto"/>
        <w:rPr>
          <w:sz w:val="20"/>
          <w:szCs w:val="20"/>
          <w:color w:val="auto"/>
        </w:rPr>
      </w:pPr>
      <w:r>
        <w:rPr>
          <w:rFonts w:ascii="Times New Roman" w:cs="Times New Roman" w:eastAsia="Times New Roman" w:hAnsi="Times New Roman"/>
          <w:sz w:val="18"/>
          <w:szCs w:val="18"/>
          <w:color w:val="auto"/>
        </w:rPr>
        <w:t>Revenues in the United States were $2,738.4 (83.4%) and $2,550.6 (83.4%) for the three months ended September 30, 2024 and 2023, respectively, and were $8,091.8 (83.6%) and $7,645.0 (83.8%) for the nine months ended September 30, 2024 and 2023,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Pr>
          <w:p>
            <w:pPr>
              <w:spacing w:after="0"/>
              <w:rPr>
                <w:sz w:val="20"/>
                <w:szCs w:val="20"/>
                <w:color w:val="auto"/>
              </w:rPr>
            </w:pPr>
          </w:p>
        </w:tc>
        <w:tc>
          <w:tcPr>
            <w:tcW w:w="20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2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doubtful accounts</w:t>
            </w: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0"/>
        </w:trPr>
        <w:tc>
          <w:tcPr>
            <w:tcW w:w="6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0"/>
        </w:trPr>
        <w:tc>
          <w:tcPr>
            <w:tcW w:w="6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spacing w:after="0"/>
              <w:rPr>
                <w:sz w:val="15"/>
                <w:szCs w:val="15"/>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
        </w:trPr>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right="20" w:firstLine="240"/>
        <w:spacing w:after="0" w:line="306" w:lineRule="auto"/>
        <w:rPr>
          <w:sz w:val="20"/>
          <w:szCs w:val="20"/>
          <w:color w:val="auto"/>
        </w:rPr>
      </w:pPr>
      <w:r>
        <w:rPr>
          <w:rFonts w:ascii="Times New Roman" w:cs="Times New Roman" w:eastAsia="Times New Roman" w:hAnsi="Times New Roman"/>
          <w:sz w:val="17"/>
          <w:szCs w:val="17"/>
          <w:color w:val="auto"/>
        </w:rPr>
        <w:t>Revenues recognized during the period that were included in the unearned revenue balance at the beginning of the period were $20.2 and $6.3 for the three months ended September 30, 2024 and 2023, respectively, and $98.0 and $79.1 for the nine months ended September 30, 2024 and 2023, respectively.</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6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The Company estimates future expected losses on accounts receivable, unbilled services and notes receivable over the remaining collection period of the instrument. The rollforward for the allowance for credit losses for the nine months ended September 30, 2024,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Note and Other</w:t>
            </w:r>
          </w:p>
        </w:tc>
        <w:tc>
          <w:tcPr>
            <w:tcW w:w="240" w:type="dxa"/>
            <w:vAlign w:val="bottom"/>
          </w:tcPr>
          <w:p>
            <w:pPr>
              <w:spacing w:after="0"/>
              <w:rPr>
                <w:sz w:val="18"/>
                <w:szCs w:val="18"/>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7"/>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credit loss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write offs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credit loss expense in the first nine months was primarily related to the collection risk from several biotech receivable balances.</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ACQUISITIONS AND DISPOSITIONS</w:t>
      </w:r>
    </w:p>
    <w:p>
      <w:pPr>
        <w:spacing w:after="0" w:line="128" w:lineRule="exact"/>
        <w:rPr>
          <w:sz w:val="20"/>
          <w:szCs w:val="20"/>
          <w:color w:val="auto"/>
        </w:rPr>
      </w:pPr>
    </w:p>
    <w:p>
      <w:pPr>
        <w:jc w:val="both"/>
        <w:ind w:right="20" w:firstLine="2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acquired several businesses and related assets for cash of approximately $751.2. These acquisitions consisted of the clinical and outreach businesses of Baystate Medical Center ($120.2), Providence Medical Foundation ($54.9), and Westpac Labs, Inc. ($97.7), and selected assets of the Invitae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Corporation ($240.8) and BioReference Health (237.6). The preliminary purchase considerations for these acquisitions were allocated under the acquisition method of accounting to the estimated fair market value of the net assets acquired, including approximately $393.6 in identifiable intangible assets. A residual amount of tax deductible goodwill of approximately $349.5 was recorded as of September 30, 2024. The amortization period for non-compete agreements and customer list assets acquired from these businesses are 5 and 15 years, respectively. The purchase price allocations for the Invitae and BioReference Health acquisitions have not been finalized as of September 30, 2024. The preliminary valuation of acquired assets and assumed liabilities, include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20" w:type="dxa"/>
            <w:vAlign w:val="bottom"/>
          </w:tcPr>
          <w:p>
            <w:pPr>
              <w:spacing w:after="0"/>
              <w:rPr>
                <w:sz w:val="16"/>
                <w:szCs w:val="16"/>
                <w:color w:val="auto"/>
              </w:rPr>
            </w:pPr>
          </w:p>
        </w:tc>
        <w:tc>
          <w:tcPr>
            <w:tcW w:w="150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Amounts Acquired</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Baystate</w:t>
            </w:r>
          </w:p>
        </w:tc>
        <w:tc>
          <w:tcPr>
            <w:tcW w:w="140" w:type="dxa"/>
            <w:vAlign w:val="bottom"/>
          </w:tcPr>
          <w:p>
            <w:pPr>
              <w:spacing w:after="0"/>
              <w:rPr>
                <w:sz w:val="13"/>
                <w:szCs w:val="13"/>
                <w:color w:val="auto"/>
              </w:rPr>
            </w:pPr>
          </w:p>
        </w:tc>
        <w:tc>
          <w:tcPr>
            <w:tcW w:w="94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Adjustments During</w:t>
            </w:r>
          </w:p>
        </w:tc>
        <w:tc>
          <w:tcPr>
            <w:tcW w:w="1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8"/>
              </w:rPr>
              <w:t>Westpac</w:t>
            </w:r>
          </w:p>
        </w:tc>
        <w:tc>
          <w:tcPr>
            <w:tcW w:w="160" w:type="dxa"/>
            <w:vAlign w:val="bottom"/>
          </w:tcPr>
          <w:p>
            <w:pPr>
              <w:spacing w:after="0"/>
              <w:rPr>
                <w:sz w:val="13"/>
                <w:szCs w:val="13"/>
                <w:color w:val="auto"/>
              </w:rPr>
            </w:pPr>
          </w:p>
        </w:tc>
        <w:tc>
          <w:tcPr>
            <w:tcW w:w="100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Invitae</w:t>
            </w:r>
          </w:p>
        </w:tc>
        <w:tc>
          <w:tcPr>
            <w:tcW w:w="160" w:type="dxa"/>
            <w:vAlign w:val="bottom"/>
          </w:tcPr>
          <w:p>
            <w:pPr>
              <w:spacing w:after="0"/>
              <w:rPr>
                <w:sz w:val="13"/>
                <w:szCs w:val="13"/>
                <w:color w:val="auto"/>
              </w:rPr>
            </w:pPr>
          </w:p>
        </w:tc>
        <w:tc>
          <w:tcPr>
            <w:tcW w:w="10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BioReference</w:t>
            </w:r>
          </w:p>
        </w:tc>
        <w:tc>
          <w:tcPr>
            <w:tcW w:w="12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the Nine Months</w:t>
            </w:r>
          </w:p>
        </w:tc>
        <w:tc>
          <w:tcPr>
            <w:tcW w:w="120" w:type="dxa"/>
            <w:vAlign w:val="bottom"/>
          </w:tcPr>
          <w:p>
            <w:pPr>
              <w:spacing w:after="0"/>
              <w:rPr>
                <w:sz w:val="13"/>
                <w:szCs w:val="13"/>
                <w:color w:val="auto"/>
              </w:rPr>
            </w:pPr>
          </w:p>
        </w:tc>
        <w:tc>
          <w:tcPr>
            <w:tcW w:w="150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During the Nine</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Medical</w:t>
            </w:r>
          </w:p>
        </w:tc>
        <w:tc>
          <w:tcPr>
            <w:tcW w:w="140" w:type="dxa"/>
            <w:vAlign w:val="bottom"/>
          </w:tcPr>
          <w:p>
            <w:pPr>
              <w:spacing w:after="0"/>
              <w:rPr>
                <w:sz w:val="13"/>
                <w:szCs w:val="13"/>
                <w:color w:val="auto"/>
              </w:rPr>
            </w:pPr>
          </w:p>
        </w:tc>
        <w:tc>
          <w:tcPr>
            <w:tcW w:w="94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Medical</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6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Ended September 30,</w:t>
            </w:r>
          </w:p>
        </w:tc>
        <w:tc>
          <w:tcPr>
            <w:tcW w:w="120" w:type="dxa"/>
            <w:vAlign w:val="bottom"/>
          </w:tcPr>
          <w:p>
            <w:pPr>
              <w:spacing w:after="0"/>
              <w:rPr>
                <w:sz w:val="13"/>
                <w:szCs w:val="13"/>
                <w:color w:val="auto"/>
              </w:rPr>
            </w:pPr>
          </w:p>
        </w:tc>
        <w:tc>
          <w:tcPr>
            <w:tcW w:w="150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Center</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Foundation</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Labs, Inc.</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Corporation</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Health</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w:t>
            </w: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escrow payment made in 2023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9"/>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$155.9 (€140.0). The transaction is anticipated to close in early 2025, subject to customary closing conditions for a transaction of this type, including applicable regulatory approvals. The Company will acquire the minority interest through an intermediate holding company that will be established to hold the investment with SYNLAB and will be represented on the holding company board with Cinven, Inc. and other investors.</w:t>
      </w:r>
    </w:p>
    <w:p>
      <w:pPr>
        <w:spacing w:after="0" w:line="9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acquired several businesses and the related assets for approximately $516.7 in cash. These acquisitions consisted of the clinical and outreach business of Jefferson Health ($108.0), Enzo BioChem ($112.8), Providence Health &amp; Services - Oregon ($110.0), Tuffts Medicine ($157.0), and other small acquisitions for $28.9. The preliminary purchase considerations for these acquisitions were allocated under the acquisition method of accounting to the estimated fair market value of the net assets acquired, including approximately $284.6 in identifiable intangible assets. A residual amount of non-tax deductible goodwill of approximately $230.5 was recorded as of September 30, 2023. The amortization period for non-compete agreements and customer list assets acquired from these businesses are 5 and 15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recorded several measurement period adjustments for 2022 acquisitions, relating to final valuations and deferred tax true-ups. The adjustments include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Business Acquisitions</w:t>
            </w:r>
          </w:p>
        </w:tc>
        <w:tc>
          <w:tcPr>
            <w:tcW w:w="140" w:type="dxa"/>
            <w:vAlign w:val="bottom"/>
          </w:tcPr>
          <w:p>
            <w:pPr>
              <w:spacing w:after="0"/>
              <w:rPr>
                <w:sz w:val="16"/>
                <w:szCs w:val="16"/>
                <w:color w:val="auto"/>
              </w:rPr>
            </w:pPr>
          </w:p>
        </w:tc>
        <w:tc>
          <w:tcPr>
            <w:tcW w:w="30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Measurement Period Adjustments During</w:t>
            </w:r>
          </w:p>
        </w:tc>
        <w:tc>
          <w:tcPr>
            <w:tcW w:w="120" w:type="dxa"/>
            <w:vAlign w:val="bottom"/>
          </w:tcPr>
          <w:p>
            <w:pPr>
              <w:spacing w:after="0"/>
              <w:rPr>
                <w:sz w:val="16"/>
                <w:szCs w:val="16"/>
                <w:color w:val="auto"/>
              </w:rPr>
            </w:pPr>
          </w:p>
        </w:tc>
        <w:tc>
          <w:tcPr>
            <w:tcW w:w="25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Amounts Acquired During the Nine</w:t>
            </w:r>
          </w:p>
        </w:tc>
        <w:tc>
          <w:tcPr>
            <w:tcW w:w="0" w:type="dxa"/>
            <w:vAlign w:val="bottom"/>
          </w:tcPr>
          <w:p>
            <w:pPr>
              <w:spacing w:after="0"/>
              <w:rPr>
                <w:sz w:val="1"/>
                <w:szCs w:val="1"/>
                <w:color w:val="auto"/>
              </w:rPr>
            </w:pPr>
          </w:p>
        </w:tc>
      </w:tr>
      <w:tr>
        <w:trPr>
          <w:trHeight w:val="220"/>
        </w:trPr>
        <w:tc>
          <w:tcPr>
            <w:tcW w:w="3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Months Ended September 30, 2023</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4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27"/>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5"/>
        </w:trPr>
        <w:tc>
          <w:tcPr>
            <w:tcW w:w="3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Had the Company's total 2024 and 2023 acquisitions been completed as of January 1, the Company's pro forma results would have been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60" w:type="dxa"/>
            <w:vAlign w:val="bottom"/>
          </w:tcPr>
          <w:p>
            <w:pPr>
              <w:spacing w:after="0"/>
              <w:rPr>
                <w:sz w:val="17"/>
                <w:szCs w:val="17"/>
                <w:color w:val="auto"/>
              </w:rPr>
            </w:pPr>
          </w:p>
        </w:tc>
        <w:tc>
          <w:tcPr>
            <w:tcW w:w="19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20" w:type="dxa"/>
            <w:vAlign w:val="bottom"/>
          </w:tcPr>
          <w:p>
            <w:pPr>
              <w:spacing w:after="0"/>
              <w:rPr>
                <w:sz w:val="17"/>
                <w:szCs w:val="17"/>
                <w:color w:val="auto"/>
              </w:rPr>
            </w:pPr>
          </w:p>
        </w:tc>
        <w:tc>
          <w:tcPr>
            <w:tcW w:w="17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Nine Months Ended</w:t>
            </w:r>
          </w:p>
        </w:tc>
      </w:tr>
      <w:tr>
        <w:trPr>
          <w:trHeight w:val="236"/>
        </w:trPr>
        <w:tc>
          <w:tcPr>
            <w:tcW w:w="3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8"/>
              </w:rPr>
              <w:t>September 30,</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8"/>
              </w:rPr>
              <w:t>September 30,</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September 30,</w:t>
            </w:r>
          </w:p>
        </w:tc>
      </w:tr>
      <w:tr>
        <w:trPr>
          <w:trHeight w:val="224"/>
        </w:trPr>
        <w:tc>
          <w:tcPr>
            <w:tcW w:w="3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4"/>
              </w:rPr>
              <w:t>2023</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3,152.7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9,354.4</w:t>
            </w:r>
          </w:p>
        </w:tc>
      </w:tr>
      <w:tr>
        <w:trPr>
          <w:trHeight w:val="173"/>
        </w:trPr>
        <w:tc>
          <w:tcPr>
            <w:tcW w:w="30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1"/>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Labcorp Holdings Inc.</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174.8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r>
    </w:tbl>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the assets of its Beacon Laboratory Benefit Solutions, Inc. for $13.5 and recorded a gain of $4.9.</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the Company by the weighted average number of shares of the Company's common stock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 for the three and nine months ended September 30: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9"/>
          </w:tcPr>
          <w:p>
            <w:pPr>
              <w:jc w:val="right"/>
              <w:ind w:right="322"/>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9"/>
          </w:tcPr>
          <w:p>
            <w:pPr>
              <w:jc w:val="right"/>
              <w:ind w:right="302"/>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1"/>
                <w:szCs w:val="11"/>
                <w:color w:val="auto"/>
              </w:rPr>
            </w:pPr>
          </w:p>
        </w:tc>
        <w:tc>
          <w:tcPr>
            <w:tcW w:w="6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98"/>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4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2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Dilutive effect of</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employee stock options</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awards</w:t>
            </w: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Net earnings including</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impact of dilutive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40" w:type="dxa"/>
            <w:vAlign w:val="bottom"/>
          </w:tcPr>
          <w:p>
            <w:pPr>
              <w:spacing w:after="0"/>
              <w:rPr>
                <w:sz w:val="13"/>
                <w:szCs w:val="13"/>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87.0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20" w:type="dxa"/>
            <w:vAlign w:val="bottom"/>
          </w:tcPr>
          <w:p>
            <w:pPr>
              <w:spacing w:after="0"/>
              <w:rPr>
                <w:sz w:val="13"/>
                <w:szCs w:val="13"/>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84.5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92"/>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3"/>
        </w:trPr>
        <w:tc>
          <w:tcPr>
            <w:tcW w:w="432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6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2024,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BLS</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Total</w:t>
            </w: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0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6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6,482.4</w:t>
            </w:r>
          </w:p>
        </w:tc>
      </w:tr>
      <w:tr>
        <w:trPr>
          <w:trHeight w:val="20"/>
        </w:trPr>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8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1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3"/>
        </w:trPr>
        <w:tc>
          <w:tcPr>
            <w:tcW w:w="338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line="173" w:lineRule="exact"/>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7"/>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Net</w:t>
            </w:r>
          </w:p>
        </w:tc>
      </w:tr>
      <w:tr>
        <w:trPr>
          <w:trHeight w:val="22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0"/>
        </w:trPr>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for the three and nine months ended September 30, 2024, and 2023, was $63.7 and $55.7 and $186.0 and $160.6, respectively. The amortization expense for the net carrying amount of intangible assets is estimated to be $71.0 for the remainder of fiscal 2024, $260.4 in fiscal 2025, $251.4 in fiscal 2026, $240.1 in fiscal 2027, $232.2 in fiscal 2028, and $1,915.4 thereafter.</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September 30, 2024, and December 31, 2023,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19"/>
                <w:szCs w:val="19"/>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2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at September 30, 2024, and December 31, 2023, consisted of the following:</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4"/>
                <w:szCs w:val="24"/>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January 13, 2023.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facility. There was $0.0 outstanding on the Company's current revolving credit facility and $91.9 in outstanding letters of credit on the Company's subfacility as of September 30, 2024. As of September 30, 2024, the effective interest rate on the revolving credit facility was 6.26%. The credit facility expires on April 30, 2026.</w:t>
      </w:r>
    </w:p>
    <w:p>
      <w:pPr>
        <w:spacing w:after="0" w:line="84"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September 30, 2024, and expects that it will remain in compliance with its existing debt covenants for the next twelve months.</w:t>
      </w:r>
    </w:p>
    <w:p>
      <w:pPr>
        <w:spacing w:after="0" w:line="7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(SPV) entered into an accounts receivable securitization facility (AR Facility) with PNC Bank, National Association (PNC) with a three-year term. The AR Facility allows the Company to borrow from PNC an amount of up to $300.0 through August of 2027 and may increase up to $700.0, subject to the satisfaction of certain conditions.</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SPV is a variable interest entity (VIE) for which the Company is the primary beneficiary. The SPV's sole business consists of the continuous purchase of receivables from the Company which is used as collateral for the loan with PNC. Although the SPV is included in the Company's consolidated financial statements, it is a separate legal entity with separate creditors.</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9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loan proceeds of $300.0 under the AR Facility, which is included in cash from financing activities in the Condensed Consolidated Statement of Cash Flows.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On September 23, 2024, LCAH entered into an indenture with U.S. Bank Trust Company, National Association, as trustee (the Trustee) (the Indenture). Also, on September 23, 2024, the Company, LCAH, and the Trustee entered into certain first, second, and third supplemental indentures to the Indenture under each of which LCAH issued, and the Company guaranteed, $650.0 aggregate principal amount of 4.35% Senior Notes due 2030 (the 2030 Notes), $500.0 aggregate principal amount of 4.55% Senior Notes due 2032 (the 2032 Notes) and $850.0 aggregate principal amount of 4.80% Senior Notes due 2034, respectively (the 2034 Notes and, together with the 2030 Notes and the 2032 Notes, the Notes), totaling $2,000.0. Interest on the Notes is payable semi-annually on April 1 and October 1 of each year, commencing April 1, 2025. Net proceeds from the offering of the Notes were approximately $1,982.1 after deducting underwriting discounts and other estimated expenses of the offering. The net proceeds will be used to redeem or repay indebtedness and, to the extent not used for such purpose, for other general corporate purposes. Indebtedness to be redeemed or repaid at or prior to maturity were the Company's 2.30% senior notes due 2024, its 3.60% senior notes due 2025 and $350.0 of borrowings under its revolving credit facility.</w:t>
      </w:r>
    </w:p>
    <w:p>
      <w:pPr>
        <w:spacing w:after="0" w:line="1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September 30, 2024, and December 31, 2023.</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changes in common shares issued during the nine months ended September 30, 2024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4225"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December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Shares repurchased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September 30,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83.9</w:t>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0.6</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12065</wp:posOffset>
            </wp:positionV>
            <wp:extent cx="1692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15875</wp:posOffset>
            </wp:positionV>
            <wp:extent cx="169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227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41275</wp:posOffset>
            </wp:positionV>
            <wp:extent cx="1692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9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purchased 0.8 shares of its common stock at an average price of $211.63 for a total cost of $175.0. On July 24, 2024, the Board adopted a new share repurchase plan authorizing up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$1,000.0 of the Company's shares in addition to the remaining amount outstanding under the previous plan. As of September 30, 2024, the Company had outstanding authorization from the board of directors to purchase up to $1,355.4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2024, the Company paid $183.0 in common stock dividends. On October 10, 2024, the Company announced a cash dividend of $0.72 per share of common stock for the third quarter, or approximately $61.0 in the aggregate. The dividend will be payable on December 13, 2024, to stockholders of record of all issued and outstanding shares of common stock as of the close of business on November 26, 2024. The declaration and payment of any future dividends will be at the discretion of the Company's board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during the nine months ended September 30, 2024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Foreign Currency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Net Benefit Plan</w:t>
            </w:r>
          </w:p>
        </w:tc>
        <w:tc>
          <w:tcPr>
            <w:tcW w:w="180" w:type="dxa"/>
            <w:vAlign w:val="bottom"/>
          </w:tcPr>
          <w:p>
            <w:pPr>
              <w:spacing w:after="0"/>
              <w:rPr>
                <w:sz w:val="16"/>
                <w:szCs w:val="16"/>
                <w:color w:val="auto"/>
              </w:rPr>
            </w:pP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color w:val="auto"/>
              </w:rPr>
              <w:t>Translation</w:t>
            </w:r>
          </w:p>
        </w:tc>
        <w:tc>
          <w:tcPr>
            <w:tcW w:w="1280" w:type="dxa"/>
            <w:vAlign w:val="bottom"/>
            <w:gridSpan w:val="3"/>
            <w:vMerge w:val="continue"/>
          </w:tcPr>
          <w:p>
            <w:pPr>
              <w:spacing w:after="0"/>
              <w:rPr>
                <w:sz w:val="13"/>
                <w:szCs w:val="13"/>
                <w:color w:val="auto"/>
              </w:rPr>
            </w:pPr>
          </w:p>
        </w:tc>
        <w:tc>
          <w:tcPr>
            <w:tcW w:w="1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Comprehensive Earnings</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154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w w:val="97"/>
              </w:rPr>
              <w:t>(Loss)</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tcPr>
          <w:p>
            <w:pPr>
              <w:spacing w:after="0"/>
              <w:rPr>
                <w:sz w:val="20"/>
                <w:szCs w:val="20"/>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2"/>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8" w:lineRule="exact"/>
        <w:rPr>
          <w:sz w:val="20"/>
          <w:szCs w:val="20"/>
          <w:color w:val="auto"/>
        </w:rPr>
      </w:pPr>
    </w:p>
    <w:p>
      <w:pPr>
        <w:jc w:val="both"/>
        <w:ind w:firstLine="280"/>
        <w:spacing w:after="0" w:line="250" w:lineRule="auto"/>
        <w:rPr>
          <w:sz w:val="20"/>
          <w:szCs w:val="20"/>
          <w:color w:val="auto"/>
        </w:rPr>
      </w:pPr>
      <w:r>
        <w:rPr>
          <w:rFonts w:ascii="Times New Roman" w:cs="Times New Roman" w:eastAsia="Times New Roman" w:hAnsi="Times New Roman"/>
          <w:sz w:val="18"/>
          <w:szCs w:val="18"/>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12"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6"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probable and reasonably estimable. When loss contingencies are not both probable and reasonably estimable, the Company does not establish separate reserves.</w:t>
      </w:r>
    </w:p>
    <w:p>
      <w:pPr>
        <w:spacing w:after="0" w:line="8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9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9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10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December 29, 2021, the Company was served with a putative class action lawsuit, </w:t>
      </w:r>
      <w:r>
        <w:rPr>
          <w:rFonts w:ascii="Times New Roman" w:cs="Times New Roman" w:eastAsia="Times New Roman" w:hAnsi="Times New Roman"/>
          <w:sz w:val="18"/>
          <w:szCs w:val="18"/>
          <w:i w:val="1"/>
          <w:iCs w:val="1"/>
          <w:color w:val="auto"/>
        </w:rPr>
        <w:t>Nathaniel J. Nolan,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acknowledgement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On April 10, 2024, the U.S. Court of Appeals for the Fourth Circuit issued an order affirming in part, reversing in part, and remanding the case to the District Court for further proceedings. The Company will vigorously defend the lawsuit.</w:t>
      </w:r>
    </w:p>
    <w:p>
      <w:pPr>
        <w:spacing w:after="0" w:line="9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07"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9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10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On January 31, 2020, the Company was served with a putative class action lawsuit, Luke Davis and Julian Vargas, et al. v. Laboratory Corporation of America Holdings, filed in the U.S. District Court for the Central District of California. The lawsuit alleges that visually impaired patients are unable to use 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filed a Petition for Writ of Certiorari with the United States Supreme Court. The Company will vigorously defend the lawsuit.</w:t>
      </w:r>
    </w:p>
    <w:p>
      <w:pPr>
        <w:spacing w:after="0" w:line="138"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 xml:space="preserve">On October 16, 2020, Ravgen Inc. filed a patent infringement lawsuit, </w:t>
      </w:r>
      <w:r>
        <w:rPr>
          <w:rFonts w:ascii="Times New Roman" w:cs="Times New Roman" w:eastAsia="Times New Roman" w:hAnsi="Times New Roman"/>
          <w:sz w:val="17"/>
          <w:szCs w:val="17"/>
          <w:i w:val="1"/>
          <w:iCs w:val="1"/>
          <w:color w:val="auto"/>
        </w:rPr>
        <w:t>Ravgen Inc. v. Laboratory Corporation of America Holdings</w:t>
      </w:r>
      <w:r>
        <w:rPr>
          <w:rFonts w:ascii="Times New Roman" w:cs="Times New Roman" w:eastAsia="Times New Roman" w:hAnsi="Times New Roman"/>
          <w:sz w:val="17"/>
          <w:szCs w:val="17"/>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82" w:lineRule="exact"/>
        <w:rPr>
          <w:sz w:val="20"/>
          <w:szCs w:val="20"/>
          <w:color w:val="auto"/>
        </w:rPr>
      </w:pPr>
    </w:p>
    <w:p>
      <w:pPr>
        <w:jc w:val="both"/>
        <w:ind w:firstLine="280"/>
        <w:spacing w:after="0" w:line="249"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approval from the court.</w:t>
      </w:r>
    </w:p>
    <w:p>
      <w:pPr>
        <w:spacing w:after="0" w:line="9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On July 28, 2024, the Court issued a dismissal of the lawsuit pursuant to a settlement agreement between plaintiff and the Company.</w:t>
      </w:r>
    </w:p>
    <w:p>
      <w:pPr>
        <w:spacing w:after="0" w:line="10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portion of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 relating to service representatives and senior service representatives.</w:t>
      </w:r>
    </w:p>
    <w:p>
      <w:pPr>
        <w:spacing w:after="0" w:line="9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District Court remanded the case to the Superior Court of California, County of Los Angeles on the grounds that potential damages did not meet the Class Action Fairness Act (CAFA), 28 U.S.C. § 1332(d), jurisdictional threshold. The parties entered into a settlement agreement which received court preliminary approval on December 13, 2023. Settlement proceeds were transferred to the settlement fund administrator in January 2024 and have been distributed by the settlement fund administrator. On September 13, 2024, the court issued its final approval of the settlement and dismissed the lawsuit.</w:t>
      </w:r>
    </w:p>
    <w:p>
      <w:pPr>
        <w:spacing w:after="0" w:line="10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On June 7, 2023, the Company was served with a putative class action lawsuit, Connie Howard, Yadira Yazmin Hernandez, and Deborah Reynolds, et al. v. Laboratory Corporation of America, Laboratory Corporation of America Holdings, and Meta Platforms, Inc., filed in the U.S. District Court for the 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September 27, 2024, the Court denied the Motion to Dismiss the Amended Complaint. The Company will vigorously defend the lawsuit.</w:t>
      </w:r>
    </w:p>
    <w:p>
      <w:pPr>
        <w:spacing w:after="0" w:line="9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7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cooperated with the DOJ and entered into an agreement dated September 26, 2024 to resolve the matter.</w:t>
      </w:r>
    </w:p>
    <w:p>
      <w:pPr>
        <w:spacing w:after="0" w:line="8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On February 13, 2024, a putative class action lawsuit, </w:t>
      </w:r>
      <w:r>
        <w:rPr>
          <w:rFonts w:ascii="Times New Roman" w:cs="Times New Roman" w:eastAsia="Times New Roman" w:hAnsi="Times New Roman"/>
          <w:sz w:val="18"/>
          <w:szCs w:val="18"/>
          <w:i w:val="1"/>
          <w:iCs w:val="1"/>
          <w:color w:val="auto"/>
        </w:rPr>
        <w:t>Michael Wiggins and Teri Stevens v. Laboratory Corporation of America Holdings</w:t>
      </w:r>
      <w:r>
        <w:rPr>
          <w:rFonts w:ascii="Times New Roman" w:cs="Times New Roman" w:eastAsia="Times New Roman" w:hAnsi="Times New Roman"/>
          <w:sz w:val="18"/>
          <w:szCs w:val="18"/>
          <w:color w:val="auto"/>
        </w:rPr>
        <w:t>, was filed in the U.S. District Court for the Eastern District of Pennsylvania, alleging that the Company’s website includes a computer code created by Google that sent information to Google related to Plaintiffs and their online activities. Plaintiffs assert statutory and common law claims against the Company and seek to represent a class of all persons whose health information was allegedly shared with Google from the Company’s website before March 8, 2023. Plaintiffs seek an injunction, damages, attorneys’ fees, and costs. On April 12, 2024, the Company filed a Motion to Compel Arbitration and Stay Proceedings. On October 11, 2024, the Court granted the Motion to Compel Arbitration and Stay Proceedings. The Company will vigorously defend any arbitration proceeding.</w:t>
      </w:r>
    </w:p>
    <w:p>
      <w:pPr>
        <w:spacing w:after="0" w:line="10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ind w:left="460" w:hanging="453"/>
        <w:spacing w:after="0"/>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September 30, 2024, and December 31, 2023,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11"/>
          </w:tcPr>
          <w:p>
            <w:pPr>
              <w:jc w:val="center"/>
              <w:ind w:right="7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10"/>
          </w:tcPr>
          <w:p>
            <w:pPr>
              <w:jc w:val="center"/>
              <w:ind w:left="431"/>
              <w:spacing w:after="0"/>
              <w:rPr>
                <w:sz w:val="20"/>
                <w:szCs w:val="20"/>
                <w:color w:val="auto"/>
              </w:rPr>
            </w:pPr>
            <w:r>
              <w:rPr>
                <w:rFonts w:ascii="Times New Roman" w:cs="Times New Roman" w:eastAsia="Times New Roman" w:hAnsi="Times New Roman"/>
                <w:sz w:val="18"/>
                <w:szCs w:val="18"/>
                <w:color w:val="auto"/>
                <w:w w:val="98"/>
              </w:rPr>
              <w:t>September 30, 2024</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jc w:val="center"/>
              <w:ind w:right="7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9"/>
              </w:rPr>
              <w:t>September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1"/>
          </w:tcPr>
          <w:p>
            <w:pPr>
              <w:jc w:val="center"/>
              <w:ind w:right="3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10"/>
          </w:tcPr>
          <w:p>
            <w:pPr>
              <w:jc w:val="center"/>
              <w:ind w:left="511"/>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5"/>
              </w:rPr>
              <w:t>Fair Value as of</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jc w:val="center"/>
              <w:ind w:right="3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2"/>
                <w:szCs w:val="12"/>
                <w:color w:val="auto"/>
              </w:rPr>
            </w:pPr>
          </w:p>
        </w:tc>
        <w:tc>
          <w:tcPr>
            <w:tcW w:w="22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1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7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The Company offers certain employees the opportunity to participate in an employee-funded deferred compensation plan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7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1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$6,314.0 and $4,850.4 as of September 30, 2024, and December 31, 2023, respectively. The Company's note and debt instruments are classified as Level 2 instruments, as the fair market values of these instruments are determined using other 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Cross-Currency Swap</w:t>
      </w:r>
    </w:p>
    <w:p>
      <w:pPr>
        <w:spacing w:after="0" w:line="14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were set to mature in 2024.</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70"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During the third quarter of 2024, the Company entered into five new USD to Swiss Franc cross currency swaps, with an aggregate notional value of $600.0, of which $300.0 matures in 2029 and $300.0 matures in 2034.</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cross currency swaps, in aggregate, are included in Accrued expenses and other and other long-term liabilities, as appropriate, with an aggregate fair value of $175.4 and $109.0 as of September 30, 2024 and December 31, 2023, respectively.</w:t>
      </w:r>
    </w:p>
    <w:p>
      <w:pPr>
        <w:spacing w:after="0" w:line="7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Condensed Consolidated Statement of Comprehensive Earnings.</w:t>
      </w:r>
    </w:p>
    <w:p>
      <w:pPr>
        <w:spacing w:after="0" w:line="82" w:lineRule="exact"/>
        <w:rPr>
          <w:sz w:val="20"/>
          <w:szCs w:val="20"/>
          <w:color w:val="auto"/>
        </w:rPr>
      </w:pPr>
    </w:p>
    <w:p>
      <w:pPr>
        <w:ind w:left="440" w:hanging="433"/>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0"/>
        </w:trPr>
        <w:tc>
          <w:tcPr>
            <w:tcW w:w="7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22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180.3</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181.2</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bl>
    <w:p>
      <w:pPr>
        <w:spacing w:after="0" w:line="200" w:lineRule="exact"/>
        <w:rPr>
          <w:sz w:val="20"/>
          <w:szCs w:val="20"/>
          <w:color w:val="auto"/>
        </w:rPr>
      </w:pPr>
    </w:p>
    <w:p>
      <w:pPr>
        <w:spacing w:after="0" w:line="219" w:lineRule="exact"/>
        <w:rPr>
          <w:sz w:val="20"/>
          <w:szCs w:val="20"/>
          <w:color w:val="auto"/>
        </w:rPr>
      </w:pPr>
    </w:p>
    <w:p>
      <w:pPr>
        <w:ind w:left="460" w:hanging="453"/>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2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and nine months ended September 30, 2024, and 2023.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The Corporate costs not allocated to segments include the costs of centralized functions, other charges such as acquisition expenses, spin-off costs, remaining unallocated costs of the CDCS business, and COVID-19 related costs unrelated to the segment. Centralized functions include corporate governance, executive management and related human resources, finance, legal, risk management, and information technology functions.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600" w:right="188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19"/>
                <w:szCs w:val="19"/>
                <w:color w:val="auto"/>
              </w:rPr>
            </w:pPr>
          </w:p>
        </w:tc>
        <w:tc>
          <w:tcPr>
            <w:tcW w:w="288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0"/>
        </w:trPr>
        <w:tc>
          <w:tcPr>
            <w:tcW w:w="4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7,068.3</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9,128.3</w:t>
            </w:r>
          </w:p>
        </w:tc>
      </w:tr>
      <w:tr>
        <w:trPr>
          <w:trHeight w:val="193"/>
        </w:trPr>
        <w:tc>
          <w:tcPr>
            <w:tcW w:w="4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 w:lineRule="exact"/>
        <w:rPr>
          <w:sz w:val="20"/>
          <w:szCs w:val="20"/>
          <w:color w:val="auto"/>
        </w:rPr>
      </w:pPr>
    </w:p>
    <w:p>
      <w:pPr>
        <w:jc w:val="both"/>
        <w:ind w:firstLine="280"/>
        <w:spacing w:after="0" w:line="248"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8" w:lineRule="exact"/>
        <w:rPr>
          <w:sz w:val="20"/>
          <w:szCs w:val="20"/>
          <w:color w:val="auto"/>
        </w:rPr>
      </w:pPr>
    </w:p>
    <w:p>
      <w:pPr>
        <w:jc w:val="both"/>
        <w:ind w:left="640" w:hanging="553"/>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84"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2" w:lineRule="exact"/>
        <w:rPr>
          <w:rFonts w:ascii="Times New Roman" w:cs="Times New Roman" w:eastAsia="Times New Roman" w:hAnsi="Times New Roman"/>
          <w:sz w:val="17"/>
          <w:szCs w:val="17"/>
          <w:color w:val="auto"/>
        </w:rPr>
      </w:pPr>
    </w:p>
    <w:p>
      <w:pPr>
        <w:jc w:val="both"/>
        <w:ind w:left="640" w:hanging="553"/>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applicable government regulations or policies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8"/>
          <w:szCs w:val="18"/>
          <w:color w:val="auto"/>
        </w:rPr>
        <w:t>Medical Devices Agency in Japan, the European Medicines Agency, the European Union, and similar regulations and policies of agencies in other jurisdictions in which the Company conducts business;</w:t>
      </w:r>
    </w:p>
    <w:p>
      <w:pPr>
        <w:spacing w:after="0" w:line="57" w:lineRule="exact"/>
        <w:rPr>
          <w:sz w:val="20"/>
          <w:szCs w:val="20"/>
          <w:color w:val="auto"/>
        </w:rPr>
      </w:pPr>
    </w:p>
    <w:p>
      <w:pPr>
        <w:jc w:val="both"/>
        <w:ind w:left="64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2" w:lineRule="exact"/>
        <w:rPr>
          <w:rFonts w:ascii="Times New Roman" w:cs="Times New Roman" w:eastAsia="Times New Roman" w:hAnsi="Times New Roman"/>
          <w:sz w:val="18"/>
          <w:szCs w:val="18"/>
          <w:color w:val="auto"/>
        </w:rPr>
      </w:pPr>
    </w:p>
    <w:p>
      <w:pPr>
        <w:jc w:val="both"/>
        <w:ind w:left="640" w:right="2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2" w:lineRule="exact"/>
        <w:rPr>
          <w:rFonts w:ascii="Times New Roman" w:cs="Times New Roman" w:eastAsia="Times New Roman" w:hAnsi="Times New Roman"/>
          <w:sz w:val="18"/>
          <w:szCs w:val="18"/>
          <w:color w:val="auto"/>
        </w:rPr>
      </w:pPr>
    </w:p>
    <w:p>
      <w:pPr>
        <w:ind w:left="640" w:right="2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86" w:lineRule="exact"/>
        <w:rPr>
          <w:rFonts w:ascii="Times New Roman" w:cs="Times New Roman" w:eastAsia="Times New Roman" w:hAnsi="Times New Roman"/>
          <w:sz w:val="18"/>
          <w:szCs w:val="18"/>
          <w:color w:val="auto"/>
        </w:rPr>
      </w:pPr>
    </w:p>
    <w:p>
      <w:pPr>
        <w:ind w:left="640" w:right="2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 to the expected benefits of the Reorganization, including, but not limited to the effect of the Reorganization on the Company's business generally, and unexpected issues that may arise as a result of the Reorganization.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Fortrea Holdings Inc.</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June 30, 2023, Labcorp completed the previously announced separation of Fortrea from the Company.</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All historical operating results of Fortrea are presented as Discontinued Operations, net of tax, in the Condensed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spin-off is expected to be treated as tax-free for the Company and its shareholders for U.S. federal income tax purposes.</w:t>
      </w:r>
    </w:p>
    <w:p>
      <w:pPr>
        <w:spacing w:after="0" w:line="120" w:lineRule="exact"/>
        <w:rPr>
          <w:sz w:val="20"/>
          <w:szCs w:val="20"/>
          <w:color w:val="auto"/>
        </w:rPr>
      </w:pPr>
    </w:p>
    <w:p>
      <w:pPr>
        <w:jc w:val="both"/>
        <w:ind w:firstLine="280"/>
        <w:spacing w:after="0" w:line="306" w:lineRule="auto"/>
        <w:rPr>
          <w:sz w:val="20"/>
          <w:szCs w:val="20"/>
          <w:color w:val="auto"/>
        </w:rPr>
      </w:pPr>
      <w:r>
        <w:rPr>
          <w:rFonts w:ascii="Times New Roman" w:cs="Times New Roman" w:eastAsia="Times New Roman" w:hAnsi="Times New Roman"/>
          <w:sz w:val="17"/>
          <w:szCs w:val="17"/>
          <w:color w:val="auto"/>
        </w:rPr>
        <w:t>As a result of the separation of Fortrea, the Company recast segment results to exclude the historical results of the CDCS business for all periods presented. The remaining operations of the previously reported Drug Development segment have been renamed the Biopharma Laboratory Services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1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Revenues for the nine months ended September 30, 2024, were $9,679.5, an increase of 6.0% from $9,128.3 during the nine months ended September 30, 2023. The increase was due to organic revenue of 3.4%, acquisitions, net of divestitures, of 2.4%, and favorable foreign currency translation of 0.2%. The 3.4% increase in organic revenue was driven by a 4.5% increase in the Company's organic Base Business, partially offset by a 1.1% decrease in COVID-19 PCR testing (COVID-19 Testing). Base Business includes Labcorp's operations except for COVID-19 Testing.</w:t>
      </w:r>
    </w:p>
    <w:p>
      <w:pPr>
        <w:spacing w:after="0" w:line="1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year-over-year impact of acquisitions, divestitures, and currency.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 month period following the close of each transaction.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(dollars in millions)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3"/>
        </w:trPr>
        <w:tc>
          <w:tcPr>
            <w:tcW w:w="3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80"/>
        </w:trPr>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 w:type="dxa"/>
            <w:vAlign w:val="bottom"/>
          </w:tcPr>
          <w:p>
            <w:pPr>
              <w:spacing w:after="0"/>
              <w:rPr>
                <w:sz w:val="19"/>
                <w:szCs w:val="19"/>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7"/>
        </w:trPr>
        <w:tc>
          <w:tcPr>
            <w:tcW w:w="4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7"/>
        </w:trPr>
        <w:tc>
          <w:tcPr>
            <w:tcW w:w="40" w:type="dxa"/>
            <w:vAlign w:val="bottom"/>
          </w:tcPr>
          <w:p>
            <w:pPr>
              <w:spacing w:after="0"/>
              <w:rPr>
                <w:sz w:val="19"/>
                <w:szCs w:val="19"/>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20"/>
        </w:trPr>
        <w:tc>
          <w:tcPr>
            <w:tcW w:w="4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3,282.0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Total revenues for the three months ended September 30, 2024, were $3,282.0, an increase of 7.4% over $3,056.8 in the third quarter of 2023. The increase was due to organic revenue of 4.2%, acquisitions, net of divestitures, of 3.1%, and favorable foreign currency translation of 0.1%. The 4.2% increase in organic revenue was driven by a 4.8% increase in the Company's organic Base Business, partially offset by a 0.6% decrease in COVID-19 Testing.</w:t>
      </w:r>
    </w:p>
    <w:p>
      <w:pPr>
        <w:spacing w:after="0" w:line="7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Dx revenues for the three months ended September 30, 2024, were $2,553.5, an increase of 8.9% over $2,344.7 in the third quarter of 2023. The increase was due to organic revenue of 5.0% and acquisitions, net of divestitures, of 4.0%, partially offset by unfavorable foreign currency translation of 0.1%. The 5.0% increase in organic growth was due to a 5.7% increase in the Base Business, partially offset by a 0.7% decrease in COVID-19 Testing.</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organic volume increased by 2.2% for the three months ended September 30, 2024, while total volume (measured by requisitions) increased by 5.1% as acquisition volume, net of divestitures, contributed 2.8%. Organic volume was up due to a 2.7% increase in the Base Business, partially offset by a 0.5% decrease in COVID-19 Testing. Price/mix increased by 3.8% due to organic Base Business growth of 3.0% and acquisitions, net of divestitures, of 1.2%, partially offset by a decrease in COVID-19 Testing of 0.3%.</w:t>
      </w:r>
    </w:p>
    <w:p>
      <w:pPr>
        <w:spacing w:after="0" w:line="86"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BLS revenues for the three months ended September 30, 2024, were $737.7, an increase of 2.6% over $719.1 in the third quarter of 2023. The increase was due to organic growth of 2.0% and favorable foreign currency translation of 0.6%.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3"/>
        </w:trPr>
        <w:tc>
          <w:tcPr>
            <w:tcW w:w="1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9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40" w:type="dxa"/>
            <w:vAlign w:val="bottom"/>
          </w:tcPr>
          <w:p>
            <w:pPr>
              <w:spacing w:after="0"/>
              <w:rPr>
                <w:sz w:val="19"/>
                <w:szCs w:val="19"/>
                <w:color w:val="auto"/>
              </w:rPr>
            </w:pPr>
          </w:p>
        </w:tc>
      </w:tr>
      <w:tr>
        <w:trPr>
          <w:trHeight w:val="23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88"/>
        </w:trPr>
        <w:tc>
          <w:tcPr>
            <w:tcW w:w="1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13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increased 7.8% during the three months ended September 30, 2024, as compared with the corresponding period in 2023. Cost of revenues as a percentage of revenues during the three months ended September 30, 2024, increased to 72.4% as compared to 72.2% in the corresponding period in 2023. This increase in cost of revenues as a percent of revenues was primarily due to higher personnel costs and the impact of the Invitae transaction, partially offset by demand and LaunchPad savings.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568.6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was 17.3% and 17.2% during the three months ended September 30, 2024, and 2023, respectively. The increase is primarily due to higher personnel costs and the impact from Invitae, partially offset by LaunchPad savings and demand.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Amortization of Intangibles and Other Assets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7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r>
    </w:tbl>
    <w:p>
      <w:pPr>
        <w:spacing w:after="0" w:line="128"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3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160" w:type="dxa"/>
            <w:vAlign w:val="bottom"/>
            <w:tcBorders>
              <w:top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5"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no impairment charges during the three months ended September 30, 2024. The Company recorded impairment charges of $10.2 in intangible assets during the three months ended September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138.9 %</w:t>
            </w: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recorded net restructuring and other charges of $18.0. The charges were comprised of $19.3 related to severance and other personnel costs. The charges were adjusted by the reversal of a previously established liability of $1.2 in unused severance-related costs and $0.1 in unused facility-related costs.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recorded net restructuring and other charges of $7.5. The charges were comprised of $11.2 related to severance and other personnel costs and $0.9 in facility closures, lease terminations, and general integration activities. The charges were adjusted by the reversal of a previously established liability of $0.1 in unused severance liabilities and the increase of a previously established liability of $4.5 in facility-related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bl>
    <w:p>
      <w:pPr>
        <w:spacing w:after="0" w:line="128"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interest expense remained relatively flat as compared to the same period in 2023. There was a decrease in interest expense related to the repayment of the November 2023 $300.0 senior notes which was offset by increased interest expense related to the revolving credit facility and the new accounts receivable securitization facility (AR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6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r>
    </w:tbl>
    <w:p>
      <w:pPr>
        <w:spacing w:after="0" w:line="128" w:lineRule="exact"/>
        <w:rPr>
          <w:sz w:val="20"/>
          <w:szCs w:val="20"/>
          <w:color w:val="auto"/>
        </w:rPr>
      </w:pPr>
    </w:p>
    <w:p>
      <w:pPr>
        <w:jc w:val="both"/>
        <w:ind w:right="100" w:firstLine="321"/>
        <w:spacing w:after="0" w:line="257" w:lineRule="auto"/>
        <w:rPr>
          <w:sz w:val="20"/>
          <w:szCs w:val="20"/>
          <w:color w:val="auto"/>
        </w:rPr>
      </w:pPr>
      <w:r>
        <w:rPr>
          <w:rFonts w:ascii="Times New Roman" w:cs="Times New Roman" w:eastAsia="Times New Roman" w:hAnsi="Times New Roman"/>
          <w:sz w:val="18"/>
          <w:szCs w:val="18"/>
          <w:color w:val="auto"/>
        </w:rPr>
        <w:t>Equity method income (expense) represents the Company's ownership share in joint venture partnerships along with equity investments in other companies in the health care industry. The decrease in income for the three months ended September 30, 2024, as compared with the corresponding period in 2023, was partially due to the sale of the Company's interest in one joint venture and the acquisition of the remaining interest in another joint venture during 2023.</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r>
    </w:tbl>
    <w:p>
      <w:pPr>
        <w:spacing w:after="0" w:line="115" w:lineRule="exact"/>
        <w:rPr>
          <w:sz w:val="20"/>
          <w:szCs w:val="20"/>
          <w:color w:val="auto"/>
        </w:rPr>
      </w:pPr>
    </w:p>
    <w:p>
      <w:pPr>
        <w:jc w:val="both"/>
        <w:ind w:right="100" w:firstLine="281"/>
        <w:spacing w:after="0" w:line="254" w:lineRule="auto"/>
        <w:rPr>
          <w:sz w:val="20"/>
          <w:szCs w:val="20"/>
          <w:color w:val="auto"/>
        </w:rPr>
      </w:pPr>
      <w:r>
        <w:rPr>
          <w:rFonts w:ascii="Times New Roman" w:cs="Times New Roman" w:eastAsia="Times New Roman" w:hAnsi="Times New Roman"/>
          <w:sz w:val="18"/>
          <w:szCs w:val="18"/>
          <w:color w:val="auto"/>
        </w:rPr>
        <w:t>The change in Other, net for the three months ended September 30, 2024, as compared to the three months ended September 30, 2023, is partially due to a decrease of $4.3 of transition services fees charged to Fortrea related to administrative and IT systems support. The costs to provide these services are included in operating income but the service fees are included in other income. In addition, the Company recorded investment losses of $1.6 for the three months ended September 30, 2024 compared to investment gains of $4.0 for the corresponding period of 2023. Foreign currency transaction losses of $10.0 were recognized for the three months ended September 30, 2024, as compared to losses of $2.8 for the corresponding period of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12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19.5 %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23.1 %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09"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The year-over-year decrease in the effective tax rate for the three months ended September 30 is primarily attributable to the relative geographical mix of earnings among domestic and foreign entities resulting in favorable foreign rate differentials along with year-over-year increases in the U.S. research and development tax credits.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00"/>
        </w:trPr>
        <w:tc>
          <w:tcPr>
            <w:tcW w:w="3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0" w:type="dxa"/>
            <w:vAlign w:val="bottom"/>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7"/>
        </w:trPr>
        <w:tc>
          <w:tcPr>
            <w:tcW w:w="320" w:type="dxa"/>
            <w:vAlign w:val="bottom"/>
          </w:tcPr>
          <w:p>
            <w:pPr>
              <w:spacing w:after="0"/>
              <w:rPr>
                <w:sz w:val="19"/>
                <w:szCs w:val="19"/>
                <w:color w:val="auto"/>
              </w:rPr>
            </w:pPr>
          </w:p>
        </w:tc>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r>
      <w:tr>
        <w:trPr>
          <w:trHeight w:val="220"/>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0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7"/>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0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0"/>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Dx operating income was $387.4 for the three months ended September 30, 2024, an increase of $1.1 over operating income of $386.3 in the corresponding period of 2023, and Dx operating margin decreased 130 basis points year-over-year. The decrease in operating margin was due to the Invitae transaction and the unfavorable impact of weather and days.</w:t>
      </w:r>
    </w:p>
    <w:p>
      <w:pPr>
        <w:spacing w:after="0" w:line="84"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BLS operating income was $120.9 for the three months ended September 30, 2024, an increase of $11.9 over operating income of $109.0 in the corresponding period of 2023, and BLS operating margin increased 120 basis points year-over-year. The increase was due to organic growth and LaunchPad savings, partially offset by higher personnel costs.</w:t>
      </w:r>
    </w:p>
    <w:p>
      <w:pPr>
        <w:spacing w:after="0" w:line="84" w:lineRule="exact"/>
        <w:rPr>
          <w:sz w:val="20"/>
          <w:szCs w:val="20"/>
          <w:color w:val="auto"/>
        </w:rPr>
      </w:pPr>
    </w:p>
    <w:p>
      <w:pPr>
        <w:jc w:val="both"/>
        <w:ind w:right="100" w:firstLine="280"/>
        <w:spacing w:after="0" w:line="257" w:lineRule="auto"/>
        <w:rPr>
          <w:sz w:val="20"/>
          <w:szCs w:val="20"/>
          <w:color w:val="auto"/>
        </w:rPr>
      </w:pPr>
      <w:r>
        <w:rPr>
          <w:rFonts w:ascii="Times New Roman" w:cs="Times New Roman" w:eastAsia="Times New Roman" w:hAnsi="Times New Roman"/>
          <w:sz w:val="18"/>
          <w:szCs w:val="18"/>
          <w:color w:val="auto"/>
        </w:rPr>
        <w:t>General corporate, unallocated expenses, and other are comprised primarily of administrative services such as executive management, human resources, legal, finance, corporate affairs, and information technology. General corporate and unallocated expenses were $172.5 for the three months ended September 30, 2024, an increase of $2.9 over corporate expenses of $169.6 in the corresponding period of 2023, primarily due to costs related to acquisitions and personnel costs.</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remains on track to deliver approximately $100.0 to $125.0 of Launchpad savings in fiscal 2024.</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4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860"/>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3"/>
        </w:trPr>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 w:type="dxa"/>
            <w:vAlign w:val="bottom"/>
          </w:tcPr>
          <w:p>
            <w:pPr>
              <w:spacing w:after="0"/>
              <w:rPr>
                <w:sz w:val="19"/>
                <w:szCs w:val="19"/>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7"/>
        </w:trPr>
        <w:tc>
          <w:tcPr>
            <w:tcW w:w="4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2,155.6</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7"/>
        </w:trPr>
        <w:tc>
          <w:tcPr>
            <w:tcW w:w="40" w:type="dxa"/>
            <w:vAlign w:val="bottom"/>
          </w:tcPr>
          <w:p>
            <w:pPr>
              <w:spacing w:after="0"/>
              <w:rPr>
                <w:sz w:val="19"/>
                <w:szCs w:val="19"/>
                <w:color w:val="auto"/>
              </w:rPr>
            </w:pPr>
          </w:p>
        </w:tc>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r>
      <w:tr>
        <w:trPr>
          <w:trHeight w:val="220"/>
        </w:trPr>
        <w:tc>
          <w:tcPr>
            <w:tcW w:w="4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9,679.5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increase in revenues for the nine months ended September 30, 2024, as compared with the corresponding period in 2023 was 6.0%. The increase was due to organic revenue of 3.4%, acquisitions, net of divestitures, of 2.4%, and favorable foreign currency translation of 0.2%. The 3.4% increase in organic revenue was driven by a 4.5% increase in the Company's organic Base Business, partially offset by a 1.1% decrease in COVID-19 Testing.</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revenues for the nine months ended September 30, 2024, were $7,558.1, an increase of 6.9% over $7,068.3 during the nine months ended September 30, 2023. The increase was due to organic revenue of 3.8% and acquisitions, net of divestitures, of 3.2%. The 3.8% increase in organic growth was due to a 5.2% increase in the Base Business, partially offset by a 1.4% decrease in COVID-19 Testing. Total Base Business growth compared to the Base Business in the prior year was 8.5%.</w:t>
      </w:r>
    </w:p>
    <w:p>
      <w:pPr>
        <w:spacing w:after="0" w:line="10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Dx total volume (measured by requisitions) for the nine months ended September 30, 2024, increased by 4.7% as acquisition volume, net of divestitures, contributed 2.6%, while organic volume increased by 2.1%. Organic volume was up due to a 2.9% increase in the Base Business, partially offset by a 0.8% decrease in COVID-19 Testing. Price/mix increased by 2.2% due to organic Base Business growth of 2.3% and acquisitions, net of divestitures of 0.5%, partially offset by a decrease in COVID-19 Testing of 0.6%. Base Business volume increased 5.6% compared to the Base Business last year. Price/mix was up 2.9% in the Base Business compared to the Base Business last year.</w:t>
      </w:r>
    </w:p>
    <w:p>
      <w:pPr>
        <w:spacing w:after="0" w:line="91"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BLS revenues for the nine months ended September 30, 2024, were $2,155.6, an increase of 3.7% over $2,079.4 during the nine months ended September 30, 2023. The increase was due to organic growth of 2.7% and favorable foreign currency translation of 0.9%.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increased 5.6% during the nine months ended September 30, 2024, as compared with the corresponding period in 2023. Cost of revenues as a percentage of revenues during the nine months ended September 30, 2024, decreased to 71.8% as compared to 72.1% in the corresponding period in 2023. This decrease in cost of revenues as a percent of revenues was primarily due to demand, LaunchPad savings, and CDCS costs in 2023 that do not qualify as discontinued operations, largely offset by higher personnel costs, lower COVID-19 Testing, and the impact from the Invitae transaction.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16.9% and 16.3% during the nine months ended September 30, 2024, and 2023, respectively. The increase is primarily due to higher personnel costs, a reduction in COVID-19 Testing revenues, and the impact from the Invitae transaction, partially offset by LaunchPad savings and demand.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Amortization of Intangibles and Other Assets</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3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128" w:lineRule="exact"/>
        <w:rPr>
          <w:sz w:val="20"/>
          <w:szCs w:val="20"/>
          <w:color w:val="auto"/>
        </w:rPr>
      </w:pPr>
    </w:p>
    <w:p>
      <w:pPr>
        <w:ind w:firstLine="280"/>
        <w:spacing w:after="0" w:line="276"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6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3"/>
        </w:trPr>
        <w:tc>
          <w:tcPr>
            <w:tcW w:w="5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bl>
    <w:p>
      <w:pPr>
        <w:spacing w:after="0" w:line="195"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impairment charges of $2.5 related to a decommissioned robotic asset during the nine months ended September 30, 2024. The Company recorded impairment charges of $15.2 in capitalized software costs and other intangible assets nine months ended September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42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net restructuring and other charges of $34.6. The charges were comprised of $34.4 related to severance and other personnel costs and $1.8 in facility-related costs. The charges were adjusted by the reversal of a previously established liability of $1.2 in unused severance-related costs and $0.4 in unused facility-related costs.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recorded net restructuring and other charges of $30.8. The charges were comprised of $20.4 related to severance and other personnel costs and $14.0 in facility closures, lease terminations, and general integration activities. The charges were adjusted by the reversal of a previously established liability of $1.1 in unused severance liabilities and the increase of a previously established liability of $2.5 in facility-related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decrease in interest expense for the nine months ended September 30, 2024, as compared with the corresponding period in 2023, is primarily due to the repayment of the November 2023 $300.0 senior notes.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bl>
    <w:p>
      <w:pPr>
        <w:spacing w:after="0" w:line="11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Equity method income (expense) represents the Company's ownership share in joint venture partnerships along with equity investments in other companies in the health care industry. The decrease in equity method expense for the nine months ended September 30, 2024, as compared with the corresponding period in 2023, was partially due to the sale of the Company's interest in one joint venture and the acquisition of the remaining interest in another joint venture during 2023.</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1,721.5 %</w:t>
            </w:r>
          </w:p>
        </w:tc>
      </w:tr>
    </w:tbl>
    <w:p>
      <w:pPr>
        <w:spacing w:after="0" w:line="62"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8"/>
          <w:szCs w:val="18"/>
          <w:color w:val="auto"/>
        </w:rPr>
        <w:t>The change in Other, net for the nine months ended September 30, 2024, as compared to the nine months ended September 30, 2023, is primarily due to $41.0 of additional transition services fees charged to Fortrea related to administrative and IT systems support during the nine months ended September 30, 2024 as compared to the same period in 2023. The costs to provide these services are included in operating income but the service fees are included in other income. In addition, the Company recorded investment losses of $7.3 for the nine months ended September 30, 2024 compared to investment losses of $1.6 for the corresponding period of 2023. Foreign currency transaction losses of $15.2 were recognized for the nine months ended September 30, 2024, as compared to losses of $8.6 for the corresponding period of 2023. The Company also recorded a $4.9 gain on the sale of the assets of its Beacon Laboratory Benefit Solutions, Inc. business in 2024.</w:t>
      </w: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4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60"/>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2"/>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right="100" w:firstLine="280"/>
        <w:spacing w:after="0" w:line="306" w:lineRule="auto"/>
        <w:rPr>
          <w:sz w:val="20"/>
          <w:szCs w:val="20"/>
          <w:color w:val="auto"/>
        </w:rPr>
      </w:pPr>
      <w:r>
        <w:rPr>
          <w:rFonts w:ascii="Times New Roman" w:cs="Times New Roman" w:eastAsia="Times New Roman" w:hAnsi="Times New Roman"/>
          <w:sz w:val="17"/>
          <w:szCs w:val="17"/>
          <w:color w:val="auto"/>
        </w:rPr>
        <w:t>The current year and prior year effective tax rate differs from the U.S. federal statutory rate of 21.0% primarily due to state income taxes and the disallowance of certain executive compensation, which were partially offset by research and development tax credits and favorable foreign rate differentials.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pacing w:after="0" w:line="142"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remaining unallocated costs of the CDCS business, COVID-19-related costs, and other special items. These changes align with how the CODM now evaluates segment performance and allocates resources. Prior periods have been conformed for comparability.</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3"/>
        </w:trPr>
        <w:tc>
          <w:tcPr>
            <w:tcW w:w="5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r>
      <w:tr>
        <w:trPr>
          <w:trHeight w:val="22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1,524.7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848.4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Dx operating income was $1,246.8 for the nine months ended September 30, 2024, an increase of $9.3 over operating income of $1,237.5 in the corresponding period of 2023, and Dx operating margin decreased 100 basis points year-over-year. The decrease in operating margin was due to a reduction in COVID-19 Testing, higher personnel costs, and the impact from the Invitae transaction, partially offset by growth in the Base Business.</w:t>
      </w:r>
    </w:p>
    <w:p>
      <w:pPr>
        <w:spacing w:after="0" w:line="84"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BLS operating income was $328.2 for the nine months ended September 30, 2024, an increase of $41.0 over operating income of $287.2 in the corresponding period of 2023, and BLS operating margin increased 140 basis points year-over-year. The increase was due to organic growth and LaunchPad savings, partially offset by higher personnel expense.</w:t>
      </w:r>
    </w:p>
    <w:p>
      <w:pPr>
        <w:spacing w:after="0" w:line="84"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$481.7 for the nine months ended September 30, 2024, an increase of $12.0 over corporate expenses of $469.7 in the corresponding period of 2023, primarily due to costs related to acquisitions, and personnel costs.</w:t>
      </w:r>
    </w:p>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remains on track to deliver approximately $100.0 to $125.0 of Launchpad savings in fiscal 2024.</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128" w:lineRule="exact"/>
        <w:rPr>
          <w:sz w:val="20"/>
          <w:szCs w:val="20"/>
          <w:color w:val="auto"/>
        </w:rPr>
      </w:pPr>
    </w:p>
    <w:p>
      <w:pPr>
        <w:jc w:val="both"/>
        <w:ind w:right="100" w:firstLine="280"/>
        <w:spacing w:after="0" w:line="254" w:lineRule="auto"/>
        <w:rPr>
          <w:sz w:val="20"/>
          <w:szCs w:val="20"/>
          <w:color w:val="auto"/>
        </w:rPr>
      </w:pPr>
      <w:r>
        <w:rPr>
          <w:rFonts w:ascii="Times New Roman" w:cs="Times New Roman" w:eastAsia="Times New Roman" w:hAnsi="Times New Roman"/>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and beyond. The Company's senior unsecured revolving credit facility is further discussed in Note 7 (Debt) to the Company's condensed consolidated financial statements.</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In summary, the Company's cash flows from continuing operations were as follows for the nine months ended September 30, 2024, and 2023, respectively: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3"/>
        </w:trPr>
        <w:tc>
          <w:tcPr>
            <w:tcW w:w="7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 from continuing operations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 by (used for) financing activities from continuing operations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27"/>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5"/>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from continuing operations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Cash and cash equivalents at September 30, 2024, and 2023, totaled $1,517.3 and $727.9, respectively. Cash and cash equivalents consist of highly liquid instruments, such as time deposits, commercial paper, and other money market investments, which have original maturities of three months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Company's continuing operations used $808.6 of cash as compared to providing $622.7 during the same period in 2023. The $185.9 increase in cash provided from operations in 2024 as compared with the corresponding 2023 period is primarily due to higher cash earnings.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cash used for investing activities from continuing operations for the nine months ended September 30, 2024, was $1,157.2 as compared to $816.2 for the nine months ended September 30, 2023. The change in cash used for investing activities was primarily due to an increase in business acquisitions and higher capital expenditures during the nine months ended September 30, 2024. Capital expenditures were $377.8 and $286.4 for the nine months ended September 30, 2024, and 2023, respectively.</w:t>
      </w:r>
    </w:p>
    <w:p>
      <w:pPr>
        <w:spacing w:after="0" w:line="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$155.9 (€140.0). The transaction is anticipated to close in early 2025, subject to customary closing conditions for a transaction of this type, including applicable regulatory approvals. The Company will acquire the minority interest through an intermediate holding company that will be established to hold the investment with SYNLAB and will be represented on the holding company board with Cinven, Inc. and other investors.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for the nine months ended September 30, 2024, was $1,326.6 as compared to net cash used for financing activities of $1,112.5 for the nine months ended September 30, 2023. The change in cash flows from financing activities from continuing operations for the nine months ended September 30, 2024, as compared to the nine months ended September 30, 2023, was primarily due to $2,000.0 of proceeds for new debt securities, and $300.0 of proceeds for the AR Facility, offset by the $600.0 payment of the 3.25% senior notes due September 2024.</w:t>
      </w:r>
    </w:p>
    <w:p>
      <w:pPr>
        <w:spacing w:after="0" w:line="10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On September 23, 2024, LCAH entered into an indenture with U.S. Bank Trust Company, National Association, as trustee (the Trustee) (the Indenture). Also, on September 23, 2024, the Company, LCAH, and the Trustee entered into certain first, second, and third supplemental indentures to the Indenture under each of which LCAH issued, and the Company guaranteed, $650.0 aggregate principal amount of 4.35% Senior Notes due 2030 (the 2030 Notes), $500.0 aggregate principal amount of 4.55% Senior Notes due 2032 (the 2032 Notes) and $850.0 aggregate principal amount of 4.80% Senior Notes due 2034, respectively (the 2034 Notes and, together with the 2030 Notes and the 2032 Notes, the Notes), totaling $2,000.0. Interest on the Notes is payable semi-annually on April 1 and October 1 of each year, commencing April 1, 2025. Net proceeds from the offering of the Notes were approximately $1,982.1 after deducting underwriting discounts and other estimated expenses of the offering. The net proceeds were used to redeem or repay indebtedness and, to the extent not used for such purpose, for other general corporate purposes. Indebtedness redeemed or repaid at or prior to maturity were the Company's 2.30% senior notes due 2024, its 3.60% senior notes due 2025 and $350.0 of borrowings under its revolving credit facility.</w:t>
      </w:r>
    </w:p>
    <w:p>
      <w:pPr>
        <w:spacing w:after="0" w:line="9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entered into an AR Facility with PNC Bank, National Association with a three-year term. The AR Facility provides for purchases of accounts receivable by PNC in an amount of up to $300.0 through August of 2027 and may increase to up to $700.0, subject to the satisfaction of certain conditions.</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loan proceeds of $300.0 under the AR Facility, which is included in cash from financing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September 30, 2024, the Company had $1,517.3 of cash and $1,000.0 of available borrowings under its revolving credit facility, which does not mature until 2026. Under the Company's credit facilities and indentures relating to the Company's senior notes, the Company is subject to negative covenants limiting subsidiary indebtedness and certain other covenants typical for investment grade-rated borrowers , and with respect to the credit facilities, the Company is required to maintain certain leverage ratios. The Company was in compliance with all covenants under the credit facilities and the indentures related to the Company's outstanding senior notes at September 30, 2024. The Company expects that it will remain in compliance with all covenants associated with its existing debt obligations for the next twelve months.</w:t>
      </w:r>
    </w:p>
    <w:p>
      <w:pPr>
        <w:spacing w:after="0" w:line="10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July 24, 2024, the Board adopted a new share repurchase plan authorizing up to $1,000.0 of the Company's shares in addition to the remaining amount outstanding under the previous plan. As of September 30, 2024, the Company had outstanding authorization from the board of directors to purchase up to $1,355.4 of the Company's common stock.</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2024, the Company paid $183.0 in common stock dividends. On October 10, 2024, the Company announced a cash dividend of $0.72 per share of common stock for the fourth quarter, or approximately $61.0 in the aggregate. The dividend will be payable on December 13, 2024, to stockholders of record of all issued and outstanding shares of common stock as of the close of business on November 26, 2024. The declaration and payment of any future dividends will be at the discretion of the Company’s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4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Company, </w:t>
      </w:r>
      <w:r>
        <w:rPr>
          <w:rFonts w:ascii="Times New Roman" w:cs="Times New Roman" w:eastAsia="Times New Roman" w:hAnsi="Times New Roman"/>
          <w:sz w:val="21"/>
          <w:szCs w:val="21"/>
          <w:color w:val="auto"/>
        </w:rPr>
        <w:t>LCAH</w:t>
      </w:r>
      <w:r>
        <w:rPr>
          <w:rFonts w:ascii="Times New Roman" w:cs="Times New Roman" w:eastAsia="Times New Roman" w:hAnsi="Times New Roman"/>
          <w:sz w:val="18"/>
          <w:szCs w:val="18"/>
          <w:color w:val="auto"/>
        </w:rPr>
        <w:t xml:space="preserve"> and the Trustee entered into a seventeenth supplemental indenture (the Seventeenth Supplemental Indenture) to an indenture, dated as of November 19, 2010, between LCAH and the Trustee (the 2010 Indenture). In addition, the Company,</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LCAH </w:t>
      </w:r>
      <w:r>
        <w:rPr>
          <w:rFonts w:ascii="Times New Roman" w:cs="Times New Roman" w:eastAsia="Times New Roman" w:hAnsi="Times New Roman"/>
          <w:sz w:val="17"/>
          <w:szCs w:val="17"/>
          <w:color w:val="auto"/>
        </w:rPr>
        <w:t>and the Trustee entered into the 2024 Indenture (the 2010 Indenture, together with the 2024 Indenture, the Indentures). The Seventeenth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financial statements and other information comply with the requirements of Rule 3-10 of Regulation S-X and the Exchange Act (Regulation S-X).</w:t>
      </w:r>
    </w:p>
    <w:p>
      <w:pPr>
        <w:spacing w:after="0" w:line="30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of September 30, 2024, there was $4,492.9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we have excluded the summarized financial information for LCAH because the assets, liabilities and results of operations of LCAH are not materially different than the corresponding amounts in the Company’s consolidated financial statements and management believes such summarized financial information would be repetitive and would not provide incremental value to investors.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from Standard and Poor’s (S&amp;P) contribute to its ability to access capital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28"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Approximately 13.6% of the Company’s revenues for the nine months ended September 30, 2024, and approximately 13.7% of the Company’s revenue for the nine months ended September 30, 2023,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third quarter of 2024 and the year ended December 31, 2023, the most significant currency exchange rate exposures were to the Canadian dollar, Swiss Franc, Euro and British Pound. Excluding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impacts from any outstanding or future hedging transactions, a hypothetical change of 10% in average exchange rates used to translate all foreign currencies to USD would have impacted income before income taxes for the nine months ended September 30, 2024, by approximately $20.8. Gross accumulated currency translation adjustments recorded as a separate component of shareholders’ equity were $78.3 and $(56.0) for the quarter ended September 30, 2024 and 2023, respectively. The Company does not have significant operations in countries in which the economy is considered to be highly inflationary.</w:t>
      </w:r>
    </w:p>
    <w:p>
      <w:pPr>
        <w:spacing w:after="0" w:line="8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2024, the Company had 9 open foreign exchange forward contracts with various amounts maturing monthly through October 2024 with a notional value totaling approximately $382.0. At December 31, 2023, the Company had 9 open foreign exchange forward contracts with various amounts maturing monthly through January 2024 with a notional value totaling approximately $305.8.</w:t>
      </w:r>
    </w:p>
    <w:p>
      <w:pPr>
        <w:spacing w:after="0" w:line="91"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is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4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7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SOFR plus 1.0706%.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September 30,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340" w:firstLine="240"/>
        <w:spacing w:after="0" w:line="276" w:lineRule="auto"/>
        <w:rPr>
          <w:sz w:val="20"/>
          <w:szCs w:val="20"/>
          <w:color w:val="auto"/>
        </w:rPr>
      </w:pPr>
      <w:r>
        <w:rPr>
          <w:rFonts w:ascii="Times New Roman" w:cs="Times New Roman" w:eastAsia="Times New Roman" w:hAnsi="Times New Roman"/>
          <w:sz w:val="18"/>
          <w:szCs w:val="18"/>
          <w:color w:val="auto"/>
        </w:rPr>
        <w:t>See Note 9 (Commitments and Contingencies) to the Company’s condensed consolidated financial statements, above,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on Form 10-K for the year ended December 31, 2023. With the exception of the following, there have been no material changes in the risk factors that appear in the Company's Annual Report on Form 10-K for the year ended December 31, 2023.</w:t>
      </w:r>
    </w:p>
    <w:p>
      <w:pPr>
        <w:spacing w:after="0" w:line="9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b w:val="1"/>
          <w:bCs w:val="1"/>
          <w:color w:val="auto"/>
        </w:rPr>
        <w:t>U.S. Food and Drug Administration (FDA) regulation of diagnostic products, increased FDA regulation of laboratory-developed tests (LDTs), and regulation by other countries of diagnostic tests and related products could result in increased costs and the imposition of fines or penalties, and could have a material adverse effect upon the Company’s business.</w:t>
      </w:r>
    </w:p>
    <w:p>
      <w:pPr>
        <w:spacing w:after="0" w:line="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8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8"/>
          <w:szCs w:val="18"/>
          <w:color w:val="auto"/>
        </w:rPr>
        <w:t>LDTs developed by high complexity clinical laboratories are currently generally offered as services to health care providers under the CLIA regulatory framework administered by CMS, without the requirement for FDA clearance or approval. However, 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was not finalized, and the FDA instead continued its enforcement discretion policy and indicated that it intended to work with Congress to enact comprehensive legislative reform of diagnostics oversight. In February 2020, the FDA issued a statement with a table of pharmacogenetic associations setting forth certain gene-drug interactions that the agency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it could take enforcement actions under the current medical device framework regarding diagnostic claims the agency determines not to be sufficiently supported. In addition, in 2021, the Verifying Accurate, Leading-edge, IVCT Development (VALID) Act was introduced in Congress and provided a framework to regulate in vitro diagnostics and LDTs as in vitro clinical tests. In 2022, the VALID Act was incorporated into the Senate user fee bill but was not included in the year-end Consolidated Appropriations Act of 2022. On March 29, 2023, the VALID Act was reintroduced and remains pending. On April 29, 2024, the FDA released a final rule purporting to clarify its authority to regulate LDTs as medical devices under the federal Food, Drug, and Cosmetic Act, under which it will phase out its general enforcement discretion approach for LDTs under a four-year period subject to certain continuing enforcement discretion policies. More specifically, among other policies, the final rule provides that the FDA will continue to exercise discretion not to enforce premarket review and most FDA quality system requirements for unmodified LDTs first marketed prior to issuance of the final rule; will continue to exercise discretion not to enforce premarket review requirements for LDTs approved by the State of New York; and will continue to exercise discretion not to enforce premarket review and most FDA quality system requirements for LDTs developed and performed by a laboratory integrated into a health system for unmet needs for patients under the care of the same health system, where no FDA cleared or approved test is available. The final rule was published on May 6, 2024, and in the absence of a successful legal challenge, will become effective on May 6, 2025. On May 29, 2024, the American Clinical Laboratory Association (ACLA) and its member company, HealthTrackRx, filed a lawsuit against the FDA in the United States District Court for the Eastern District of Texas, challenging the FDA's final rule. While the lawsuit may change the final rule or delay or prevent its enforcement, the issuance of the final rule presents an increased risk of FDA enforcement actions for laboratory tests offered by companies without FDA clearance or approval that do not fall within the ongoing enforcement discretion policies. However, the outcome and its ultimate impact on the Company’s business remain difficult to predict at this time.</w:t>
      </w:r>
    </w:p>
    <w:p>
      <w:pPr>
        <w:spacing w:after="0" w:line="11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the potential for future increased regulation of the Company’s LDTs could result in increased costs and administrative and legal actions for noncompliance, including warning letters, fines, penalties, product suspensions, product recalls, injunctions, and other civil and criminal sanctions, and could impair the development and commercialization of new tests, which could have a material adverse effect upon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Regulation of diagnostics products in jurisdictions outside the U.S. in which the Company operates may impact laboratory testing offered by the Company in both Dx and BLS. For example, the European Union In Vitro Diagnostics Regulation (Regulation (EU) 2017/746 (EU IVDR)) established a new legislative framework for in vitro diagnostic devices that are used in certain circumstances, and includes a rule-based classification and quality and safety standards. The EU IVDR, where applicable to BLS's services, could impact BLS's ability to support trials, result in increased costs and administrative and legal actions, and have an adverse effect.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During  the  three  months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ended  September  30,  2024,  the</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Company</w:t>
            </w:r>
          </w:p>
        </w:tc>
        <w:tc>
          <w:tcPr>
            <w:tcW w:w="2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repurchased  the  following  shares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its  common  stock:</w:t>
            </w:r>
          </w:p>
        </w:tc>
        <w:tc>
          <w:tcPr>
            <w:tcW w:w="0" w:type="dxa"/>
            <w:vAlign w:val="bottom"/>
          </w:tcPr>
          <w:p>
            <w:pPr>
              <w:spacing w:after="0"/>
              <w:rPr>
                <w:sz w:val="1"/>
                <w:szCs w:val="1"/>
                <w:color w:val="auto"/>
              </w:rPr>
            </w:pPr>
          </w:p>
        </w:tc>
      </w:tr>
      <w:tr>
        <w:trPr>
          <w:trHeight w:val="199"/>
        </w:trPr>
        <w:tc>
          <w:tcPr>
            <w:tcW w:w="2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80"/>
              <w:spacing w:after="0" w:line="199" w:lineRule="exact"/>
              <w:rPr>
                <w:sz w:val="20"/>
                <w:szCs w:val="20"/>
                <w:color w:val="auto"/>
              </w:rPr>
            </w:pPr>
            <w:r>
              <w:rPr>
                <w:rFonts w:ascii="Times New Roman" w:cs="Times New Roman" w:eastAsia="Times New Roman" w:hAnsi="Times New Roman"/>
                <w:sz w:val="18"/>
                <w:szCs w:val="18"/>
                <w:color w:val="auto"/>
                <w:w w:val="97"/>
              </w:rPr>
              <w:t>Total Number of Shares</w:t>
            </w:r>
          </w:p>
        </w:tc>
        <w:tc>
          <w:tcPr>
            <w:tcW w:w="200" w:type="dxa"/>
            <w:vAlign w:val="bottom"/>
          </w:tcPr>
          <w:p>
            <w:pPr>
              <w:spacing w:after="0"/>
              <w:rPr>
                <w:sz w:val="17"/>
                <w:szCs w:val="17"/>
                <w:color w:val="auto"/>
              </w:rPr>
            </w:pPr>
          </w:p>
        </w:tc>
        <w:tc>
          <w:tcPr>
            <w:tcW w:w="2100" w:type="dxa"/>
            <w:vAlign w:val="bottom"/>
          </w:tcPr>
          <w:p>
            <w:pPr>
              <w:jc w:val="center"/>
              <w:ind w:right="91"/>
              <w:spacing w:after="0" w:line="199" w:lineRule="exact"/>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200" w:type="dxa"/>
            <w:vAlign w:val="bottom"/>
          </w:tcPr>
          <w:p>
            <w:pPr>
              <w:spacing w:after="0"/>
              <w:rPr>
                <w:sz w:val="15"/>
                <w:szCs w:val="15"/>
                <w:color w:val="auto"/>
              </w:rPr>
            </w:pPr>
          </w:p>
        </w:tc>
        <w:tc>
          <w:tcPr>
            <w:tcW w:w="2100" w:type="dxa"/>
            <w:vAlign w:val="bottom"/>
          </w:tcPr>
          <w:p>
            <w:pPr>
              <w:jc w:val="center"/>
              <w:ind w:right="91"/>
              <w:spacing w:after="0" w:line="173" w:lineRule="exact"/>
              <w:rPr>
                <w:sz w:val="20"/>
                <w:szCs w:val="20"/>
                <w:color w:val="auto"/>
              </w:rPr>
            </w:pPr>
            <w:r>
              <w:rPr>
                <w:rFonts w:ascii="Times New Roman" w:cs="Times New Roman" w:eastAsia="Times New Roman" w:hAnsi="Times New Roman"/>
                <w:sz w:val="18"/>
                <w:szCs w:val="18"/>
                <w:color w:val="auto"/>
                <w:w w:val="97"/>
              </w:rPr>
              <w:t>Shares that May Yet Be</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5"/>
              </w:rPr>
              <w:t>Shares</w:t>
            </w:r>
          </w:p>
        </w:tc>
        <w:tc>
          <w:tcPr>
            <w:tcW w:w="320" w:type="dxa"/>
            <w:vAlign w:val="bottom"/>
          </w:tcPr>
          <w:p>
            <w:pPr>
              <w:spacing w:after="0"/>
              <w:rPr>
                <w:sz w:val="16"/>
                <w:szCs w:val="16"/>
                <w:color w:val="auto"/>
              </w:rPr>
            </w:pPr>
          </w:p>
        </w:tc>
        <w:tc>
          <w:tcPr>
            <w:tcW w:w="12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18"/>
                <w:szCs w:val="18"/>
                <w:color w:val="auto"/>
              </w:rPr>
              <w:t>Average Price</w:t>
            </w:r>
          </w:p>
        </w:tc>
        <w:tc>
          <w:tcPr>
            <w:tcW w:w="206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200" w:type="dxa"/>
            <w:vAlign w:val="bottom"/>
          </w:tcPr>
          <w:p>
            <w:pPr>
              <w:spacing w:after="0"/>
              <w:rPr>
                <w:sz w:val="16"/>
                <w:szCs w:val="16"/>
                <w:color w:val="auto"/>
              </w:rPr>
            </w:pPr>
          </w:p>
        </w:tc>
        <w:tc>
          <w:tcPr>
            <w:tcW w:w="2100" w:type="dxa"/>
            <w:vAlign w:val="bottom"/>
          </w:tcPr>
          <w:p>
            <w:pPr>
              <w:jc w:val="center"/>
              <w:ind w:right="111"/>
              <w:spacing w:after="0" w:line="187" w:lineRule="exact"/>
              <w:rPr>
                <w:sz w:val="20"/>
                <w:szCs w:val="20"/>
                <w:color w:val="auto"/>
              </w:rPr>
            </w:pPr>
            <w:r>
              <w:rPr>
                <w:rFonts w:ascii="Times New Roman" w:cs="Times New Roman" w:eastAsia="Times New Roman" w:hAnsi="Times New Roman"/>
                <w:sz w:val="18"/>
                <w:szCs w:val="18"/>
                <w:color w:val="auto"/>
                <w:w w:val="98"/>
              </w:rPr>
              <w:t>Repurchased Under the</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Repurchased</w:t>
            </w:r>
          </w:p>
        </w:tc>
        <w:tc>
          <w:tcPr>
            <w:tcW w:w="3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Program</w:t>
            </w:r>
          </w:p>
        </w:tc>
        <w:tc>
          <w:tcPr>
            <w:tcW w:w="200" w:type="dxa"/>
            <w:vAlign w:val="bottom"/>
          </w:tcPr>
          <w:p>
            <w:pPr>
              <w:spacing w:after="0"/>
              <w:rPr>
                <w:sz w:val="19"/>
                <w:szCs w:val="19"/>
                <w:color w:val="auto"/>
              </w:rPr>
            </w:pPr>
          </w:p>
        </w:tc>
        <w:tc>
          <w:tcPr>
            <w:tcW w:w="21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2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4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224.91</w:t>
            </w:r>
          </w:p>
        </w:tc>
        <w:tc>
          <w:tcPr>
            <w:tcW w:w="1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0" w:type="dxa"/>
            <w:vAlign w:val="bottom"/>
          </w:tcPr>
          <w:p>
            <w:pPr>
              <w:spacing w:after="0"/>
              <w:rPr>
                <w:sz w:val="1"/>
                <w:szCs w:val="1"/>
                <w:color w:val="auto"/>
              </w:rPr>
            </w:pPr>
          </w:p>
        </w:tc>
      </w:tr>
      <w:tr>
        <w:trPr>
          <w:trHeight w:val="219"/>
        </w:trPr>
        <w:tc>
          <w:tcPr>
            <w:tcW w:w="248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top w:val="single" w:sz="8" w:color="CCEEFF"/>
            </w:tcBorders>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224.91</w:t>
            </w:r>
          </w:p>
        </w:tc>
        <w:tc>
          <w:tcPr>
            <w:tcW w:w="10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July 24, 2024, the Board adopted a new share repurchase plan authorizing up to $1,000.0 of the Company's shares in addition to the remaining amount outstanding under the previous plan. As of September 30, 2024, the Company had outstanding authorization from the board of directors to purchase up to $1,355.4 of the Company's common stock. The repurchase authorization has no expiration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2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2024,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Aggregate Number of Shares of</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3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Character of Trading Agreement</w:t>
            </w:r>
          </w:p>
        </w:tc>
        <w:tc>
          <w:tcPr>
            <w:tcW w:w="3200" w:type="dxa"/>
            <w:vAlign w:val="bottom"/>
          </w:tcPr>
          <w:p>
            <w:pPr>
              <w:jc w:val="center"/>
              <w:ind w:right="11"/>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Stock to be (Sold) Purchased</w:t>
            </w:r>
          </w:p>
        </w:tc>
        <w:tc>
          <w:tcPr>
            <w:tcW w:w="13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0" w:type="dxa"/>
            <w:vAlign w:val="bottom"/>
          </w:tcPr>
          <w:p>
            <w:pPr>
              <w:spacing w:after="0"/>
              <w:rPr>
                <w:sz w:val="1"/>
                <w:szCs w:val="1"/>
                <w:color w:val="auto"/>
              </w:rPr>
            </w:pPr>
          </w:p>
        </w:tc>
      </w:tr>
      <w:tr>
        <w:trPr>
          <w:trHeight w:val="185"/>
        </w:trPr>
        <w:tc>
          <w:tcPr>
            <w:tcW w:w="20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120" w:type="dxa"/>
            <w:vAlign w:val="bottom"/>
            <w:gridSpan w:val="2"/>
            <w:vMerge w:val="continue"/>
          </w:tcPr>
          <w:p>
            <w:pPr>
              <w:spacing w:after="0"/>
              <w:rPr>
                <w:sz w:val="16"/>
                <w:szCs w:val="16"/>
                <w:color w:val="auto"/>
              </w:rPr>
            </w:pPr>
          </w:p>
        </w:tc>
        <w:tc>
          <w:tcPr>
            <w:tcW w:w="3200" w:type="dxa"/>
            <w:vAlign w:val="bottom"/>
          </w:tcPr>
          <w:p>
            <w:pPr>
              <w:jc w:val="center"/>
              <w:ind w:right="11"/>
              <w:spacing w:after="0" w:line="185" w:lineRule="exact"/>
              <w:rPr>
                <w:sz w:val="20"/>
                <w:szCs w:val="20"/>
                <w:color w:val="auto"/>
              </w:rPr>
            </w:pPr>
            <w:r>
              <w:rPr>
                <w:rFonts w:ascii="Times New Roman" w:cs="Times New Roman" w:eastAsia="Times New Roman" w:hAnsi="Times New Roman"/>
                <w:sz w:val="18"/>
                <w:szCs w:val="18"/>
                <w:b w:val="1"/>
                <w:bCs w:val="1"/>
                <w:color w:val="auto"/>
                <w:w w:val="97"/>
              </w:rPr>
              <w:t>Pursuant to Trading Agreement</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rPr>
              <w:t xml:space="preserve">Up to   (27,276) </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H. Schechter</w:t>
            </w:r>
          </w:p>
        </w:tc>
        <w:tc>
          <w:tcPr>
            <w:tcW w:w="10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7, 2024</w:t>
            </w: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10b5-1 Trading Arrangement</w:t>
            </w:r>
          </w:p>
        </w:tc>
        <w:tc>
          <w:tcPr>
            <w:tcW w:w="10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1300" w:type="dxa"/>
            <w:vAlign w:val="bottom"/>
          </w:tcPr>
          <w:p>
            <w:pPr>
              <w:jc w:val="right"/>
              <w:spacing w:after="0" w:line="220" w:lineRule="exact"/>
              <w:rPr>
                <w:sz w:val="20"/>
                <w:szCs w:val="20"/>
                <w:color w:val="auto"/>
              </w:rPr>
            </w:pPr>
            <w:r>
              <w:rPr>
                <w:rFonts w:ascii="Times New Roman" w:cs="Times New Roman" w:eastAsia="Times New Roman" w:hAnsi="Times New Roman"/>
                <w:sz w:val="18"/>
                <w:szCs w:val="18"/>
                <w:color w:val="auto"/>
              </w:rPr>
              <w:t>8/29/2025</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10"/>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34225" cy="152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84" w:lineRule="exact"/>
        <w:rPr>
          <w:sz w:val="20"/>
          <w:szCs w:val="20"/>
          <w:color w:val="auto"/>
        </w:rPr>
      </w:pPr>
    </w:p>
    <w:p>
      <w:pPr>
        <w:ind w:left="160" w:hanging="153"/>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figure presented represents the shares to be sold on the vesting of equity awards before reduction for shares to be withheld for tax purposes</w:t>
      </w:r>
    </w:p>
    <w:p>
      <w:pPr>
        <w:spacing w:after="0" w:line="14" w:lineRule="exact"/>
        <w:rPr>
          <w:rFonts w:ascii="Times New Roman" w:cs="Times New Roman" w:eastAsia="Times New Roman" w:hAnsi="Times New Roman"/>
          <w:sz w:val="19"/>
          <w:szCs w:val="19"/>
          <w:color w:val="auto"/>
          <w:vertAlign w:val="superscript"/>
        </w:rPr>
      </w:pPr>
    </w:p>
    <w:p>
      <w:pPr>
        <w:ind w:left="240" w:right="20" w:hanging="233"/>
        <w:spacing w:after="0" w:line="272" w:lineRule="auto"/>
        <w:tabs>
          <w:tab w:leader="none" w:pos="163"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trading arrangement permits transactions through and including the earlier to occur of (a) the completion of all sales on the respective order entry date or (b) the date listed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8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5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4.1</w:t>
            </w:r>
          </w:p>
        </w:tc>
        <w:tc>
          <w:tcPr>
            <w:tcW w:w="1020" w:type="dxa"/>
            <w:vAlign w:val="bottom"/>
          </w:tcPr>
          <w:p>
            <w:pPr>
              <w:spacing w:after="0"/>
              <w:rPr>
                <w:sz w:val="16"/>
                <w:szCs w:val="16"/>
                <w:color w:val="auto"/>
              </w:rPr>
            </w:pPr>
          </w:p>
        </w:tc>
        <w:tc>
          <w:tcPr>
            <w:tcW w:w="9820" w:type="dxa"/>
            <w:vAlign w:val="bottom"/>
            <w:gridSpan w:val="23"/>
          </w:tcPr>
          <w:p>
            <w:pPr>
              <w:spacing w:after="0" w:line="19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Indenture, dated as of September 23, 2024, by and between Laboratory Corporation of America Holdings, as issuer, and U.S. Bank</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National Trust Company Association, as trustee (incorporated by reference to Exhibit 4.1 to the Company's Current Report on Form 8-</w:t>
              </w:r>
            </w:hyperlink>
          </w:p>
        </w:tc>
        <w:tc>
          <w:tcPr>
            <w:tcW w:w="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K filed on September 23, 2024)</w:t>
              </w:r>
            </w:hyperlink>
          </w:p>
        </w:tc>
        <w:tc>
          <w:tcPr>
            <w:tcW w:w="74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spacing w:after="0"/>
              <w:rPr>
                <w:sz w:val="19"/>
                <w:szCs w:val="19"/>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First Supplemental Indenture, dated as of September 23, 2024, among Laboratory Corporation of America Holdings, as issuer,</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Labcorp Holdings Inc., as guarantor, and U.S. Bank Trust Company, National Association, as trustee, including the form of the 2030</w:t>
              </w:r>
            </w:hyperlink>
          </w:p>
        </w:tc>
        <w:tc>
          <w:tcPr>
            <w:tcW w:w="40" w:type="dxa"/>
            <w:vAlign w:val="bottom"/>
            <w:gridSpan w:val="2"/>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Notes (incorporated by reference to Exhibit 4.2 to the Company's Current Report on Form 8-K filed on September 23, 2024)</w:t>
              </w:r>
            </w:hyperlink>
          </w:p>
        </w:tc>
        <w:tc>
          <w:tcPr>
            <w:tcW w:w="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Pr>
          <w:p>
            <w:pPr>
              <w:spacing w:after="0"/>
              <w:rPr>
                <w:sz w:val="19"/>
                <w:szCs w:val="19"/>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Second Supplemental Indenture, dated as of September 23, 2024, by and among Laboratory Corporation of America Holdings, as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issuer, Labcorp Holdings, Inc., as guarantor, and U.S. Bank Trust Company, National Association, as trustee, including the form of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2032 Notes (incorporated by reference to Exhibit 4.3 to the Company's Current Report on Form 8-K filed on September 23, 2024)</w:t>
              </w:r>
            </w:hyperlink>
          </w:p>
        </w:tc>
        <w:tc>
          <w:tcPr>
            <w:tcW w:w="3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Pr>
          <w:p>
            <w:pPr>
              <w:spacing w:after="0"/>
              <w:rPr>
                <w:sz w:val="19"/>
                <w:szCs w:val="19"/>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Third Supplemental Indenture, dated as of September 23, 2024, by and among Laboratory Corporation of America Holdings, as issuer,</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Labcorp Holdings, Inc., as guarantor, and U.S. Bank Trust Company, National Association, as trustee, including the form of the 2034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60" w:type="dxa"/>
            <w:vAlign w:val="bottom"/>
            <w:tcBorders>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Notes (incorporated by reference to Exhibit 4.4 to the Company's Current Report on Form 8-K filed on September 23, 2024)</w:t>
              </w:r>
            </w:hyperlink>
          </w:p>
        </w:tc>
        <w:tc>
          <w:tcPr>
            <w:tcW w:w="960" w:type="dxa"/>
            <w:vAlign w:val="bottom"/>
            <w:gridSpan w:val="14"/>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9"/>
                <w:szCs w:val="19"/>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Receivables Purchase Agreement, dated as of August 23, 2024, by and among Labcorp Receivables, LLC, as seller, persons from time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to time party hereto, as purchasers, PNC Bank National Association, as administrative agent, Laboratory Corporation of America</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60" w:type="dxa"/>
            <w:vAlign w:val="bottom"/>
            <w:gridSpan w:val="20"/>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Holdings, as Servicer, and PNC Capital Markets, as structuring agent (incorporated by reference to Exhibit 10.1 to the Company's</w:t>
              </w:r>
            </w:hyperlink>
          </w:p>
        </w:tc>
        <w:tc>
          <w:tcPr>
            <w:tcW w:w="60" w:type="dxa"/>
            <w:vAlign w:val="bottom"/>
            <w:gridSpan w:val="3"/>
          </w:tcPr>
          <w:p>
            <w:pPr>
              <w:spacing w:after="0"/>
              <w:rPr>
                <w:sz w:val="13"/>
                <w:szCs w:val="13"/>
                <w:color w:val="auto"/>
              </w:rPr>
            </w:pPr>
          </w:p>
        </w:tc>
      </w:tr>
      <w:tr>
        <w:trPr>
          <w:trHeight w:val="167"/>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Current Report on Form 8-K filed on August 23,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7"/>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spacing w:after="0"/>
              <w:rPr>
                <w:sz w:val="17"/>
                <w:szCs w:val="17"/>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Sale and Contribution Agreement, dated as of August 23, 2024, by and among each of the persons from time to time party hereto, as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originators, Laboratory Corporation of America Holdings, as an originator and as servicer, and Labcorp Receivable LLC, as buyer</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40" w:type="dxa"/>
            <w:vAlign w:val="bottom"/>
            <w:tcBorders>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(incorporated by reference to Exhibit 10.2 to the Company's Current Report on Form 8-K filed on August 23, 2024)</w:t>
              </w:r>
            </w:hyperlink>
          </w:p>
        </w:tc>
        <w:tc>
          <w:tcPr>
            <w:tcW w:w="1440" w:type="dxa"/>
            <w:vAlign w:val="bottom"/>
            <w:gridSpan w:val="8"/>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spacing w:after="0"/>
              <w:rPr>
                <w:sz w:val="19"/>
                <w:szCs w:val="19"/>
                <w:color w:val="auto"/>
              </w:rPr>
            </w:pPr>
          </w:p>
        </w:tc>
        <w:tc>
          <w:tcPr>
            <w:tcW w:w="9820" w:type="dxa"/>
            <w:vAlign w:val="bottom"/>
            <w:gridSpan w:val="2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Performance Guaranty, dated as August 23, 2024, by Labcorp Holdings, Inc., in favor of PNC Bank National Association, as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administrative agent (incorporated by reference to Exhibit 10.3 to the Company's Current Report on Form 8-K filed on August 23,</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2024)</w:t>
              </w:r>
            </w:hyperlink>
          </w:p>
        </w:tc>
        <w:tc>
          <w:tcPr>
            <w:tcW w:w="13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1020" w:type="dxa"/>
            <w:vAlign w:val="bottom"/>
          </w:tcPr>
          <w:p>
            <w:pPr>
              <w:spacing w:after="0"/>
              <w:rPr>
                <w:sz w:val="19"/>
                <w:szCs w:val="19"/>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Subsidiary Issuers of Guaranteed Securities</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207"/>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20" w:type="dxa"/>
            <w:vAlign w:val="bottom"/>
          </w:tcPr>
          <w:p>
            <w:pPr>
              <w:spacing w:after="0"/>
              <w:rPr>
                <w:sz w:val="17"/>
                <w:szCs w:val="17"/>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Pr>
          <w:p>
            <w:pPr>
              <w:spacing w:after="0"/>
              <w:rPr>
                <w:sz w:val="19"/>
                <w:szCs w:val="19"/>
                <w:color w:val="auto"/>
              </w:rPr>
            </w:pPr>
          </w:p>
        </w:tc>
        <w:tc>
          <w:tcPr>
            <w:tcW w:w="63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420" w:type="dxa"/>
            <w:vAlign w:val="bottom"/>
            <w:gridSpan w:val="16"/>
          </w:tcPr>
          <w:p>
            <w:pPr>
              <w:spacing w:after="0"/>
              <w:rPr>
                <w:sz w:val="19"/>
                <w:szCs w:val="19"/>
                <w:color w:val="auto"/>
              </w:rPr>
            </w:pPr>
          </w:p>
        </w:tc>
      </w:tr>
      <w:tr>
        <w:trPr>
          <w:trHeight w:val="3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w:t>
            </w: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(18 U.S.C. Section 1350)</w:t>
            </w:r>
          </w:p>
        </w:tc>
        <w:tc>
          <w:tcPr>
            <w:tcW w:w="7680" w:type="dxa"/>
            <w:vAlign w:val="bottom"/>
            <w:tcBorders>
              <w:top w:val="single" w:sz="8" w:color="0000FF"/>
            </w:tcBorders>
            <w:gridSpan w:val="9"/>
          </w:tcPr>
          <w:p>
            <w:pPr>
              <w:spacing w:after="0"/>
              <w:rPr>
                <w:sz w:val="13"/>
                <w:szCs w:val="13"/>
                <w:color w:val="auto"/>
              </w:rPr>
            </w:pPr>
          </w:p>
        </w:tc>
        <w:tc>
          <w:tcPr>
            <w:tcW w:w="340" w:type="dxa"/>
            <w:vAlign w:val="bottom"/>
            <w:gridSpan w:val="12"/>
          </w:tcPr>
          <w:p>
            <w:pPr>
              <w:spacing w:after="0"/>
              <w:rPr>
                <w:sz w:val="13"/>
                <w:szCs w:val="13"/>
                <w:color w:val="auto"/>
              </w:rPr>
            </w:pPr>
          </w:p>
        </w:tc>
      </w:tr>
      <w:tr>
        <w:trPr>
          <w:trHeight w:val="20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2"/>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1" w:lineRule="exact"/>
        <w:rPr>
          <w:sz w:val="20"/>
          <w:szCs w:val="20"/>
          <w:color w:val="auto"/>
        </w:rPr>
      </w:pPr>
    </w:p>
    <w:p>
      <w:pPr>
        <w:ind w:left="1120" w:hanging="1096"/>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1120" w:hanging="1096"/>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0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ADAM H. SCHECHTER</w:t>
            </w:r>
          </w:p>
        </w:tc>
      </w:tr>
      <w:tr>
        <w:trPr>
          <w:trHeight w:val="242"/>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2"/>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GLENN A. EISENBERG</w:t>
            </w:r>
          </w:p>
        </w:tc>
        <w:tc>
          <w:tcPr>
            <w:tcW w:w="20" w:type="dxa"/>
            <w:vAlign w:val="bottom"/>
          </w:tcPr>
          <w:p>
            <w:pPr>
              <w:spacing w:after="0"/>
              <w:rPr>
                <w:sz w:val="24"/>
                <w:szCs w:val="24"/>
                <w:color w:val="auto"/>
              </w:rPr>
            </w:pPr>
          </w:p>
        </w:tc>
      </w:tr>
      <w:tr>
        <w:trPr>
          <w:trHeight w:val="242"/>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Executive Vice President and</w:t>
            </w:r>
          </w:p>
        </w:tc>
      </w:tr>
      <w:tr>
        <w:trPr>
          <w:trHeight w:val="232"/>
        </w:trPr>
        <w:tc>
          <w:tcPr>
            <w:tcW w:w="7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121" w:right="4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3"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17"/>
          <w:szCs w:val="17"/>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September 30,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48" w:lineRule="exact"/>
        <w:rPr>
          <w:sz w:val="20"/>
          <w:szCs w:val="20"/>
          <w:color w:val="auto"/>
        </w:rPr>
      </w:pPr>
    </w:p>
    <w:p>
      <w:pPr>
        <w:ind w:left="20" w:right="620"/>
        <w:spacing w:after="0" w:line="261" w:lineRule="auto"/>
        <w:rPr>
          <w:sz w:val="20"/>
          <w:szCs w:val="20"/>
          <w:color w:val="auto"/>
        </w:rPr>
      </w:pPr>
      <w:r>
        <w:rPr>
          <w:rFonts w:ascii="Times New Roman" w:cs="Times New Roman" w:eastAsia="Times New Roman" w:hAnsi="Times New Roman"/>
          <w:sz w:val="18"/>
          <w:szCs w:val="18"/>
          <w:color w:val="auto"/>
        </w:rPr>
        <w:t>2.30% Senior Notes due 2024 (issued under the Thirteenth Supplemental Indenture to the Indenture, dated as of November 19, 2010, by and between LCAH and U.S. Bank Trust Company, National Association, as trustee (the “2010 Indenture”))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2025 (issued under the Ninth Supplemental Indenture to the 2010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2010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46" w:lineRule="exact"/>
        <w:rPr>
          <w:sz w:val="20"/>
          <w:szCs w:val="20"/>
          <w:color w:val="auto"/>
        </w:rPr>
      </w:pPr>
    </w:p>
    <w:p>
      <w:pPr>
        <w:ind w:left="20" w:right="1020"/>
        <w:spacing w:after="0" w:line="261"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obligors under the Senior Notes consisted of LHI, as guarantor, and LCAH, as issuer.</w:t>
      </w:r>
    </w:p>
    <w:p>
      <w:pPr>
        <w:sectPr>
          <w:pgSz w:w="11900" w:h="16838" w:orient="portrait"/>
          <w:cols w:equalWidth="0" w:num="1">
            <w:col w:w="11240"/>
          </w:cols>
          <w:pgMar w:left="320" w:top="13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29,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40"/>
          </w:cols>
          <w:pgMar w:left="320" w:top="879" w:right="11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29,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40"/>
          </w:cols>
          <w:pgMar w:left="320" w:top="879" w:right="11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6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90" w:lineRule="exact"/>
        <w:rPr>
          <w:sz w:val="20"/>
          <w:szCs w:val="20"/>
          <w:color w:val="auto"/>
        </w:rPr>
      </w:pPr>
    </w:p>
    <w:p>
      <w:pPr>
        <w:ind w:right="20" w:firstLine="7"/>
        <w:spacing w:after="0" w:line="276"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September 30, 2024, filed on the date hereof with the Securities and Exchange Commission (the “Report”) fully complies with the requirements of Section 13(a) or 15(d) of the Securities Exchange Act of 1934; and</w:t>
      </w:r>
    </w:p>
    <w:p>
      <w:pPr>
        <w:spacing w:after="0" w:line="19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ADAM H. SCHECHTER</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7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GLENN A. EISENBERG</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2024</w:t>
            </w:r>
          </w:p>
        </w:tc>
      </w:tr>
    </w:tbl>
    <w:p>
      <w:pPr>
        <w:sectPr>
          <w:pgSz w:w="11900" w:h="16838" w:orient="portrait"/>
          <w:cols w:equalWidth="0" w:num="1">
            <w:col w:w="10440"/>
          </w:cols>
          <w:pgMar w:left="320" w:top="879" w:right="11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0960"/>
      </w:cols>
      <w:pgMar w:left="320" w:top="88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0"/>
    </w:lvl>
  </w:abstractNum>
  <w:abstractNum w:abstractNumId="1">
    <w:nsid w:val="41B71EFB"/>
    <w:multiLevelType w:val="hybridMultilevel"/>
    <w:lvl w:ilvl="0">
      <w:lvlJc w:val="left"/>
      <w:lvlText w:val="%1."/>
      <w:numFmt w:val="decimal"/>
      <w:start w:val="11"/>
    </w:lvl>
  </w:abstractNum>
  <w:abstractNum w:abstractNumId="2">
    <w:nsid w:val="79E2A9E3"/>
    <w:multiLevelType w:val="hybridMultilevel"/>
    <w:lvl w:ilvl="0">
      <w:lvlJc w:val="left"/>
      <w:lvlText w:val="%1."/>
      <w:numFmt w:val="decimal"/>
      <w:start w:val="1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30"/>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54" Type="http://schemas.openxmlformats.org/officeDocument/2006/relationships/hyperlink" Target="https://www.sec.gov/Archives/edgar/data/920148/000119312524223695/d844966dex41.htm" TargetMode="External"/><Relationship Id="rId55" Type="http://schemas.openxmlformats.org/officeDocument/2006/relationships/hyperlink" Target="https://www.sec.gov/Archives/edgar/data/920148/000119312524223695/d844966dex42.htm" TargetMode="External"/><Relationship Id="rId56" Type="http://schemas.openxmlformats.org/officeDocument/2006/relationships/hyperlink" Target="https://www.sec.gov/Archives/edgar/data/920148/000119312524223695/d844966dex43.htm" TargetMode="External"/><Relationship Id="rId57" Type="http://schemas.openxmlformats.org/officeDocument/2006/relationships/hyperlink" Target="https://www.sec.gov/Archives/edgar/data/920148/000119312524223695/d844966dex44.htm" TargetMode="External"/><Relationship Id="rId58" Type="http://schemas.openxmlformats.org/officeDocument/2006/relationships/hyperlink" Target="https://www.sec.gov/Archives/edgar/data/920148/000092014824000103/exhibit101receivablespurch.htm" TargetMode="External"/><Relationship Id="rId59" Type="http://schemas.openxmlformats.org/officeDocument/2006/relationships/hyperlink" Target="https://www.sec.gov/Archives/edgar/data/920148/000092014824000103/exhibit102saleagreement.htm" TargetMode="External"/><Relationship Id="rId60" Type="http://schemas.openxmlformats.org/officeDocument/2006/relationships/hyperlink" Target="https://www.sec.gov/Archives/edgar/data/920148/000092014824000103/exhibit103performancegua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2024-10-29T10:45:45Z</dcterms:created>
  <dcterms:modified xsi:type="dcterms:W3CDTF">2024-10-29T10:45:45Z</dcterms:modified>
</cp:coreProperties>
</file>