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Wilkinson Peter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231 MAPLE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3"/>
        <w:gridCol w:w="919"/>
        <w:gridCol w:w="789"/>
        <w:gridCol w:w="610"/>
        <w:gridCol w:w="341"/>
        <w:gridCol w:w="815"/>
        <w:gridCol w:w="424"/>
        <w:gridCol w:w="1041"/>
        <w:gridCol w:w="1351"/>
        <w:gridCol w:w="968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309.22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1,770.2194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1,338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3,108.2194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1,338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309.2311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1,770.2194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209.25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Employee stock option (right to buy) granted pursuant to the Labcorp Holdings Inc. Amended and Restated 2016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amounts automatically adjusted based on the final adjustment ratio applied to equity awards in connection with the spin-off of Fortrea Holdings Inc. ("Fortrea") by Labcorp Holdings Inc. ("Labcorp"), calculated pursuant to the terms of the Employee Matters Agreement by and between Labcorp and Fortrea.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vested in three equal annual installments beginning on the date reflected in this column and are now fully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Peter J. Wilkinson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8138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3784</Characters>
  <CharactersWithSpaces>4377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