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1400" w:hanging="216"/>
        <w:spacing w:after="0"/>
        <w:tabs>
          <w:tab w:leader="none" w:pos="1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31, 2026</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jc w:val="center"/>
        <w:ind w:left="3860" w:right="1160" w:hanging="2686"/>
        <w:spacing w:after="0" w:line="399" w:lineRule="auto"/>
        <w:tabs>
          <w:tab w:leader="none" w:pos="138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LABCORP HOLDINGS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6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99-2588107</w:t>
            </w:r>
          </w:p>
        </w:tc>
        <w:tc>
          <w:tcPr>
            <w:tcW w:w="20" w:type="dxa"/>
            <w:vAlign w:val="bottom"/>
          </w:tcPr>
          <w:p>
            <w:pPr>
              <w:spacing w:after="0"/>
              <w:rPr>
                <w:sz w:val="20"/>
                <w:szCs w:val="20"/>
                <w:color w:val="auto"/>
              </w:rPr>
            </w:pPr>
          </w:p>
        </w:tc>
      </w:tr>
      <w:tr>
        <w:trPr>
          <w:trHeight w:val="228"/>
        </w:trPr>
        <w:tc>
          <w:tcPr>
            <w:tcW w:w="5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520" w:type="dxa"/>
            <w:vAlign w:val="bottom"/>
            <w:tcBorders>
              <w:top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324"/>
        </w:trPr>
        <w:tc>
          <w:tcPr>
            <w:tcW w:w="56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566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Burlington , North Carolina</w:t>
            </w:r>
          </w:p>
        </w:tc>
        <w:tc>
          <w:tcPr>
            <w:tcW w:w="556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27215</w:t>
            </w:r>
          </w:p>
        </w:tc>
        <w:tc>
          <w:tcPr>
            <w:tcW w:w="20" w:type="dxa"/>
            <w:vAlign w:val="bottom"/>
          </w:tcPr>
          <w:p>
            <w:pPr>
              <w:spacing w:after="0"/>
              <w:rPr>
                <w:sz w:val="20"/>
                <w:szCs w:val="20"/>
                <w:color w:val="auto"/>
              </w:rPr>
            </w:pPr>
          </w:p>
        </w:tc>
      </w:tr>
      <w:tr>
        <w:trPr>
          <w:trHeight w:val="228"/>
        </w:trPr>
        <w:tc>
          <w:tcPr>
            <w:tcW w:w="5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20" w:type="dxa"/>
            <w:vAlign w:val="bottom"/>
            <w:tcBorders>
              <w:top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Borders>
              <w:top w:val="single" w:sz="8" w:color="auto"/>
            </w:tcBorders>
          </w:tcPr>
          <w:p>
            <w:pPr>
              <w:spacing w:after="0"/>
              <w:rPr>
                <w:sz w:val="19"/>
                <w:szCs w:val="19"/>
                <w:color w:val="auto"/>
              </w:rPr>
            </w:pP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37"/>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2"/>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$0.10 par value</w:t>
            </w:r>
          </w:p>
        </w:tc>
        <w:tc>
          <w:tcPr>
            <w:tcW w:w="100" w:type="dxa"/>
            <w:vAlign w:val="bottom"/>
          </w:tcPr>
          <w:p>
            <w:pPr>
              <w:spacing w:after="0"/>
              <w:rPr>
                <w:sz w:val="20"/>
                <w:szCs w:val="20"/>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LH</w:t>
            </w:r>
          </w:p>
        </w:tc>
        <w:tc>
          <w:tcPr>
            <w:tcW w:w="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8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20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 2026, there were 82.0 million shares of the registrant’s common stock, $0.10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80" w:type="dxa"/>
            <w:vAlign w:val="bottom"/>
            <w:gridSpan w:val="11"/>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2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3"/>
        </w:trPr>
        <w:tc>
          <w:tcPr>
            <w:tcW w:w="20" w:type="dxa"/>
            <w:vAlign w:val="bottom"/>
          </w:tcPr>
          <w:p>
            <w:pPr>
              <w:spacing w:after="0"/>
              <w:rPr>
                <w:sz w:val="19"/>
                <w:szCs w:val="19"/>
                <w:color w:val="auto"/>
              </w:rPr>
            </w:pPr>
          </w:p>
        </w:tc>
        <w:tc>
          <w:tcPr>
            <w:tcW w:w="2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Commonly Used Abbreviations</w:t>
            </w:r>
          </w:p>
        </w:tc>
        <w:tc>
          <w:tcPr>
            <w:tcW w:w="7820" w:type="dxa"/>
            <w:vAlign w:val="bottom"/>
            <w:gridSpan w:val="14"/>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500" w:type="dxa"/>
            <w:vAlign w:val="bottom"/>
          </w:tcPr>
          <w:p>
            <w:pPr>
              <w:spacing w:after="0"/>
              <w:rPr>
                <w:sz w:val="19"/>
                <w:szCs w:val="19"/>
                <w:color w:val="auto"/>
              </w:rPr>
            </w:pPr>
          </w:p>
        </w:tc>
      </w:tr>
      <w:tr>
        <w:trPr>
          <w:trHeight w:val="466"/>
        </w:trPr>
        <w:tc>
          <w:tcPr>
            <w:tcW w:w="20" w:type="dxa"/>
            <w:vAlign w:val="bottom"/>
          </w:tcPr>
          <w:p>
            <w:pPr>
              <w:spacing w:after="0"/>
              <w:rPr>
                <w:sz w:val="24"/>
                <w:szCs w:val="24"/>
                <w:color w:val="auto"/>
              </w:rPr>
            </w:pPr>
          </w:p>
        </w:tc>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86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70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(Unaudited)</w:t>
            </w:r>
          </w:p>
        </w:tc>
        <w:tc>
          <w:tcPr>
            <w:tcW w:w="328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 (Unaudited)</w:t>
            </w: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8</w:t>
            </w: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6"/>
          </w:tcPr>
          <w:p>
            <w:pPr>
              <w:spacing w:after="0"/>
              <w:rPr>
                <w:sz w:val="24"/>
                <w:szCs w:val="24"/>
                <w:color w:val="auto"/>
              </w:rPr>
            </w:pPr>
          </w:p>
        </w:tc>
        <w:tc>
          <w:tcPr>
            <w:tcW w:w="2760" w:type="dxa"/>
            <w:vAlign w:val="bottom"/>
            <w:gridSpan w:val="2"/>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28</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4"/>
          </w:tcPr>
          <w:p>
            <w:pPr>
              <w:spacing w:after="0"/>
              <w:rPr>
                <w:sz w:val="24"/>
                <w:szCs w:val="24"/>
                <w:color w:val="auto"/>
              </w:rPr>
            </w:pPr>
          </w:p>
        </w:tc>
        <w:tc>
          <w:tcPr>
            <w:tcW w:w="4900" w:type="dxa"/>
            <w:vAlign w:val="bottom"/>
            <w:gridSpan w:val="8"/>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9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533"/>
        </w:trPr>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4"/>
                <w:szCs w:val="24"/>
                <w:color w:val="auto"/>
              </w:rPr>
            </w:pPr>
          </w:p>
        </w:tc>
        <w:tc>
          <w:tcPr>
            <w:tcW w:w="7900" w:type="dxa"/>
            <w:vAlign w:val="bottom"/>
            <w:gridSpan w:val="16"/>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60" w:type="dxa"/>
            <w:vAlign w:val="bottom"/>
            <w:gridSpan w:val="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4"/>
          </w:tcPr>
          <w:p>
            <w:pPr>
              <w:spacing w:after="0"/>
              <w:rPr>
                <w:sz w:val="24"/>
                <w:szCs w:val="24"/>
                <w:color w:val="auto"/>
              </w:rPr>
            </w:pPr>
          </w:p>
        </w:tc>
        <w:tc>
          <w:tcPr>
            <w:tcW w:w="4860" w:type="dxa"/>
            <w:vAlign w:val="bottom"/>
            <w:gridSpan w:val="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60" w:type="dxa"/>
            <w:vAlign w:val="bottom"/>
          </w:tcPr>
          <w:p>
            <w:pPr>
              <w:spacing w:after="0"/>
              <w:rPr>
                <w:sz w:val="24"/>
                <w:szCs w:val="24"/>
                <w:color w:val="auto"/>
              </w:rPr>
            </w:pPr>
          </w:p>
        </w:tc>
        <w:tc>
          <w:tcPr>
            <w:tcW w:w="6880" w:type="dxa"/>
            <w:vAlign w:val="bottom"/>
            <w:gridSpan w:val="11"/>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40" w:type="dxa"/>
            <w:vAlign w:val="bottom"/>
            <w:gridSpan w:val="12"/>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4"/>
          </w:tcPr>
          <w:p>
            <w:pPr>
              <w:spacing w:after="0"/>
              <w:rPr>
                <w:sz w:val="24"/>
                <w:szCs w:val="24"/>
                <w:color w:val="auto"/>
              </w:rPr>
            </w:pPr>
          </w:p>
        </w:tc>
        <w:tc>
          <w:tcPr>
            <w:tcW w:w="7900" w:type="dxa"/>
            <w:vAlign w:val="bottom"/>
            <w:gridSpan w:val="16"/>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gridSpan w:val="1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440" w:type="dxa"/>
            <w:vAlign w:val="bottom"/>
            <w:gridSpan w:val="19"/>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r>
      <w:tr>
        <w:trPr>
          <w:trHeight w:val="87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120" w:type="dxa"/>
            <w:vAlign w:val="bottom"/>
            <w:gridSpan w:val="1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COMMONLY USED ABBREVIATIONS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abbreviations listed below may be commonly used in this report.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AMCA</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American Medical Collection Agency</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2025</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 Facility</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Biopharma Laboratory Services</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board of directors of Labcorp Holdings Inc.</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 par value $0.10 per share</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contract research organization</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DCP</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compensation plan</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Diagnostics Laboratories</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Early Development Research Laboratories</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earnings per share</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Fortrea Holdings Inc.</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LCAH</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Laboratory Corporation of America Holdings</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MCO</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managed care organization</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OBBBA</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OCR</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Office of Civil Rights</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Parkview</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Parkview Health System, Inc.</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PSC</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patient service center</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Standard &amp; Poor’s</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Spin-off</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June 2023 spin-off of Fortrea</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SPV</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bankruptcy-remote special purpose vehicle</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term loan credit agreement entered on March 20, 2026</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TSA</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transition services agreement with Fortrea</w:t>
            </w:r>
          </w:p>
        </w:tc>
      </w:tr>
      <w:tr>
        <w:trPr>
          <w:trHeight w:val="229"/>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9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U.S. Dollar</w:t>
            </w:r>
          </w:p>
        </w:tc>
      </w:tr>
      <w:tr>
        <w:trPr>
          <w:trHeight w:val="864"/>
        </w:trPr>
        <w:tc>
          <w:tcPr>
            <w:tcW w:w="1640" w:type="dxa"/>
            <w:vAlign w:val="bottom"/>
          </w:tcPr>
          <w:p>
            <w:pPr>
              <w:spacing w:after="0"/>
              <w:rPr>
                <w:sz w:val="24"/>
                <w:szCs w:val="24"/>
                <w:color w:val="auto"/>
              </w:rPr>
            </w:pPr>
          </w:p>
        </w:tc>
        <w:tc>
          <w:tcPr>
            <w:tcW w:w="960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1640" w:type="dxa"/>
            <w:vAlign w:val="bottom"/>
            <w:tcBorders>
              <w:bottom w:val="single" w:sz="8" w:color="9A9A9A"/>
            </w:tcBorders>
          </w:tcPr>
          <w:p>
            <w:pPr>
              <w:spacing w:after="0"/>
              <w:rPr>
                <w:sz w:val="10"/>
                <w:szCs w:val="10"/>
                <w:color w:val="auto"/>
              </w:rPr>
            </w:pPr>
          </w:p>
        </w:tc>
        <w:tc>
          <w:tcPr>
            <w:tcW w:w="9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9"/>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2,103.8</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 net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r>
      <w:tr>
        <w:trPr>
          <w:trHeight w:val="223"/>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4,020.5</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3,081.5</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6,789.5</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3,596.0</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19,087.1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18,392.7</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r>
      <w:tr>
        <w:trPr>
          <w:trHeight w:val="230"/>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w:t>
            </w:r>
          </w:p>
        </w:tc>
      </w:tr>
      <w:tr>
        <w:trPr>
          <w:trHeight w:val="223"/>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2,823.5</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5,084.6</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9,756.0</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84"/>
        </w:trPr>
        <w:tc>
          <w:tcPr>
            <w:tcW w:w="71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82.3 and 82.2 shares outstanding at March 31, 2026, and December 31, 2025,</w:t>
            </w:r>
          </w:p>
        </w:tc>
        <w:tc>
          <w:tcPr>
            <w:tcW w:w="26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7.5</w:t>
            </w:r>
          </w:p>
        </w:tc>
      </w:tr>
      <w:tr>
        <w:trPr>
          <w:trHeight w:val="23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8,639.9</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8,619.8</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19,087.1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18,392.7</w:t>
            </w:r>
          </w:p>
        </w:tc>
      </w:tr>
      <w:tr>
        <w:trPr>
          <w:trHeight w:val="21"/>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768"/>
        </w:trPr>
        <w:tc>
          <w:tcPr>
            <w:tcW w:w="1840" w:type="dxa"/>
            <w:vAlign w:val="bottom"/>
            <w:tcBorders>
              <w:top w:val="single" w:sz="8" w:color="0000FF"/>
            </w:tcBorders>
          </w:tcPr>
          <w:p>
            <w:pPr>
              <w:spacing w:after="0"/>
              <w:rPr>
                <w:sz w:val="24"/>
                <w:szCs w:val="24"/>
                <w:color w:val="auto"/>
              </w:rPr>
            </w:pPr>
          </w:p>
        </w:tc>
        <w:tc>
          <w:tcPr>
            <w:tcW w:w="616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LABCORP HOLDINGS INC. AND SUBSIDIARIES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652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16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616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06"/>
        </w:trPr>
        <w:tc>
          <w:tcPr>
            <w:tcW w:w="18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1840" w:type="dxa"/>
            <w:vAlign w:val="bottom"/>
            <w:tcBorders>
              <w:bottom w:val="single" w:sz="8" w:color="CCEEFF"/>
            </w:tcBorders>
          </w:tcPr>
          <w:p>
            <w:pPr>
              <w:spacing w:after="0"/>
              <w:rPr>
                <w:sz w:val="20"/>
                <w:szCs w:val="20"/>
                <w:color w:val="auto"/>
              </w:rPr>
            </w:pPr>
          </w:p>
        </w:tc>
        <w:tc>
          <w:tcPr>
            <w:tcW w:w="6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3,345.1</w:t>
            </w:r>
          </w:p>
        </w:tc>
      </w:tr>
      <w:tr>
        <w:trPr>
          <w:trHeight w:val="230"/>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2,397.1</w:t>
            </w:r>
          </w:p>
        </w:tc>
      </w:tr>
      <w:tr>
        <w:trPr>
          <w:trHeight w:val="223"/>
        </w:trPr>
        <w:tc>
          <w:tcPr>
            <w:tcW w:w="8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r>
      <w:tr>
        <w:trPr>
          <w:trHeight w:val="23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r>
      <w:tr>
        <w:trPr>
          <w:trHeight w:val="229"/>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229"/>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method loss,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29"/>
        </w:trPr>
        <w:tc>
          <w:tcPr>
            <w:tcW w:w="80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30"/>
        </w:trPr>
        <w:tc>
          <w:tcPr>
            <w:tcW w:w="8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0"/>
        </w:trPr>
        <w:tc>
          <w:tcPr>
            <w:tcW w:w="80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8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68"/>
        </w:trPr>
        <w:tc>
          <w:tcPr>
            <w:tcW w:w="1840" w:type="dxa"/>
            <w:vAlign w:val="bottom"/>
            <w:tcBorders>
              <w:top w:val="single" w:sz="8" w:color="0000FF"/>
            </w:tcBorders>
          </w:tcPr>
          <w:p>
            <w:pPr>
              <w:spacing w:after="0"/>
              <w:rPr>
                <w:sz w:val="24"/>
                <w:szCs w:val="24"/>
                <w:color w:val="auto"/>
              </w:rPr>
            </w:pPr>
          </w:p>
        </w:tc>
        <w:tc>
          <w:tcPr>
            <w:tcW w:w="62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LABCORP HOLDINGS INC. AND SUBSIDIARIES</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72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EARNINGS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62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62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93"/>
        </w:trPr>
        <w:tc>
          <w:tcPr>
            <w:tcW w:w="18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1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1840" w:type="dxa"/>
            <w:vAlign w:val="bottom"/>
            <w:tcBorders>
              <w:bottom w:val="single" w:sz="8" w:color="CCEEFF"/>
            </w:tcBorders>
          </w:tcPr>
          <w:p>
            <w:pPr>
              <w:spacing w:after="0"/>
              <w:rPr>
                <w:sz w:val="20"/>
                <w:szCs w:val="20"/>
                <w:color w:val="auto"/>
              </w:rPr>
            </w:pPr>
          </w:p>
        </w:tc>
        <w:tc>
          <w:tcPr>
            <w:tcW w:w="6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 earnings before tax</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related to items of comprehensive earnings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 earnings, net of tax</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29"/>
        </w:trPr>
        <w:tc>
          <w:tcPr>
            <w:tcW w:w="8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Labcorp Holdings Inc.</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rPr>
              <w:t>Common</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Additional</w:t>
            </w:r>
          </w:p>
        </w:tc>
        <w:tc>
          <w:tcPr>
            <w:tcW w:w="14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Retained</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auto"/>
              </w:rPr>
              <w:t>Accumulated Other</w:t>
            </w:r>
          </w:p>
        </w:tc>
        <w:tc>
          <w:tcPr>
            <w:tcW w:w="120" w:type="dxa"/>
            <w:vAlign w:val="bottom"/>
          </w:tcPr>
          <w:p>
            <w:pPr>
              <w:spacing w:after="0"/>
              <w:rPr>
                <w:sz w:val="15"/>
                <w:szCs w:val="15"/>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color w:val="auto"/>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5"/>
                <w:szCs w:val="15"/>
                <w:color w:val="auto"/>
              </w:rPr>
              <w:t>Shareholders’</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w w:val="99"/>
              </w:rPr>
              <w:t>Stock</w:t>
            </w:r>
          </w:p>
        </w:tc>
        <w:tc>
          <w:tcPr>
            <w:tcW w:w="14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Capital</w:t>
            </w:r>
          </w:p>
        </w:tc>
        <w:tc>
          <w:tcPr>
            <w:tcW w:w="14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Earnings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Comprehensive Loss</w:t>
            </w:r>
          </w:p>
        </w:tc>
        <w:tc>
          <w:tcPr>
            <w:tcW w:w="120" w:type="dxa"/>
            <w:vAlign w:val="bottom"/>
          </w:tcPr>
          <w:p>
            <w:pPr>
              <w:spacing w:after="0"/>
              <w:rPr>
                <w:sz w:val="19"/>
                <w:szCs w:val="19"/>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w w:val="99"/>
              </w:rPr>
              <w:t>Equity</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8,303.4</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8,052.2</w:t>
            </w:r>
          </w:p>
        </w:tc>
        <w:tc>
          <w:tcPr>
            <w:tcW w:w="0" w:type="dxa"/>
            <w:vAlign w:val="bottom"/>
          </w:tcPr>
          <w:p>
            <w:pPr>
              <w:spacing w:after="0"/>
              <w:rPr>
                <w:sz w:val="1"/>
                <w:szCs w:val="1"/>
                <w:color w:val="auto"/>
              </w:rPr>
            </w:pPr>
          </w:p>
        </w:tc>
      </w:tr>
      <w:tr>
        <w:trPr>
          <w:trHeight w:val="200"/>
        </w:trPr>
        <w:tc>
          <w:tcPr>
            <w:tcW w:w="5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earnings attributable to Labcorp Holdings Inc.</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212.8</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earnings, net of tax</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0" w:type="dxa"/>
            <w:vAlign w:val="bottom"/>
          </w:tcPr>
          <w:p>
            <w:pPr>
              <w:spacing w:after="0"/>
              <w:rPr>
                <w:sz w:val="1"/>
                <w:szCs w:val="1"/>
                <w:color w:val="auto"/>
              </w:rPr>
            </w:pPr>
          </w:p>
        </w:tc>
      </w:tr>
      <w:tr>
        <w:trPr>
          <w:trHeight w:val="200"/>
        </w:trPr>
        <w:tc>
          <w:tcPr>
            <w:tcW w:w="5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Dividends declared</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under employee stock plans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0" w:type="dxa"/>
            <w:vAlign w:val="bottom"/>
          </w:tcPr>
          <w:p>
            <w:pPr>
              <w:spacing w:after="0"/>
              <w:rPr>
                <w:sz w:val="1"/>
                <w:szCs w:val="1"/>
                <w:color w:val="auto"/>
              </w:rPr>
            </w:pPr>
          </w:p>
        </w:tc>
      </w:tr>
      <w:tr>
        <w:trPr>
          <w:trHeight w:val="200"/>
        </w:trPr>
        <w:tc>
          <w:tcPr>
            <w:tcW w:w="5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share settlement tax payments from issuance of stock to employees</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0" w:type="dxa"/>
            <w:vAlign w:val="bottom"/>
          </w:tcPr>
          <w:p>
            <w:pPr>
              <w:spacing w:after="0"/>
              <w:rPr>
                <w:sz w:val="1"/>
                <w:szCs w:val="1"/>
                <w:color w:val="auto"/>
              </w:rPr>
            </w:pPr>
          </w:p>
        </w:tc>
      </w:tr>
      <w:tr>
        <w:trPr>
          <w:trHeight w:val="169"/>
        </w:trPr>
        <w:tc>
          <w:tcPr>
            <w:tcW w:w="548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BALANCE AT MARCH 31, 2025</w:t>
            </w: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7.6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35.8</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8,455.6</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ind w:left="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(191.6)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8,307.4</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8,639.9</w:t>
            </w:r>
          </w:p>
        </w:tc>
        <w:tc>
          <w:tcPr>
            <w:tcW w:w="10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8,619.8</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earnings attributable to Labcorp Holdings Inc.</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277.8</w:t>
            </w:r>
          </w:p>
        </w:tc>
        <w:tc>
          <w:tcPr>
            <w:tcW w:w="0" w:type="dxa"/>
            <w:vAlign w:val="bottom"/>
          </w:tcPr>
          <w:p>
            <w:pPr>
              <w:spacing w:after="0"/>
              <w:rPr>
                <w:sz w:val="1"/>
                <w:szCs w:val="1"/>
                <w:color w:val="auto"/>
              </w:rPr>
            </w:pPr>
          </w:p>
        </w:tc>
      </w:tr>
      <w:tr>
        <w:trPr>
          <w:trHeight w:val="200"/>
        </w:trPr>
        <w:tc>
          <w:tcPr>
            <w:tcW w:w="5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declared</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w:t>
            </w:r>
          </w:p>
        </w:tc>
        <w:tc>
          <w:tcPr>
            <w:tcW w:w="0" w:type="dxa"/>
            <w:vAlign w:val="bottom"/>
          </w:tcPr>
          <w:p>
            <w:pPr>
              <w:spacing w:after="0"/>
              <w:rPr>
                <w:sz w:val="1"/>
                <w:szCs w:val="1"/>
                <w:color w:val="auto"/>
              </w:rPr>
            </w:pPr>
          </w:p>
        </w:tc>
      </w:tr>
      <w:tr>
        <w:trPr>
          <w:trHeight w:val="200"/>
        </w:trPr>
        <w:tc>
          <w:tcPr>
            <w:tcW w:w="5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under employee stock plans</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share settlement tax payments from issuance of stock to employees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0" w:type="dxa"/>
            <w:vAlign w:val="bottom"/>
          </w:tcPr>
          <w:p>
            <w:pPr>
              <w:spacing w:after="0"/>
              <w:rPr>
                <w:sz w:val="1"/>
                <w:szCs w:val="1"/>
                <w:color w:val="auto"/>
              </w:rPr>
            </w:pPr>
          </w:p>
        </w:tc>
      </w:tr>
      <w:tr>
        <w:trPr>
          <w:trHeight w:val="200"/>
        </w:trPr>
        <w:tc>
          <w:tcPr>
            <w:tcW w:w="5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compensation</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common stock</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0" w:type="dxa"/>
            <w:vAlign w:val="bottom"/>
          </w:tcPr>
          <w:p>
            <w:pPr>
              <w:spacing w:after="0"/>
              <w:rPr>
                <w:sz w:val="1"/>
                <w:szCs w:val="1"/>
                <w:color w:val="auto"/>
              </w:rPr>
            </w:pPr>
          </w:p>
        </w:tc>
      </w:tr>
      <w:tr>
        <w:trPr>
          <w:trHeight w:val="194"/>
        </w:trPr>
        <w:tc>
          <w:tcPr>
            <w:tcW w:w="54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MARCH 31,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8,784.4</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8,728.6</w:t>
            </w: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900" w:type="dxa"/>
            <w:vAlign w:val="bottom"/>
          </w:tcPr>
          <w:p>
            <w:pPr>
              <w:spacing w:after="0"/>
              <w:rPr>
                <w:sz w:val="21"/>
                <w:szCs w:val="21"/>
                <w:color w:val="auto"/>
              </w:rPr>
            </w:pPr>
          </w:p>
        </w:tc>
        <w:tc>
          <w:tcPr>
            <w:tcW w:w="328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37"/>
        </w:trPr>
        <w:tc>
          <w:tcPr>
            <w:tcW w:w="79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decrease in unbilled services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supplies inventory</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prepaid expenses and other</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unearned revenue</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equity affiliates or other investments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term loan</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senior notes</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0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accounts receivable securitization</w:t>
            </w:r>
          </w:p>
        </w:tc>
        <w:tc>
          <w:tcPr>
            <w:tcW w:w="10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on changes in Cash and cash equivalents</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r>
      <w:tr>
        <w:trPr>
          <w:trHeight w:val="21"/>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FINANCIAL STATEMENT PRESENTATION</w:t>
      </w:r>
    </w:p>
    <w:p>
      <w:pPr>
        <w:spacing w:after="0" w:line="145"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(Labcorp, LHI,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w:t>
      </w:r>
    </w:p>
    <w:p>
      <w:pPr>
        <w:spacing w:after="0" w:line="1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reports its business in two segments, Diagnostics Laboratories and Biopharma Laboratory Services. During each of the three months ended March 31, 2026, and 2025, Dx and BLS contributed approximately 78% and 22%, respectively, of Revenues to the Company.</w:t>
      </w:r>
    </w:p>
    <w:p>
      <w:pPr>
        <w:spacing w:after="0" w:line="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balance sheet for the year ended December 31, 2025 presented herein, was derived from the Company’s annual audited Consolidated Financial Statements but does not include all disclosures required by GAAP, which are contained within the Annual Report.</w:t>
      </w:r>
    </w:p>
    <w:p>
      <w:pPr>
        <w:spacing w:after="0" w:line="10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are presented in accordance with the rules and regulations of the SEC and GAAP for interim reporting. As such, certain notes or other information that are normally required by the SEC or GAAP have been omitted if they substantially duplicate the disclosures contained in the Company’s annual audited Consolidated Financial Statements contained within its Annual Report. Accordingly, these Condensed Consolidated Financial Statements and notes should be read in conjunction with the Consolidated Financial Statements and notes thereto contained in the Company’s Annual Report.</w:t>
      </w:r>
    </w:p>
    <w:p>
      <w:pPr>
        <w:spacing w:after="0" w:line="8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The Company also has investments in other companies or investment funds that develop technology relating to the Company’s operations.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The carrying value of these type of investments was $201.6 and $201.9 at March 31, 2026 and December 31, 2025, respectively, and is included within Other assets, net in the Company’s Condensed Consolidated Balance Sheets.</w:t>
      </w:r>
    </w:p>
    <w:p>
      <w:pPr>
        <w:spacing w:after="0" w:line="9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All significant intercompany transactions and accounts have been eliminated. The Company does not have any significant variable interest entities or special purpose entities whose financial results are not included in these Condensed Consolidated Financial Statements.</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loss within the Condensed Consolidated Balance Sheets.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accounting pronouncement provides all entities with a practical expedient to assume that current conditions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date do not change for the remaining life of the assets when measuring credit losses. ASU 2025-05 is effective for fiscal years beginning after December 15, 2025. This accounting pronouncement did not have a material impact on the Company’s Condensed Consolidated Financial Statements.</w:t>
      </w:r>
    </w:p>
    <w:p>
      <w:pPr>
        <w:spacing w:after="0" w:line="9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Internal-Use-Software (Topic 350):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This accounting pronouncement improves the operability of the existing guidance by removing all references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software development project stages so that the guidance is neutral to different software development methods. ASU 2025-06 is effective for fiscal years beginning after December 15, 2027. The Company is currently assessing the impact that adopting this accounting pronouncement will have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08"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 Entities</w:t>
      </w:r>
      <w:r>
        <w:rPr>
          <w:rFonts w:ascii="Times New Roman" w:cs="Times New Roman" w:eastAsia="Times New Roman" w:hAnsi="Times New Roman"/>
          <w:sz w:val="18"/>
          <w:szCs w:val="18"/>
          <w:color w:val="auto"/>
        </w:rPr>
        <w:t>. This accounting pronouncement establishes guidance on the recognition, measurement, and presentation of government grants received by business entities. ASU 2025-10 is effective for fiscal years beginning after December 15, 2028. The Company is currently assessing the impact that adopting this accounting pronouncement will have on its Condensed Consolidated Financial Statements.</w:t>
      </w:r>
    </w:p>
    <w:p>
      <w:pPr>
        <w:spacing w:after="0" w:line="85"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accounting pronouncement is intended to improve the navigability of guidance in ASC 270, Interim Reporting, and clarify when it applies. ASU 2025-11 is effective for fiscal years beginning after December 15, 2027. The Company is currently assessing the impact that adopting this accounting pronouncement will have on its future interim reporting.</w:t>
      </w:r>
    </w:p>
    <w:p>
      <w:pPr>
        <w:spacing w:after="0" w:line="99" w:lineRule="exact"/>
        <w:rPr>
          <w:sz w:val="20"/>
          <w:szCs w:val="20"/>
          <w:color w:val="auto"/>
        </w:rPr>
      </w:pPr>
    </w:p>
    <w:p>
      <w:pPr>
        <w:jc w:val="both"/>
        <w:ind w:right="20"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This accounting pronouncement addresses suggestions received from stakeholders regarding the Accounting Standards Codification and makes other incremental improvements to GAAP that clarify, correct errors in, or make other improvements to a variety of topics that are intended to make it easier to understand and apply. ASU 2025-12 is effective for fiscal years beginning after December 15, 2026. The Company is currently assessing the impact that adopting this accounting pronouncement will have on its Condensed Consolidated Financial Statements.</w:t>
      </w:r>
    </w:p>
    <w:p>
      <w:pPr>
        <w:spacing w:after="0" w:line="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Revenues by segment and by payer group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Borders>
              <w:right w:val="single" w:sz="8" w:color="auto"/>
            </w:tcBorders>
          </w:tcPr>
          <w:p>
            <w:pPr>
              <w:spacing w:after="0"/>
              <w:rPr>
                <w:sz w:val="18"/>
                <w:szCs w:val="18"/>
                <w:color w:val="auto"/>
              </w:rPr>
            </w:pPr>
          </w:p>
        </w:tc>
        <w:tc>
          <w:tcPr>
            <w:tcW w:w="3360" w:type="dxa"/>
            <w:vAlign w:val="bottom"/>
            <w:tcBorders>
              <w:top w:val="single" w:sz="8" w:color="auto"/>
              <w:bottom w:val="single" w:sz="8" w:color="auto"/>
            </w:tcBorders>
            <w:gridSpan w:val="7"/>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780" w:type="dxa"/>
            <w:vAlign w:val="bottom"/>
            <w:tcBorders>
              <w:top w:val="single" w:sz="8" w:color="auto"/>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360" w:type="dxa"/>
            <w:vAlign w:val="bottom"/>
            <w:tcBorders>
              <w:top w:val="single" w:sz="8" w:color="auto"/>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7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right w:val="single" w:sz="8" w:color="auto"/>
            </w:tcBorders>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North America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right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10"/>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5"/>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10"/>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Third party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89"/>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9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Borders>
              <w:right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223"/>
        </w:trPr>
        <w:tc>
          <w:tcPr>
            <w:tcW w:w="2840" w:type="dxa"/>
            <w:vAlign w:val="bottom"/>
            <w:tcBorders>
              <w:right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840" w:type="dxa"/>
            <w:vAlign w:val="bottom"/>
            <w:tcBorders>
              <w:right w:val="single" w:sz="8" w:color="auto"/>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Pharmaceutical, biotechnology, medical</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Borders>
              <w:right w:val="single" w:sz="8" w:color="auto"/>
            </w:tcBorders>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8"/>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diagnostic companies, and CROs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right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Revenues in the U.S. were $2,914.0 (82.4%) and $2,813.8 (84.1%) for the three months ended March 31, 2026, and 2025,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Unbilled Services, and Unearned Revenue</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and unbilled services from contracts with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1"/>
                <w:szCs w:val="21"/>
                <w:color w:val="auto"/>
              </w:rPr>
            </w:pPr>
          </w:p>
        </w:tc>
        <w:tc>
          <w:tcPr>
            <w:tcW w:w="2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accounts receivable</w:t>
            </w: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2,103.8</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services,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243"/>
        <w:spacing w:after="0" w:line="282" w:lineRule="auto"/>
        <w:rPr>
          <w:sz w:val="20"/>
          <w:szCs w:val="20"/>
          <w:color w:val="auto"/>
        </w:rPr>
      </w:pPr>
      <w:r>
        <w:rPr>
          <w:rFonts w:ascii="Times New Roman" w:cs="Times New Roman" w:eastAsia="Times New Roman" w:hAnsi="Times New Roman"/>
          <w:sz w:val="18"/>
          <w:szCs w:val="18"/>
          <w:color w:val="auto"/>
        </w:rPr>
        <w:t>Revenues recognized during the period that were included in the unearned revenue balance at the beginning of the period were $58.3 and $68.9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BLS estimates future expected credit losses on Accounts receivable, net and Unbilled services, net over the remaining collection period of the instrument. The rollforward for the allowance for credit losses was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Accounts</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Unbilled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6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Receivable, net</w:t>
            </w:r>
          </w:p>
        </w:tc>
        <w:tc>
          <w:tcPr>
            <w:tcW w:w="18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Services, net</w:t>
            </w:r>
          </w:p>
        </w:tc>
        <w:tc>
          <w:tcPr>
            <w:tcW w:w="300" w:type="dxa"/>
            <w:vAlign w:val="bottom"/>
          </w:tcPr>
          <w:p>
            <w:pPr>
              <w:spacing w:after="0"/>
              <w:rPr>
                <w:sz w:val="21"/>
                <w:szCs w:val="21"/>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43.5</w:t>
            </w: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spacing w:after="0"/>
              <w:rPr>
                <w:sz w:val="19"/>
                <w:szCs w:val="19"/>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impact</w:t>
            </w:r>
          </w:p>
        </w:tc>
        <w:tc>
          <w:tcPr>
            <w:tcW w:w="140" w:type="dxa"/>
            <w:vAlign w:val="bottom"/>
          </w:tcPr>
          <w:p>
            <w:pPr>
              <w:spacing w:after="0"/>
              <w:rPr>
                <w:sz w:val="19"/>
                <w:szCs w:val="19"/>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March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37.3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BUSINESS ACQUISITIONS</w:t>
      </w:r>
    </w:p>
    <w:p>
      <w:pPr>
        <w:spacing w:after="0" w:line="13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acquired various businesses and related assets for total consideration of $312.0. Total consideration includes cash payments and, as applicable, contingent consideration payable by the Company primarily upon the achievement of specified future performance targets of the acquired businesses. The preliminary purchase considerations for these acquisitions were allocated under the acquisition method of accounting to the estimated fair market value of the net assets acquired. A residual amount of tax-deductible goodwill, including measurement period adjustments relating to prior acquisitions, of $175.9 was recorded during the three months ended March 31, 2026. The purchase price allocations for these acquisitions were preliminary at March 31, 2026. The valuation of acquired assets and assumed liabilities included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Other Acquisitions Closed</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Amounts Acquired</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Empire City</w:t>
            </w:r>
          </w:p>
        </w:tc>
        <w:tc>
          <w:tcPr>
            <w:tcW w:w="12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18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During the Three</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During the Three Months</w:t>
            </w:r>
          </w:p>
        </w:tc>
        <w:tc>
          <w:tcPr>
            <w:tcW w:w="12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Months Ended March</w:t>
            </w: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Laboratories, Inc.</w:t>
            </w: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Ended March 31, 2026</w:t>
            </w: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8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31, 2026</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18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29.3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(29.3)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escrow payment</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Intangible assets recognized from business acquisitions that closed during the three months ended March 31, 2026, including any related measurement period adjustments, and their weighted-average amortization periods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184"/>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Amortization Period</w:t>
            </w:r>
          </w:p>
        </w:tc>
      </w:tr>
      <w:tr>
        <w:trPr>
          <w:trHeight w:val="241"/>
        </w:trPr>
        <w:tc>
          <w:tcPr>
            <w:tcW w:w="7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7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November 13, 2025, the Company announced that it entered into an agreement with Parkview Health System, Inc. to acquire select assets of the health system’s outreach laboratory services for a purchase price of approximately $165.0. The transaction is anticipated to close in 2026, subject to customary closing conditions and applicable regulatory approvals for a transaction of this type.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Supplemental Pro Forma Information</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If the aggregate of the Company’s 2026 and 2025 acquisitions, that were accounted for as business combinations, had been completed at January 1, 2025, the Company’s pro forma results would have been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00" w:type="dxa"/>
            <w:vAlign w:val="bottom"/>
          </w:tcPr>
          <w:p>
            <w:pPr>
              <w:spacing w:after="0"/>
              <w:rPr>
                <w:sz w:val="21"/>
                <w:szCs w:val="21"/>
                <w:color w:val="auto"/>
              </w:rPr>
            </w:pPr>
          </w:p>
        </w:tc>
        <w:tc>
          <w:tcPr>
            <w:tcW w:w="3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1"/>
                <w:szCs w:val="21"/>
                <w:color w:val="auto"/>
              </w:rPr>
            </w:pPr>
          </w:p>
        </w:tc>
      </w:tr>
      <w:tr>
        <w:trPr>
          <w:trHeight w:val="237"/>
        </w:trPr>
        <w:tc>
          <w:tcPr>
            <w:tcW w:w="74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3,410.2</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LHI</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20" w:type="dxa"/>
            <w:vAlign w:val="bottom"/>
          </w:tcPr>
          <w:p>
            <w:pPr>
              <w:spacing w:after="0"/>
              <w:rPr>
                <w:sz w:val="20"/>
                <w:szCs w:val="20"/>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r>
    </w:tbl>
    <w:p>
      <w:pPr>
        <w:spacing w:after="0" w:line="1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Basic EPS is computed by dividing Net earnings attributable to Labcorp Holdings Inc. by the weighted-average number of common shares outstanding. Diluted EPS is computed by dividing Net earnings attributable to Labcorp Holdings Inc., and if applicable, including the impact of dilutive adjustments by the weighted-average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units, and/or performance share awards.</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represents a reconciliation of Basic EPS to Diluted EPS:</w:t>
      </w:r>
    </w:p>
    <w:p>
      <w:pPr>
        <w:spacing w:after="0" w:line="18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right="840"/>
        <w:spacing w:after="0" w:line="297" w:lineRule="auto"/>
        <w:rPr>
          <w:sz w:val="20"/>
          <w:szCs w:val="20"/>
          <w:color w:val="auto"/>
        </w:rPr>
      </w:pPr>
      <w:r>
        <w:rPr>
          <w:rFonts w:ascii="Times New Roman" w:cs="Times New Roman" w:eastAsia="Times New Roman" w:hAnsi="Times New Roman"/>
          <w:sz w:val="18"/>
          <w:szCs w:val="18"/>
          <w:color w:val="auto"/>
        </w:rPr>
        <w:t>Net earnings attributable to LHI Weighted-average common shares outstanding Per share amount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r>
      <w:tr>
        <w:trPr>
          <w:trHeight w:val="176"/>
        </w:trPr>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Dilutive</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Dilutive</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0"/>
        </w:trPr>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EPS</w:t>
            </w:r>
          </w:p>
        </w:tc>
      </w:tr>
      <w:tr>
        <w:trPr>
          <w:trHeight w:val="225"/>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r>
      <w:tr>
        <w:trPr>
          <w:trHeight w:val="229"/>
        </w:trPr>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34"/>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-479425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-179070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4220" w:space="720"/>
            <w:col w:w="6300"/>
          </w:cols>
          <w:pgMar w:left="320" w:top="121" w:right="339" w:bottom="1440" w:gutter="0" w:footer="0" w:header="0"/>
          <w:type w:val="continuous"/>
        </w:sect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EPS because their impact would have been antidilutive:</w:t>
      </w:r>
    </w:p>
    <w:p>
      <w:pPr>
        <w:spacing w:after="0" w:line="10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7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balances, net of impairment, and changes in the carrying amount of goodwill were as follows: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4"/>
        </w:trPr>
        <w:tc>
          <w:tcPr>
            <w:tcW w:w="6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Dx</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BLS</w:t>
            </w:r>
          </w:p>
        </w:tc>
        <w:tc>
          <w:tcPr>
            <w:tcW w:w="300" w:type="dxa"/>
            <w:vAlign w:val="bottom"/>
          </w:tcPr>
          <w:p>
            <w:pPr>
              <w:spacing w:after="0"/>
              <w:rPr>
                <w:sz w:val="24"/>
                <w:szCs w:val="24"/>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2025</w:t>
            </w: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5,434.8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6,789.5</w:t>
            </w:r>
          </w:p>
        </w:tc>
      </w:tr>
      <w:tr>
        <w:trPr>
          <w:trHeight w:val="230"/>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acquired, excluding measurement period adjustments</w:t>
            </w:r>
          </w:p>
        </w:tc>
        <w:tc>
          <w:tcPr>
            <w:tcW w:w="8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9"/>
        </w:trPr>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impact and other adjustments to goodwill</w:t>
            </w:r>
          </w:p>
        </w:tc>
        <w:tc>
          <w:tcPr>
            <w:tcW w:w="8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 March 31, 2026</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5,609.5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6,955.2</w:t>
            </w:r>
          </w:p>
        </w:tc>
      </w:tr>
      <w:tr>
        <w:trPr>
          <w:trHeight w:val="21"/>
        </w:trPr>
        <w:tc>
          <w:tcPr>
            <w:tcW w:w="6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did not record a goodwill or intangible asset impairment charge.</w:t>
      </w:r>
    </w:p>
    <w:p>
      <w:pPr>
        <w:spacing w:after="0" w:line="13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cumulative goodwill impairment for the Company as of March 31, 2026, and December 31, 2025, was $648.5 and primarily represents the goodwill of the Company’s ED reporting unit within the BLS segment.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identifiable intangible assets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Range of Useful Lives</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Gross</w:t>
            </w:r>
          </w:p>
        </w:tc>
        <w:tc>
          <w:tcPr>
            <w:tcW w:w="14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2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Years)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9"/>
                <w:szCs w:val="19"/>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9"/>
                <w:szCs w:val="19"/>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4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(1,850.7)</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2,709.0</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licenses, and technology</w:t>
            </w:r>
          </w:p>
        </w:tc>
        <w:tc>
          <w:tcPr>
            <w:tcW w:w="42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Non-compete agreements</w:t>
            </w:r>
          </w:p>
        </w:tc>
        <w:tc>
          <w:tcPr>
            <w:tcW w:w="4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07"/>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(2,340.5)</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3,036.8</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Canadian and other licenses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0" w:type="dxa"/>
            <w:vAlign w:val="bottom"/>
          </w:tcPr>
          <w:p>
            <w:pPr>
              <w:spacing w:after="0"/>
              <w:rPr>
                <w:sz w:val="1"/>
                <w:szCs w:val="1"/>
                <w:color w:val="auto"/>
              </w:rPr>
            </w:pPr>
          </w:p>
        </w:tc>
      </w:tr>
      <w:tr>
        <w:trPr>
          <w:trHeight w:val="237"/>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3,596.0</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was $75.6 and $69.6 for the three months ended March 31, 2026, and 2025, respectively. The amortization expense of intangible assets is estimated to be $223.0 for the remainder of 2026, $287.8 in 2027, $280.2 in 2028, $267.0 in 2029, $258.7 in 2030, and $1,766.8</w:t>
      </w: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DEBT</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consisted of the following:</w:t>
            </w: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4.35% senior notes due 2030</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4.55% senior notes due 2032</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4.80% senior notes due 2034</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AR Facility</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March 20, 2026, the Company entered into the $750.0 2026 Term Loan that will mature on March 20, 2028, and anticipates using the proceeds to repay maturing short-term debt and for other corporate uses. The principal balance of the 2026 Term Loan bears interest at a floating per annum rate equal to, at the Company’s election, either (i) a SOFR-based rate plus a margin of 0.700% or (ii) a base rate plus a margin of 0.0%. As of March 31, 2026, the effective interest rate on the 2026 Term Loan was 4.39%.</w:t>
      </w:r>
    </w:p>
    <w:p>
      <w:pPr>
        <w:spacing w:after="0" w:line="9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June 27, 2025. It consists of a five-year revolving facility in the principal amount of up to $1,000.0, with the option of increasing the facility by up to an additional $500.0, subject to certain conditions, including obtaining additional commitments from new or existing lenders. The revolving credit facility also provides for a subfacility of up to $100.0 for swing line borrowings and a subfacility of up to $150.0 for issuances of letters of credit. Borrowings under the revolving credit facility bear interest at a floating rate equal to either (i) a SOFR-based rate plus a margin ranging from 0.805% to 1.300% or (ii) a base rate plus a margin ranging from 0.0% to 0.300%, in each case depending on the Company’s long-term debt ratings. The Company is required to pay a facility fee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quarterly on the aggregate amount of commitments under the revolving credit facility, at a per annum rate ranging from 0.070% to 0.200%, depending on the Company’s long-term debt ratings, regardless of usage. The revolving credit facility is permitted to be used for general corporate purposes, including working capital, capital expenditures, funding of share repurchases and certain other payments, acquisitions, and other investments. At March 31, 2026, there were no balances outstanding on the Company’s current revolving credit facility and $107.4 in outstanding letters of credit on the Company’s subfacility. At March 31, 2026, the effective interest rate on the revolving credit facility was 4.67%. The revolving credit facility expires in June 2030.</w:t>
      </w:r>
    </w:p>
    <w:p>
      <w:pPr>
        <w:spacing w:after="0" w:line="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August 23, 2024, the Company and a SPV entered into a $300.0 three-year accounts receivable securitization facility with PNC Bank, National Association (PNC) as administrative agent. The AR Facility provides for purchases of accounts receivable by PNC in an amount of up to $300.0 through August 2027, and may increase up to $700.0, subject to the satisfaction of certain conditions.</w:t>
      </w:r>
    </w:p>
    <w:p>
      <w:pPr>
        <w:spacing w:after="0" w:line="9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January 31, 2025, the Company amended its AR Facility. The amended AR Facility increased the amount the Company can borrow from $300.0 to $700.0 through August of 2027. On January 28, 2026, the Company further amended its AR Facility. Among other things, this amendment extended the scheduled termination date to January 26, 2029, and permits the Company at its option to increase the facility limit from $700.0 to $825.0 at any time on or before May 29, 2026.</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SPV is a variable interest entity for which the Company is the primary beneficiary. The SPV’s sole business consists of the continuous purchase of receivables from the Company which is used as collateral for the loan. Although the SPV is included in the Company’s Condensed Consolidated Financial Statements, it is a separate legal entity with separate creditors.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Upon the transfer of ownership and control of the receivables to the SPV, the Company has no retained interests in the receivables sold and they become unavailable to the Company’s creditors should the relevant seller become insolvent. The Company has collection and administrative responsibilities for the receivables sold to the SPV.</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received no loan proceeds under the AR Facility during the three months ended March 31, 2026. During the three months ended March 31, 2025, the Company received loan proceeds of $225.0 under the AR Facility, which are included in cash from financing activities in the Condensed Consolidated Statement of Cash Flows.</w:t>
      </w:r>
    </w:p>
    <w:p>
      <w:pPr>
        <w:spacing w:after="0" w:line="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Company’s 2026 Term Loan, revolving credit facility, indentures relating to the Company’s senior notes, and AR Facility, the Company is subject to negative covenants limiting subsidiary indebtedness and certain other covenants typical for investment grade-rated borrowers, and with respect to the 2026 Term Loan and revolving credit facility, the Company is required to maintain certain leverage ratios. The Company was in compliance with all such covenants and leverage ratios at March 31, 2026, and expects that it will remain in compliance with its existing covenants and leverage ratios for the next 12 months.</w:t>
      </w:r>
    </w:p>
    <w:p>
      <w:pPr>
        <w:spacing w:after="0" w:line="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PREFERRED STOCK AND COMMON SHAREHOLDERS’ EQUITY</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265.0 shares of its Common Stock. The Company is authorized to issue up to 30.0 shares of preferred stock, par value $0.10 per share. There were no preferred shares outstanding at March 31, 2026, and December 31, 2025.</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changes in the Company’s shares of Common Stock issued and outstanding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80" w:type="dxa"/>
            <w:vAlign w:val="bottom"/>
            <w:tcBorders>
              <w:bottom w:val="single" w:sz="8" w:color="CCEEFF"/>
            </w:tcBorders>
          </w:tcPr>
          <w:p>
            <w:pPr>
              <w:spacing w:after="0"/>
              <w:rPr>
                <w:sz w:val="21"/>
                <w:szCs w:val="21"/>
                <w:color w:val="auto"/>
              </w:rPr>
            </w:pPr>
          </w:p>
        </w:tc>
        <w:tc>
          <w:tcPr>
            <w:tcW w:w="4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30"/>
        </w:trPr>
        <w:tc>
          <w:tcPr>
            <w:tcW w:w="7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repurchased</w:t>
            </w:r>
          </w:p>
        </w:tc>
        <w:tc>
          <w:tcPr>
            <w:tcW w:w="4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0"/>
        </w:trPr>
        <w:tc>
          <w:tcPr>
            <w:tcW w:w="708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entered and may continue to enter into Rule 10b5-1 plans from time to time to facilitate repurchases of its Common Stock. During the three months ended March 31, 2026, the Company purchased 0.4 shares of its Common Stock at an average price of $273.76 per share for a total cost of $98.0. During the three months ended March 31, 2025, the Company did not repurchase any shares of its Common Stock. At March 31, 2026, the Company had outstanding authorization from its Board to purchase up to $732.4 maximum value of shares of Common Stock.</w:t>
      </w:r>
    </w:p>
    <w:p>
      <w:pPr>
        <w:spacing w:after="0" w:line="9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When the Company repurchases shares of Common Stock, the amount paid to repurchase the shares in excess of the par or stated value is allocated to Additional paid-in-capital within the Condensed Consolidated Balance Sheet unless subject 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limitation or the balance in Additional paid-in-capital is exhausted. Remaining amounts are recognized as a reduction in Retained earnings within the Company’s Condensed Consolidated Balance Sheet.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declared and paid a cash dividend of $0.72 per share of Common Stock.</w:t>
      </w:r>
    </w:p>
    <w:p>
      <w:pPr>
        <w:spacing w:after="0" w:line="13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April 9, 2026, the Company announced a cash dividend of $0.72 per share of Common Stock, or approximately $60.0 in the aggregate. The dividend will be paid on June 11, 2026, to stockholders of record of all issued and outstanding shares of Common Stock as of the close of business on May 29, 2026. The declaration and payment of any future dividends will be at the discretion of the Board.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2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Net Benefit Plan Adjustments</w:t>
            </w:r>
          </w:p>
        </w:tc>
        <w:tc>
          <w:tcPr>
            <w:tcW w:w="240" w:type="dxa"/>
            <w:vAlign w:val="bottom"/>
          </w:tcPr>
          <w:p>
            <w:pPr>
              <w:spacing w:after="0"/>
              <w:rPr>
                <w:sz w:val="16"/>
                <w:szCs w:val="16"/>
                <w:color w:val="auto"/>
              </w:rPr>
            </w:pPr>
          </w:p>
        </w:tc>
        <w:tc>
          <w:tcPr>
            <w:tcW w:w="1860" w:type="dxa"/>
            <w:vAlign w:val="bottom"/>
          </w:tcPr>
          <w:p>
            <w:pPr>
              <w:jc w:val="right"/>
              <w:ind w:right="312"/>
              <w:spacing w:after="0"/>
              <w:rPr>
                <w:sz w:val="20"/>
                <w:szCs w:val="20"/>
                <w:color w:val="auto"/>
              </w:rPr>
            </w:pPr>
            <w:r>
              <w:rPr>
                <w:rFonts w:ascii="Times New Roman" w:cs="Times New Roman" w:eastAsia="Times New Roman" w:hAnsi="Times New Roman"/>
                <w:sz w:val="16"/>
                <w:szCs w:val="16"/>
                <w:color w:val="auto"/>
              </w:rPr>
              <w:t>Accumulated Other</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6"/>
                <w:szCs w:val="16"/>
                <w:color w:val="auto"/>
              </w:rPr>
              <w:t>Adjustments</w:t>
            </w:r>
          </w:p>
        </w:tc>
        <w:tc>
          <w:tcPr>
            <w:tcW w:w="2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color w:val="auto"/>
              </w:rPr>
              <w:t>Comprehensive Loss</w:t>
            </w:r>
          </w:p>
        </w:tc>
        <w:tc>
          <w:tcPr>
            <w:tcW w:w="0" w:type="dxa"/>
            <w:vAlign w:val="bottom"/>
          </w:tcPr>
          <w:p>
            <w:pPr>
              <w:spacing w:after="0"/>
              <w:rPr>
                <w:sz w:val="1"/>
                <w:szCs w:val="1"/>
                <w:color w:val="auto"/>
              </w:rPr>
            </w:pPr>
          </w:p>
        </w:tc>
      </w:tr>
      <w:tr>
        <w:trPr>
          <w:trHeight w:val="94"/>
        </w:trPr>
        <w:tc>
          <w:tcPr>
            <w:tcW w:w="4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30"/>
        </w:trPr>
        <w:tc>
          <w:tcPr>
            <w:tcW w:w="4780" w:type="dxa"/>
            <w:vAlign w:val="bottom"/>
          </w:tcPr>
          <w:p>
            <w:pPr>
              <w:jc w:val="center"/>
              <w:ind w:right="2650"/>
              <w:spacing w:after="0"/>
              <w:rPr>
                <w:sz w:val="20"/>
                <w:szCs w:val="20"/>
                <w:color w:val="auto"/>
              </w:rPr>
            </w:pPr>
            <w:r>
              <w:rPr>
                <w:rFonts w:ascii="Times New Roman" w:cs="Times New Roman" w:eastAsia="Times New Roman" w:hAnsi="Times New Roman"/>
                <w:sz w:val="18"/>
                <w:szCs w:val="18"/>
                <w:color w:val="auto"/>
                <w:w w:val="99"/>
              </w:rPr>
              <w:t>Current year adjustments</w:t>
            </w: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jc w:val="center"/>
              <w:ind w:right="2610"/>
              <w:spacing w:after="0"/>
              <w:rPr>
                <w:sz w:val="20"/>
                <w:szCs w:val="20"/>
                <w:color w:val="auto"/>
              </w:rPr>
            </w:pPr>
            <w:r>
              <w:rPr>
                <w:rFonts w:ascii="Times New Roman" w:cs="Times New Roman" w:eastAsia="Times New Roman" w:hAnsi="Times New Roman"/>
                <w:sz w:val="18"/>
                <w:szCs w:val="18"/>
                <w:color w:val="auto"/>
                <w:w w:val="98"/>
              </w:rPr>
              <w:t>Tax effect on adjustments</w:t>
            </w:r>
          </w:p>
        </w:tc>
        <w:tc>
          <w:tcPr>
            <w:tcW w:w="3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78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9"/>
              </w:rPr>
              <w:t>Balance at March 31, 2025</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jc w:val="center"/>
              <w:ind w:right="2650"/>
              <w:spacing w:after="0"/>
              <w:rPr>
                <w:sz w:val="20"/>
                <w:szCs w:val="20"/>
                <w:color w:val="auto"/>
              </w:rPr>
            </w:pPr>
            <w:r>
              <w:rPr>
                <w:rFonts w:ascii="Times New Roman" w:cs="Times New Roman" w:eastAsia="Times New Roman" w:hAnsi="Times New Roman"/>
                <w:sz w:val="18"/>
                <w:szCs w:val="18"/>
                <w:color w:val="auto"/>
                <w:w w:val="99"/>
              </w:rPr>
              <w:t>Current year adjustments</w:t>
            </w:r>
          </w:p>
        </w:tc>
        <w:tc>
          <w:tcPr>
            <w:tcW w:w="3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4780" w:type="dxa"/>
            <w:vAlign w:val="bottom"/>
          </w:tcPr>
          <w:p>
            <w:pPr>
              <w:jc w:val="center"/>
              <w:ind w:right="2630"/>
              <w:spacing w:after="0"/>
              <w:rPr>
                <w:sz w:val="20"/>
                <w:szCs w:val="20"/>
                <w:color w:val="auto"/>
              </w:rPr>
            </w:pPr>
            <w:r>
              <w:rPr>
                <w:rFonts w:ascii="Times New Roman" w:cs="Times New Roman" w:eastAsia="Times New Roman" w:hAnsi="Times New Roman"/>
                <w:sz w:val="18"/>
                <w:szCs w:val="18"/>
                <w:color w:val="auto"/>
                <w:w w:val="99"/>
              </w:rPr>
              <w:t>Tax effect of adjustments</w:t>
            </w:r>
          </w:p>
        </w:tc>
        <w:tc>
          <w:tcPr>
            <w:tcW w:w="3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11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jc w:val="center"/>
              <w:ind w:right="2710"/>
              <w:spacing w:after="0"/>
              <w:rPr>
                <w:sz w:val="20"/>
                <w:szCs w:val="20"/>
                <w:color w:val="auto"/>
              </w:rPr>
            </w:pPr>
            <w:r>
              <w:rPr>
                <w:rFonts w:ascii="Times New Roman" w:cs="Times New Roman" w:eastAsia="Times New Roman" w:hAnsi="Times New Roman"/>
                <w:sz w:val="18"/>
                <w:szCs w:val="18"/>
                <w:color w:val="auto"/>
                <w:w w:val="99"/>
              </w:rPr>
              <w:t>Balance at March 31, 2026</w:t>
            </w: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60" w:firstLine="8"/>
        <w:spacing w:after="0" w:line="393"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 Company has a noncancelable contract with a vendor to purchase supplies inventory pursuant to which the Company is obligated to make expected total future minimum payments of $122.3, including $27.8 for the remainder of 2026, $20.5 in 2027, and $74.0 in 2028.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121" w:lineRule="exact"/>
        <w:rPr>
          <w:sz w:val="20"/>
          <w:szCs w:val="20"/>
          <w:color w:val="auto"/>
        </w:rPr>
      </w:pPr>
    </w:p>
    <w:p>
      <w:pPr>
        <w:jc w:val="both"/>
        <w:ind w:firstLine="283"/>
        <w:spacing w:after="0" w:line="237" w:lineRule="auto"/>
        <w:rPr>
          <w:sz w:val="20"/>
          <w:szCs w:val="20"/>
          <w:color w:val="auto"/>
        </w:rPr>
      </w:pPr>
      <w:r>
        <w:rPr>
          <w:rFonts w:ascii="Times New Roman" w:cs="Times New Roman" w:eastAsia="Times New Roman" w:hAnsi="Times New Roman"/>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11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is named from time to time in suits brought under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 Such claims are an inevitable part of doing business in the healthcare field today.</w:t>
      </w:r>
    </w:p>
    <w:p>
      <w:pPr>
        <w:spacing w:after="0" w:line="8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establishes reserves for judicial, regulatory, and arbitration matters outside the aggregate legal reserve if and when those matters present loss contingencies that are both probable and reasonably estimable and would exceed the aggregate legal reserve. If the reasonable estimate of a known or probable loss is a range, and no amount within the range is a better estimate than any other, the minimum amount of the range is accrued. If a loss is reasonably possible but not known or probable, and may be reasonably estimated, the estimated loss or range of loss is disclosed. When loss contingencies are not both probable and reasonably estimable, the Company does not establish separate reserves.</w:t>
      </w:r>
    </w:p>
    <w:p>
      <w:pPr>
        <w:spacing w:after="0" w:line="9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is unable to estimate a range of reasonably possible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8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 xml:space="preserve">The Company has received various subpoenas and other civil investigative demands related to Medicaid billing.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Petition was pending under seal in the District Court, 250th Judicial District, Travis County, Texas, and that the State of Texas had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On December 31, 2024, the Texas Court of Appeals issued a decision reversing the District Court’s order granting the Company’s Motion for Partial Summary Judgment. On February 28, 2025, the Company filed in the Texas Supreme Court a Petition for Review with respect to the Texas Court of Appeals decision. On January 16, 2026, the Texas Supreme Court granted the Petition for Review, and on February 12, 2026, the Texas Supreme Court held oral argument. The Company will vigorously defend the lawsuit.</w:t>
      </w:r>
    </w:p>
    <w:p>
      <w:pPr>
        <w:spacing w:after="0" w:line="11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address. For the individuals whose Social Security Number was affected, the notice included an offer to enroll in credit monitoring and identity protection services that was provided free of charge for 24 months.</w:t>
      </w:r>
    </w:p>
    <w:p>
      <w:pPr>
        <w:spacing w:after="0" w:line="8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Twenty-three putative class action lawsuits were filed against the Company related to the AMCA Incident in various U.S. District Courts. Numerous similar lawsuits have been filed against other healthcare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per se,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On November 1, 2024, Plaintiffs served their motion for class certification. On March 2, 2026, the parties entered into a Class Action Settlement and Release, which is subject to court approval.</w:t>
      </w:r>
    </w:p>
    <w:p>
      <w:pPr>
        <w:spacing w:after="0" w:line="9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asserts 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spacing w:after="0" w:line="9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9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PSCs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On September 13, 2024, the Company filed a Petition for Writ of Certiorari with the U.S. Supreme Court, which was granted on January 24, 2025, and then dismissed on June 5, 2025. In March 2026, the parties filed cross Motions for Summary Judgment. The Company will vigorously defend the lawsuit.</w:t>
      </w:r>
    </w:p>
    <w:p>
      <w:pPr>
        <w:spacing w:after="0" w:line="93"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On October 16, 2020, Ravgen Inc. filed a patent infringement lawsuit, </w:t>
      </w:r>
      <w:r>
        <w:rPr>
          <w:rFonts w:ascii="Times New Roman" w:cs="Times New Roman" w:eastAsia="Times New Roman" w:hAnsi="Times New Roman"/>
          <w:sz w:val="18"/>
          <w:szCs w:val="18"/>
          <w:i w:val="1"/>
          <w:iCs w:val="1"/>
          <w:color w:val="auto"/>
        </w:rPr>
        <w:t>Ravgen Inc. v. Laboratory Corporation of America Holdings</w:t>
      </w:r>
      <w:r>
        <w:rPr>
          <w:rFonts w:ascii="Times New Roman" w:cs="Times New Roman" w:eastAsia="Times New Roman" w:hAnsi="Times New Roman"/>
          <w:sz w:val="18"/>
          <w:szCs w:val="18"/>
          <w:color w:val="auto"/>
        </w:rPr>
        <w:t>, in the U.S. District Court for the Western District of Texas, alleging infringement of two Ravgen-owned U.S. patents. The lawsuit sought monetary damages, enhancement of those damages for willfulness, and recovery of attorney’s fees and costs. On September 28, 2022, a jury rendered a verdict in favor of the Plaintiff on the sole asserted patent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On January 23,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court issued an order awarding Plaintiff post-verdict supplemental damages of $2.6, an ongoing royalty of one hundred dollars and 00/100 cents per test through the life of the patent at issue, pre- and post-judgment interest, and other relief. In January and February 2025, the trial court entered orders denying the Company’s post-trial motions and the Company has filed an appeal. On March 18, 2025, the Company filed an appeal bond with the Court to stay enforcement of the judgment pending appeal. The Company strongly disagrees with the verdict, based on a number of legal factors, and will vigorously defend the lawsuit through the appeal process.</w:t>
      </w:r>
    </w:p>
    <w:p>
      <w:pPr>
        <w:spacing w:after="0" w:line="10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On June 7, 2023, the Company was served with a putative class action lawsuit, </w:t>
      </w:r>
      <w:r>
        <w:rPr>
          <w:rFonts w:ascii="Times New Roman" w:cs="Times New Roman" w:eastAsia="Times New Roman" w:hAnsi="Times New Roman"/>
          <w:sz w:val="18"/>
          <w:szCs w:val="18"/>
          <w:i w:val="1"/>
          <w:iCs w:val="1"/>
          <w:color w:val="auto"/>
        </w:rPr>
        <w:t>Connie Howard, Yadira Yazmin Hernandez, and Deborah Reynolds,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 v. Laboratory Corporation of America, Laboratory Corporation of America Holdings, and Meta Platforms, Inc.</w:t>
      </w:r>
      <w:r>
        <w:rPr>
          <w:rFonts w:ascii="Times New Roman" w:cs="Times New Roman" w:eastAsia="Times New Roman" w:hAnsi="Times New Roman"/>
          <w:sz w:val="18"/>
          <w:szCs w:val="18"/>
          <w:color w:val="auto"/>
        </w:rPr>
        <w:t>, filed in the U.S.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On October 11, 2023, the Company filed a Motion to Dismiss the Amended Complaint. On April 2, 2026, the parties entered into a Class Action Settlement and Release, which is subject to court approval.</w:t>
      </w:r>
    </w:p>
    <w:p>
      <w:pPr>
        <w:spacing w:after="0" w:line="9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MEASUREMENTS AND DERIVATIVE INSTRUMENTS AND HEDGING ACTIVITIES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8"/>
          </w:tcPr>
          <w:p>
            <w:pPr>
              <w:jc w:val="center"/>
              <w:ind w:right="3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color w:val="auto"/>
                <w:w w:val="99"/>
              </w:rPr>
              <w:t>March 31, 2026</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120" w:type="dxa"/>
            <w:vAlign w:val="bottom"/>
          </w:tcPr>
          <w:p>
            <w:pPr>
              <w:spacing w:after="0"/>
              <w:rPr>
                <w:sz w:val="6"/>
                <w:szCs w:val="6"/>
                <w:color w:val="auto"/>
              </w:rPr>
            </w:pPr>
          </w:p>
        </w:tc>
        <w:tc>
          <w:tcPr>
            <w:tcW w:w="22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8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7"/>
              </w:rPr>
              <w:t>Fair Value at</w:t>
            </w:r>
          </w:p>
        </w:tc>
        <w:tc>
          <w:tcPr>
            <w:tcW w:w="120" w:type="dxa"/>
            <w:vAlign w:val="bottom"/>
          </w:tcPr>
          <w:p>
            <w:pPr>
              <w:spacing w:after="0"/>
              <w:rPr>
                <w:sz w:val="6"/>
                <w:szCs w:val="6"/>
                <w:color w:val="auto"/>
              </w:rPr>
            </w:pPr>
          </w:p>
        </w:tc>
        <w:tc>
          <w:tcPr>
            <w:tcW w:w="2720" w:type="dxa"/>
            <w:vAlign w:val="bottom"/>
            <w:gridSpan w:val="8"/>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22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Balance Sheets</w:t>
            </w:r>
          </w:p>
        </w:tc>
        <w:tc>
          <w:tcPr>
            <w:tcW w:w="24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Classification</w:t>
            </w:r>
          </w:p>
        </w:tc>
        <w:tc>
          <w:tcPr>
            <w:tcW w:w="24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March 31, 2026</w:t>
            </w:r>
          </w:p>
        </w:tc>
        <w:tc>
          <w:tcPr>
            <w:tcW w:w="12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149"/>
        </w:trPr>
        <w:tc>
          <w:tcPr>
            <w:tcW w:w="4120" w:type="dxa"/>
            <w:vAlign w:val="bottom"/>
            <w:vMerge w:val="continue"/>
            <w:shd w:val="clear" w:color="auto" w:fill="CCEEFF"/>
          </w:tcPr>
          <w:p>
            <w:pPr>
              <w:spacing w:after="0"/>
              <w:rPr>
                <w:sz w:val="12"/>
                <w:szCs w:val="12"/>
                <w:color w:val="auto"/>
              </w:rPr>
            </w:pPr>
          </w:p>
        </w:tc>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240" w:type="dxa"/>
            <w:vAlign w:val="bottom"/>
            <w:vMerge w:val="continue"/>
            <w:shd w:val="clear" w:color="auto" w:fill="CCEEFF"/>
          </w:tcPr>
          <w:p>
            <w:pPr>
              <w:spacing w:after="0"/>
              <w:rPr>
                <w:sz w:val="12"/>
                <w:szCs w:val="12"/>
                <w:color w:val="auto"/>
              </w:rPr>
            </w:pPr>
          </w:p>
        </w:tc>
        <w:tc>
          <w:tcPr>
            <w:tcW w:w="1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300" w:type="dxa"/>
            <w:vAlign w:val="bottom"/>
            <w:gridSpan w:val="3"/>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120" w:type="dxa"/>
            <w:vAlign w:val="bottom"/>
            <w:shd w:val="clear" w:color="auto" w:fill="CCEEFF"/>
          </w:tcPr>
          <w:p>
            <w:pPr>
              <w:spacing w:after="0"/>
              <w:rPr>
                <w:sz w:val="8"/>
                <w:szCs w:val="8"/>
                <w:color w:val="auto"/>
              </w:rPr>
            </w:pPr>
          </w:p>
        </w:tc>
        <w:tc>
          <w:tcPr>
            <w:tcW w:w="224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5"/>
        </w:trPr>
        <w:tc>
          <w:tcPr>
            <w:tcW w:w="4120" w:type="dxa"/>
            <w:vAlign w:val="bottom"/>
          </w:tcPr>
          <w:p>
            <w:pPr>
              <w:spacing w:after="0"/>
              <w:rPr>
                <w:sz w:val="24"/>
                <w:szCs w:val="24"/>
                <w:color w:val="auto"/>
              </w:rPr>
            </w:pPr>
          </w:p>
        </w:tc>
        <w:tc>
          <w:tcPr>
            <w:tcW w:w="21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jc w:val="center"/>
              <w:ind w:left="150"/>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120" w:type="dxa"/>
            <w:vAlign w:val="bottom"/>
          </w:tcPr>
          <w:p>
            <w:pPr>
              <w:spacing w:after="0"/>
              <w:rPr>
                <w:sz w:val="6"/>
                <w:szCs w:val="6"/>
                <w:color w:val="auto"/>
              </w:rPr>
            </w:pPr>
          </w:p>
        </w:tc>
        <w:tc>
          <w:tcPr>
            <w:tcW w:w="22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7"/>
              </w:rPr>
              <w:t>Fair Value at</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6"/>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22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Balance Sheets</w:t>
            </w:r>
          </w:p>
        </w:tc>
        <w:tc>
          <w:tcPr>
            <w:tcW w:w="1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Classification</w:t>
            </w: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2</w:t>
            </w: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expenses and</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50.0</w:t>
            </w:r>
          </w:p>
        </w:tc>
        <w:tc>
          <w:tcPr>
            <w:tcW w:w="0" w:type="dxa"/>
            <w:vAlign w:val="bottom"/>
          </w:tcPr>
          <w:p>
            <w:pPr>
              <w:spacing w:after="0"/>
              <w:rPr>
                <w:sz w:val="1"/>
                <w:szCs w:val="1"/>
                <w:color w:val="auto"/>
              </w:rPr>
            </w:pPr>
          </w:p>
        </w:tc>
      </w:tr>
      <w:tr>
        <w:trPr>
          <w:trHeight w:val="148"/>
        </w:trPr>
        <w:tc>
          <w:tcPr>
            <w:tcW w:w="4120" w:type="dxa"/>
            <w:vAlign w:val="bottom"/>
            <w:vMerge w:val="continue"/>
            <w:shd w:val="clear" w:color="auto" w:fill="CCEEFF"/>
          </w:tcPr>
          <w:p>
            <w:pPr>
              <w:spacing w:after="0"/>
              <w:rPr>
                <w:sz w:val="12"/>
                <w:szCs w:val="12"/>
                <w:color w:val="auto"/>
              </w:rPr>
            </w:pPr>
          </w:p>
        </w:tc>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180" w:type="dxa"/>
            <w:vAlign w:val="bottom"/>
            <w:vMerge w:val="continue"/>
            <w:shd w:val="clear" w:color="auto" w:fill="CCEEFF"/>
          </w:tcPr>
          <w:p>
            <w:pPr>
              <w:spacing w:after="0"/>
              <w:rPr>
                <w:sz w:val="12"/>
                <w:szCs w:val="12"/>
                <w:color w:val="auto"/>
              </w:rPr>
            </w:pPr>
          </w:p>
        </w:tc>
        <w:tc>
          <w:tcPr>
            <w:tcW w:w="17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120" w:type="dxa"/>
            <w:vAlign w:val="bottom"/>
            <w:shd w:val="clear" w:color="auto" w:fill="CCEEFF"/>
          </w:tcPr>
          <w:p>
            <w:pPr>
              <w:spacing w:after="0"/>
              <w:rPr>
                <w:sz w:val="8"/>
                <w:szCs w:val="8"/>
                <w:color w:val="auto"/>
              </w:rPr>
            </w:pPr>
          </w:p>
        </w:tc>
        <w:tc>
          <w:tcPr>
            <w:tcW w:w="22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Measurement of Level 3 Liabilities:</w:t>
            </w:r>
          </w:p>
        </w:tc>
        <w:tc>
          <w:tcPr>
            <w:tcW w:w="2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Additions from business acquisitions</w:t>
            </w:r>
          </w:p>
        </w:tc>
        <w:tc>
          <w:tcPr>
            <w:tcW w:w="2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89.8</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139.8</w:t>
            </w:r>
          </w:p>
        </w:tc>
        <w:tc>
          <w:tcPr>
            <w:tcW w:w="380" w:type="dxa"/>
            <w:vAlign w:val="bottom"/>
            <w:tcBorders>
              <w:bottom w:val="single" w:sz="8" w:color="CCEEFF"/>
            </w:tcBorders>
            <w:shd w:val="clear" w:color="auto" w:fill="CCEEFF"/>
          </w:tcPr>
          <w:p>
            <w:pPr>
              <w:jc w:val="right"/>
              <w:ind w:right="135"/>
              <w:spacing w:after="0" w:line="130" w:lineRule="exact"/>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60" w:hanging="252"/>
        <w:spacing w:after="0" w:line="229" w:lineRule="auto"/>
        <w:tabs>
          <w:tab w:leader="none" w:pos="24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March 31, 2026, $75.5 and $64.3 of contingent consideration is included within Accrued expenses and other and Other liabilities, respectively, in the Company’s Condensed Consolidated Balance Sheets.</w:t>
      </w:r>
    </w:p>
    <w:p>
      <w:pPr>
        <w:spacing w:after="0" w:line="10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has a noncontrolling interest put option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derivative financial instruments have been determined based on market value equivalents at the balance sheet date, taking into account the current interest rate environment and therefore were classified as Level 2 measurements in the fair value hierarchy.</w:t>
      </w:r>
    </w:p>
    <w:p>
      <w:pPr>
        <w:spacing w:after="0" w:line="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an employee-funded DCP. A participant’s deferrals are allocated by the participant to one or more of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9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measured the fair value of contingent consideration liabilities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8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accounts payable are considered to be representative of their respective fair values due to their short-term nature. Although recorded at amortized cost on the Company’s Condensed Consolidated Balance Sheets, the fair market value of the Company’s senior notes was $4,915.9 and $4,963.6 at March 31, 2026, and December 31, 2025, respectively. At March 31, 2026, the carrying value of the Company’s 2026 Term Loan, also recorded at amortized cost, was estimated to approximate fair value primarily due to its variable interest rate. The Company’s senior notes and 2026 Term Loan are considered Level 2 instruments, as the fair market values of these instruments are based on observable market pricing/inputs.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is party to fixed-to-variable interest rate swap agreements for its 2.70% senior notes due 2031 with an aggregate notional amount of $500.0 and variable interest rates currently based on the compounded SOFR, plus 1.33%.</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rate swap agreements, which have been used by the Company from time to time in the management of interest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exposure, are accounted for at fair value. These derivative financial instruments are accounted for as fair value hedges that increase or decrease the value of the Company’s senior notes with the offset being recorded as a component of other long-term assets or liabilities, as applicable. As the specific terms and notional amounts of the derivative financial instruments match those of the fixed-rate debt being hedged, the derivative instruments are assumed to be perfectly effective hedges and accordingly, there is no impact to the Company’s Condensed Consolidated Statements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Currency Swaps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is party to various USD to Swiss Franc cross-currency swap agreements with an aggregate notional amount of $1,200.0, with $300.0 maturing in 2029, $300.0 maturing in 2031, and $600.0 maturing in 2034.</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above instruments are designated as a hedge against the impact of foreign exchange movements on its net investment in a Swiss subsidiary. Changes in the fair value of the cross-currency swaps are charged or credited through Accumulated other comprehensive loss in the Condensed Consolidated Balance Sheet until the hedged item is recognized in earnings. The cumulative amount of the fair value hedging adjustments is recognized as currency translation within the Condensed Consolidated Statement of Comprehensive Earnings.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table below provides information regarding the location and amount of pretax gains of derivatives designated in fair value hedging relationships: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Pr>
          <w:p>
            <w:pPr>
              <w:spacing w:after="0"/>
              <w:rPr>
                <w:sz w:val="20"/>
                <w:szCs w:val="20"/>
                <w:color w:val="auto"/>
              </w:rPr>
            </w:pPr>
          </w:p>
        </w:tc>
        <w:tc>
          <w:tcPr>
            <w:tcW w:w="3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Amounts included in other comprehensive loss</w:t>
            </w:r>
          </w:p>
        </w:tc>
      </w:tr>
      <w:tr>
        <w:trPr>
          <w:trHeight w:val="237"/>
        </w:trPr>
        <w:tc>
          <w:tcPr>
            <w:tcW w:w="7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SUPPLEMENTAL CASH FLOW INFORMATION</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8"/>
        </w:trPr>
        <w:tc>
          <w:tcPr>
            <w:tcW w:w="7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 related to business acquisitions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bl>
    <w:p>
      <w:pPr>
        <w:spacing w:after="0" w:line="189"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13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following table is a summary of segment information for the three months ended March 31, 2026, and 2025.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CODM for evaluating segment performance and deciding how to allocate resources to segments. The Company’s chief executive officer has been identified as the CODM.</w:t>
      </w:r>
    </w:p>
    <w:p>
      <w:pPr>
        <w:spacing w:after="0" w:line="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CODM uses segment operating income to evaluate segment performance and to allocate resources. This segment performance measure excludes the amortization of intangibles and other assets, restructuring and other charges, goodwill and other asset impairments, and certain corporate charges for items such as transaction costs and other special items. Other operating expenses are comprised primarily of rent, maintenance, sendout testing, utilities, travel and entertainment, and other segment expenses, including shipping costs for Dx. Segment asset information is not presented because it is not used by the CODM.</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5"/>
        </w:trPr>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Intercompany eliminations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1"/>
                <w:szCs w:val="21"/>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Dx</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3,537.6</w:t>
            </w: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75"/>
        </w:trPr>
        <w:tc>
          <w:tcPr>
            <w:tcW w:w="4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Intercompany eliminations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1"/>
                <w:szCs w:val="21"/>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Dx</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3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3,345.1</w:t>
            </w:r>
          </w:p>
        </w:tc>
      </w:tr>
      <w:tr>
        <w:trPr>
          <w:trHeight w:val="216"/>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1220"/>
        <w:spacing w:after="0" w:line="399"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firstLine="283"/>
        <w:spacing w:after="0" w:line="246" w:lineRule="auto"/>
        <w:rPr>
          <w:sz w:val="20"/>
          <w:szCs w:val="20"/>
          <w:color w:val="auto"/>
        </w:rPr>
      </w:pPr>
      <w:r>
        <w:rPr>
          <w:rFonts w:ascii="Times New Roman" w:cs="Times New Roman" w:eastAsia="Times New Roman" w:hAnsi="Times New Roman"/>
          <w:sz w:val="18"/>
          <w:szCs w:val="18"/>
          <w:color w:val="auto"/>
        </w:rPr>
        <w:t>In this Quarterly Report on Form 10-Q (Quarterly Report), 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together with its subsidiaries (Labcorp, LHI or the Company) has made,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“Risk Factors” section of the Annual Report, and in the Company’s other public filings, press releases, and discussions with Company management, including:</w:t>
      </w:r>
    </w:p>
    <w:p>
      <w:pPr>
        <w:spacing w:after="0" w:line="195" w:lineRule="exact"/>
        <w:rPr>
          <w:sz w:val="20"/>
          <w:szCs w:val="20"/>
          <w:color w:val="auto"/>
        </w:rPr>
      </w:pPr>
    </w:p>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monetary damages, and penalties, and/or exclusion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w:t>
      </w: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the U.S. Clinical Laboratory Improvement Amendments of 1988, Medicare, Medicaid, or other national, state, or local laws or regulations of the U.S. and other countries where the Company operates laboratories;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U.S. Animal Welfare Act or applicable national, state, and local laws and regulations in jurisdictions in which the Company conducts business;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failure to comply with the applicable regulations of pharmaceutical and medical device regulators affecting the approval, availability of, and the selling and marketing of diagnostic tests, including laboratory-developed tests, drug development, or the conduct of drug development and medical device and diagnostic studies and trials, including regulations and policies of the U.S. Food and Drug Administration, the U.S. Department of Agriculture, the Medicines and Healthcare Products Regulatory Agency in the U.K., the National Medical Products Administration in China, the Pharmaceutical and Medical Devices Agency in Japan, the European Union, the European Medicines Agency, and similar regulations and policies of agencies in other jurisdictions in which the Company conducts business;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pertaining to the pharmaceutical, biotechnology, medical device, and diagnostic industries, changes in reimbursement of pharmaceutical products, or reduced spending on research and development by pharmaceutical, biotechnology, medical device, and diagnostic customers;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color w:val="auto"/>
        </w:rPr>
        <w:t>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business from MCOs as a result of changes in strategy or business models;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invest in or effectively develop and deploy new systems, system modifications or enhancements required in response to evolving market, business, and customer trends and needs;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 acquired businesses, including due to items not discovered in the due diligence process, and the impact on the Company’s cash position, levels of indebtedness, and stock price;</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and other services or other contractual arrangements;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reputation, or business, from acts of animal rights activists or potential harm, liability, or operational disruptions arising from, or increased regulations and restrictions, of animal research activities;</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 develop experienced and qualified personnel, including personnel in key roles and critical positions, due to increased competition for talent, wage growth, or other market factors beyond the Company’s control;</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offerings and defend against challenges to those rights;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offerings or operate its business;</w:t>
      </w: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the Company’s material costs or other operating costs, or other impacts on the business due to natural disasters, adverse weather, geopolitical events, public health crises, and other events beyond the Company’s control;</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products used in the performance of testing;</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information technology systems of the Company or newly-acquired businesses, the failure of the Company or its third-party suppliers and vendors to maintain the security of their information technology systems or to protect against cybersecurity incidents, failures in the development and implementation of the Company’s automation platforms, or adverse effects from the use of or regulation of artificial intelligence and machine learning tools;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S&amp;P and/or Moody’s;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leverage ratio covenants under its revolving credit facility;</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jc w:val="both"/>
        <w:ind w:left="340" w:hanging="332"/>
        <w:spacing w:after="0" w:line="255"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the U.K. Bribery Act, other applicable anti-corruption laws and regulations, trade sanction laws and regulations, and economic, political, legal, and other operational risks associated with foreign jurisdictions;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benefits, and savings in connection with the Company’s business process improvement initiatives;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 and government and regulatory changes; and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impacts and expected benefits and costs of the completed Spin-off of the Company’s former clinical development and commercialization services business, Fortrea, including but not limited to factors that could adversely affect the Company’s ability to realize the expected benefits of the Spin-off or the failure of the Spin-off to qualify as a tax-free transaction for U.S. federal income tax purposes.</w:t>
      </w:r>
    </w:p>
    <w:p>
      <w:pPr>
        <w:spacing w:after="0" w:line="7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Company’s revenues were $3,537.6, an increase of 5.8% from $3,345.1 for the corresponding period in 2025. The 5.8% increase for the three months ended March 31, 2026, as compared to the corresponding period in 2025, was due to organic revenue of 3.1%, acquisitions, net of divestitures, of 1.4%, and favorable foreign currency translation of 1.3%.</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defines organic revenue and organic growth as the increase in revenues excluding the year-over-year impact of acquisitions, divestitures, and currency, as well as other strategic actions taken in ED. The impacts relating to acquisitions, divestitures, and other strategic actions are considered for a 12-month period following the closing of each transaction.</w:t>
      </w:r>
    </w:p>
    <w:p>
      <w:pPr>
        <w:spacing w:after="0" w:line="9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July 4, 2025, the U.S. government enacted the OBBBA, which includes provisions addressing regulations and federal funding affecting healthcare. These provisions include, but are not limited to, changes to Medicaid and the Affordable Care Act, and could lead to revised regulatory requirements and reduced federal funding. As a result of these changes, the Company could experience a decline in utilization of its diagnostics testing services due to a reduction in overall insurance coverage, which may cause the Company’s revenue to decrease. However, the Company currently believes any such reduction would not likely have a material impact on its results of operations in future periods. The potential impacts described above represent the Company’s assessment at this time, and the Company will continue to evaluate the impact of the OBBBA on its business and operations as the legislation’s provisions continue to become effective through 2028.</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(dollars in millions)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212529"/>
        </w:rPr>
        <w:t>The following tables present the financial measures that management considers to be the most significant indicators of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performance.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740" w:type="dxa"/>
            <w:vAlign w:val="bottom"/>
            <w:tcBorders>
              <w:top w:val="single" w:sz="8" w:color="auto"/>
            </w:tcBorders>
          </w:tcPr>
          <w:p>
            <w:pPr>
              <w:spacing w:after="0"/>
              <w:rPr>
                <w:sz w:val="24"/>
                <w:szCs w:val="24"/>
                <w:color w:val="auto"/>
              </w:rPr>
            </w:pPr>
          </w:p>
        </w:tc>
        <w:tc>
          <w:tcPr>
            <w:tcW w:w="5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7"/>
        </w:trPr>
        <w:tc>
          <w:tcPr>
            <w:tcW w:w="740" w:type="dxa"/>
            <w:vAlign w:val="bottom"/>
            <w:tcBorders>
              <w:bottom w:val="single" w:sz="8" w:color="CCEEFF"/>
            </w:tcBorders>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7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Dx revenues for the three months ended March 31, 2026, were $2,762.1, an increase of 5.0% over $2,629.6 in the first quarter of 2025. The increase was primarily due to organic revenue of 2.9%, acquisitions, net of divestitures, of 2.0%, and favorable foreign currency translation of 0.2%.</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Dx total volume, measured by requisitions, increased by 2.5% as acquisition volume, net of divestitures, contributed 1.4% and organic volume increased by 1.1%, which includes an unfavorable impact from weather. Price/mix increased by 2.6% due to organic growth of 1.8%, acquisitions, net of divestitures, of 0.6%, and favorable foreign currency translation of 0.2%.</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BLS revenues for the three months ended March 31, 2026, were $780.6, an increase of 8.2% over $721.3 in the first quarter of 2025. The increase was due to favorable foreign currency translation of 5.5% and organic growth of 3.7%, partially offset by an unfavorable impact related to strategic actions undertaken in ED of 1.0%.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71"/>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13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40" w:type="dxa"/>
            <w:vAlign w:val="bottom"/>
          </w:tcPr>
          <w:p>
            <w:pPr>
              <w:spacing w:after="0"/>
              <w:rPr>
                <w:sz w:val="24"/>
                <w:szCs w:val="24"/>
                <w:color w:val="auto"/>
              </w:rPr>
            </w:pPr>
          </w:p>
        </w:tc>
      </w:tr>
      <w:tr>
        <w:trPr>
          <w:trHeight w:val="237"/>
        </w:trPr>
        <w:tc>
          <w:tcPr>
            <w:tcW w:w="13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43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2,397.1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4"/>
        </w:trPr>
        <w:tc>
          <w:tcPr>
            <w:tcW w:w="6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revenues as a percentage of revenues</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Cost of revenues increased 5.3% during the three months ended March 31, 2026, as compared with the corresponding period in 2025. Cost of revenues as a percentage of revenues during the three months ended March 31, 2026, decreased to 71.3% as compared to 71.7% in the corresponding period in 2025. This decrease was primarily due to organic growth and operating efficiencies, partially offset by typical increases in personnel costs.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4"/>
        </w:trPr>
        <w:tc>
          <w:tcPr>
            <w:tcW w:w="358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34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40" w:type="dxa"/>
            <w:vAlign w:val="bottom"/>
          </w:tcPr>
          <w:p>
            <w:pPr>
              <w:spacing w:after="0"/>
              <w:rPr>
                <w:sz w:val="24"/>
                <w:szCs w:val="24"/>
                <w:color w:val="auto"/>
              </w:rPr>
            </w:pPr>
          </w:p>
        </w:tc>
      </w:tr>
      <w:tr>
        <w:trPr>
          <w:trHeight w:val="236"/>
        </w:trPr>
        <w:tc>
          <w:tcPr>
            <w:tcW w:w="358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551.0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546.0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SG&amp;A as a percentage of revenues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25"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SG&amp;A as a percentage of revenues were 15.6% and 16.3% during the three months ended March 31, 2026, and 2025, respectively. The decrease was primarily due to the impact from revenue growth.</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350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7"/>
        </w:trPr>
        <w:tc>
          <w:tcPr>
            <w:tcW w:w="350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bl>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March 31,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4"/>
        </w:trPr>
        <w:tc>
          <w:tcPr>
            <w:tcW w:w="262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7"/>
        </w:trPr>
        <w:tc>
          <w:tcPr>
            <w:tcW w:w="2620" w:type="dxa"/>
            <w:vAlign w:val="bottom"/>
            <w:tcBorders>
              <w:bottom w:val="single" w:sz="8" w:color="CCEEFF"/>
            </w:tcBorders>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19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net restructuring and other charges of $6.4. The charges were comprised of $14.6 related to severance and other personnel costs and $1.6 in facility-related costs. The charges were adjusted by the reversal of previously established liabilities of $6.6 in unused facility-related costs, $3.1 in contract termination costs, and $0.1 in unused severance and other personnel costs.</w:t>
      </w:r>
    </w:p>
    <w:p>
      <w:pPr>
        <w:spacing w:after="0" w:line="9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net restructuring and other charges of $6.4. The charges were comprised of $7.6 related to severance and other personnel costs. The charges were adjusted by the reversal of previously established liabilities of $1.1 in unused severance and other personnel costs and $0.1 in unused facility-related costs.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4"/>
        </w:trPr>
        <w:tc>
          <w:tcPr>
            <w:tcW w:w="1280" w:type="dxa"/>
            <w:vAlign w:val="bottom"/>
            <w:tcBorders>
              <w:top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7"/>
        </w:trPr>
        <w:tc>
          <w:tcPr>
            <w:tcW w:w="1280" w:type="dxa"/>
            <w:vAlign w:val="bottom"/>
            <w:tcBorders>
              <w:bottom w:val="single" w:sz="8" w:color="CCEEFF"/>
            </w:tcBorders>
          </w:tcPr>
          <w:p>
            <w:pPr>
              <w:spacing w:after="0"/>
              <w:rPr>
                <w:sz w:val="20"/>
                <w:szCs w:val="20"/>
                <w:color w:val="auto"/>
              </w:rPr>
            </w:pPr>
          </w:p>
        </w:tc>
        <w:tc>
          <w:tcPr>
            <w:tcW w:w="51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30"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interest expense remained substantially consistent when compared to the three months ended March 31,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Loss, Net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06"/>
        </w:trPr>
        <w:tc>
          <w:tcPr>
            <w:tcW w:w="192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6"/>
        </w:trPr>
        <w:tc>
          <w:tcPr>
            <w:tcW w:w="1920" w:type="dxa"/>
            <w:vAlign w:val="bottom"/>
            <w:tcBorders>
              <w:bottom w:val="single" w:sz="8" w:color="CCEEFF"/>
            </w:tcBorders>
          </w:tcPr>
          <w:p>
            <w:pPr>
              <w:spacing w:after="0"/>
              <w:rPr>
                <w:sz w:val="20"/>
                <w:szCs w:val="20"/>
                <w:color w:val="auto"/>
              </w:rPr>
            </w:pPr>
          </w:p>
        </w:tc>
        <w:tc>
          <w:tcPr>
            <w:tcW w:w="45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w:t>
            </w:r>
          </w:p>
        </w:tc>
      </w:tr>
    </w:tbl>
    <w:p>
      <w:pPr>
        <w:spacing w:after="0" w:line="130"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Equity method loss, net represents the Company’s ownership share in joint venture partnerships along with equity investments in other companies in the healthcare industry. The increase in Equity method loss, net for the three months ended March 31, 2026, as compared with the corresponding period in 2025, was primarily due to the loss recognized from the SYNLAB investment that closed in March 2025.</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71"/>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4"/>
        </w:trPr>
        <w:tc>
          <w:tcPr>
            <w:tcW w:w="8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37"/>
        </w:trPr>
        <w:tc>
          <w:tcPr>
            <w:tcW w:w="8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6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r>
    </w:tbl>
    <w:p>
      <w:pPr>
        <w:spacing w:after="0" w:line="1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change in Other, net for the three months ended March 31, 2026, as compared to the three months ended March 31, 2025, is primarily due to foreign currency transaction losses of $5.4 recognized for the three months ended March 31, 2026, as compared to losses of $1.0 for the corresponding period of 2025. In addition, there were investment losses of $7.1, recorded during the three months ended March 31, 2026, compared to investment losses of $3.4 for the corresponding period of 2025. As the TSA between Fortrea and LCAH expired on June 30, 2025, there were no fees charged to Fortrea for the three months ended March 31, 2026, as compared to $3.3 in the corresponding period in 2025.</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84"/>
        </w:trPr>
        <w:tc>
          <w:tcPr>
            <w:tcW w:w="2100" w:type="dxa"/>
            <w:vAlign w:val="bottom"/>
            <w:tcBorders>
              <w:top w:val="single" w:sz="8" w:color="auto"/>
            </w:tcBorders>
          </w:tcPr>
          <w:p>
            <w:pPr>
              <w:spacing w:after="0"/>
              <w:rPr>
                <w:sz w:val="24"/>
                <w:szCs w:val="24"/>
                <w:color w:val="auto"/>
              </w:rPr>
            </w:pPr>
          </w:p>
        </w:tc>
        <w:tc>
          <w:tcPr>
            <w:tcW w:w="6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2100" w:type="dxa"/>
            <w:vAlign w:val="bottom"/>
            <w:tcBorders>
              <w:bottom w:val="single" w:sz="8" w:color="CCEEFF"/>
            </w:tcBorders>
          </w:tcPr>
          <w:p>
            <w:pPr>
              <w:spacing w:after="0"/>
              <w:rPr>
                <w:sz w:val="20"/>
                <w:szCs w:val="20"/>
                <w:color w:val="auto"/>
              </w:rPr>
            </w:pPr>
          </w:p>
        </w:tc>
        <w:tc>
          <w:tcPr>
            <w:tcW w:w="6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62.2</w:t>
            </w:r>
          </w:p>
        </w:tc>
      </w:tr>
      <w:tr>
        <w:trPr>
          <w:trHeight w:val="234"/>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 as a percentage of earnings from operations before income taxes</w:t>
            </w:r>
          </w:p>
        </w:tc>
        <w:tc>
          <w:tcPr>
            <w:tcW w:w="160" w:type="dxa"/>
            <w:vAlign w:val="bottom"/>
          </w:tcPr>
          <w:p>
            <w:pPr>
              <w:spacing w:after="0"/>
              <w:rPr>
                <w:sz w:val="20"/>
                <w:szCs w:val="20"/>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22.6 %</w:t>
            </w:r>
          </w:p>
        </w:tc>
      </w:tr>
    </w:tbl>
    <w:p>
      <w:pPr>
        <w:spacing w:after="0" w:line="125"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for the three months ended March 31, 2026, as compared with the corresponding period, was primarily attributable to discrete benefits recognized from the tax restructuring of certain foreign entities.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9"/>
        </w:trPr>
        <w:tc>
          <w:tcPr>
            <w:tcW w:w="234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7"/>
        </w:trPr>
        <w:tc>
          <w:tcPr>
            <w:tcW w:w="23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8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Change</w:t>
            </w:r>
          </w:p>
        </w:tc>
      </w:tr>
      <w:tr>
        <w:trPr>
          <w:trHeight w:val="229"/>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340" w:type="dxa"/>
            <w:vAlign w:val="bottom"/>
            <w:tcBorders>
              <w:top w:val="single" w:sz="8" w:color="CCEEFF"/>
            </w:tcBorders>
            <w:shd w:val="clear" w:color="auto" w:fill="CCEEFF"/>
          </w:tcPr>
          <w:p>
            <w:pPr>
              <w:spacing w:after="0"/>
              <w:rPr>
                <w:sz w:val="19"/>
                <w:szCs w:val="19"/>
                <w:color w:val="auto"/>
              </w:rPr>
            </w:pPr>
          </w:p>
        </w:tc>
      </w:tr>
      <w:tr>
        <w:trPr>
          <w:trHeight w:val="230"/>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16.3 %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340" w:type="dxa"/>
            <w:vAlign w:val="bottom"/>
          </w:tcPr>
          <w:p>
            <w:pPr>
              <w:spacing w:after="0"/>
              <w:rPr>
                <w:sz w:val="19"/>
                <w:szCs w:val="19"/>
                <w:color w:val="auto"/>
              </w:rPr>
            </w:pPr>
          </w:p>
        </w:tc>
      </w:tr>
      <w:tr>
        <w:trPr>
          <w:trHeight w:val="23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340" w:type="dxa"/>
            <w:vAlign w:val="bottom"/>
            <w:shd w:val="clear" w:color="auto" w:fill="CCEEFF"/>
          </w:tcPr>
          <w:p>
            <w:pPr>
              <w:spacing w:after="0"/>
              <w:rPr>
                <w:sz w:val="19"/>
                <w:szCs w:val="19"/>
                <w:color w:val="auto"/>
              </w:rPr>
            </w:pPr>
          </w:p>
        </w:tc>
      </w:tr>
      <w:tr>
        <w:trPr>
          <w:trHeight w:val="22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14.8 %</w:t>
            </w:r>
          </w:p>
        </w:tc>
        <w:tc>
          <w:tcPr>
            <w:tcW w:w="120" w:type="dxa"/>
            <w:vAlign w:val="bottom"/>
          </w:tcPr>
          <w:p>
            <w:pPr>
              <w:spacing w:after="0"/>
              <w:rPr>
                <w:sz w:val="19"/>
                <w:szCs w:val="19"/>
                <w:color w:val="auto"/>
              </w:rPr>
            </w:pPr>
          </w:p>
        </w:tc>
        <w:tc>
          <w:tcPr>
            <w:tcW w:w="1860" w:type="dxa"/>
            <w:vAlign w:val="bottom"/>
            <w:gridSpan w:val="2"/>
          </w:tcPr>
          <w:p>
            <w:pPr>
              <w:jc w:val="right"/>
              <w:ind w:right="180"/>
              <w:spacing w:after="0" w:line="230" w:lineRule="exact"/>
              <w:rPr>
                <w:sz w:val="20"/>
                <w:szCs w:val="20"/>
                <w:color w:val="auto"/>
              </w:rPr>
            </w:pPr>
            <w:r>
              <w:rPr>
                <w:rFonts w:ascii="Times New Roman" w:cs="Times New Roman" w:eastAsia="Times New Roman" w:hAnsi="Times New Roman"/>
                <w:sz w:val="18"/>
                <w:szCs w:val="18"/>
                <w:color w:val="auto"/>
              </w:rPr>
              <w:t xml:space="preserve">0.6 % </w:t>
            </w:r>
            <w:r>
              <w:rPr>
                <w:rFonts w:ascii="Times New Roman" w:cs="Times New Roman" w:eastAsia="Times New Roman" w:hAnsi="Times New Roman"/>
                <w:sz w:val="23"/>
                <w:szCs w:val="23"/>
                <w:color w:val="auto"/>
                <w:vertAlign w:val="superscript"/>
              </w:rPr>
              <w:t>(1)</w:t>
            </w:r>
          </w:p>
        </w:tc>
      </w:tr>
      <w:tr>
        <w:trPr>
          <w:trHeight w:val="223"/>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534.4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340" w:type="dxa"/>
            <w:vAlign w:val="bottom"/>
            <w:tcBorders>
              <w:top w:val="single" w:sz="8" w:color="CCEEFF"/>
            </w:tcBorders>
            <w:shd w:val="clear" w:color="auto" w:fill="CCEEFF"/>
          </w:tcPr>
          <w:p>
            <w:pPr>
              <w:spacing w:after="0"/>
              <w:rPr>
                <w:sz w:val="19"/>
                <w:szCs w:val="19"/>
                <w:color w:val="auto"/>
              </w:rPr>
            </w:pPr>
          </w:p>
        </w:tc>
      </w:tr>
      <w:tr>
        <w:trPr>
          <w:trHeight w:val="229"/>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28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19"/>
                <w:szCs w:val="19"/>
                <w:color w:val="auto"/>
              </w:rPr>
            </w:pPr>
          </w:p>
        </w:tc>
      </w:tr>
      <w:tr>
        <w:trPr>
          <w:trHeight w:val="23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340" w:type="dxa"/>
            <w:vAlign w:val="bottom"/>
            <w:shd w:val="clear" w:color="auto" w:fill="CCEEFF"/>
          </w:tcPr>
          <w:p>
            <w:pPr>
              <w:spacing w:after="0"/>
              <w:rPr>
                <w:sz w:val="19"/>
                <w:szCs w:val="19"/>
                <w:color w:val="auto"/>
              </w:rPr>
            </w:pPr>
          </w:p>
        </w:tc>
      </w:tr>
      <w:tr>
        <w:trPr>
          <w:trHeight w:val="230"/>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tcBorders>
              <w:bottom w:val="single" w:sz="8" w:color="CCEEFF"/>
            </w:tcBorders>
          </w:tcPr>
          <w:p>
            <w:pPr>
              <w:spacing w:after="0"/>
              <w:rPr>
                <w:sz w:val="19"/>
                <w:szCs w:val="19"/>
                <w:color w:val="auto"/>
              </w:rPr>
            </w:pPr>
          </w:p>
        </w:tc>
      </w:tr>
      <w:tr>
        <w:trPr>
          <w:trHeight w:val="248"/>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does not cross-foot due to rounding.</w:t>
      </w:r>
    </w:p>
    <w:p>
      <w:pPr>
        <w:spacing w:after="0" w:line="117"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Dx segment operating income was $458.7 for the three months ended March 31, 2026, an increase of $31.2 over operating income of $427.5 in the corresponding period of 2025, and Dx segment operating margin increased approximately 30 basis points year-over-year. The increase in operating income and operating margin was primarily due to organic growth, which includes an unfavorable impact from weather.</w:t>
      </w:r>
    </w:p>
    <w:p>
      <w:pPr>
        <w:spacing w:after="0" w:line="8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BLS segment operating income was $120.7 for the three months ended March 31, 2026, an increase of $13.8 over operating income of $106.9 in the corresponding period of 2025, and BLS segment operating margin increased approximately 60 basis points year-over-year. The increase in operating income and operating margin was primarily due to growth in the Central Laboratory business.</w:t>
      </w:r>
    </w:p>
    <w:p>
      <w:pPr>
        <w:spacing w:after="0" w:line="8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General corporate and unallocated expenses are comprised primarily of administrative services such as executive management, human resources, legal, finance, corporate affairs, and information technology. General corporate and unallocated expenses were $116.6 for the three months ended March 31, 2026, a decrease of $15.8 compared to general corporate and unallocated expenses of $132.4 in the corresponding period of 2025, primarily due to decreases in acquisition and disposition-related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and shares in millions, except per share amounts)</w:t>
      </w:r>
    </w:p>
    <w:p>
      <w:pPr>
        <w:spacing w:after="0" w:line="13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 Company’s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5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790"/>
        </w:trPr>
        <w:tc>
          <w:tcPr>
            <w:tcW w:w="7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summary the Company’s cash flows were as follows:</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8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72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1840" w:type="dxa"/>
            <w:vAlign w:val="bottom"/>
            <w:tcBorders>
              <w:bottom w:val="single" w:sz="8" w:color="CCEEFF"/>
            </w:tcBorders>
          </w:tcPr>
          <w:p>
            <w:pPr>
              <w:spacing w:after="0"/>
              <w:rPr>
                <w:sz w:val="20"/>
                <w:szCs w:val="20"/>
                <w:color w:val="auto"/>
              </w:rPr>
            </w:pPr>
          </w:p>
        </w:tc>
        <w:tc>
          <w:tcPr>
            <w:tcW w:w="56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r>
      <w:tr>
        <w:trPr>
          <w:trHeight w:val="230"/>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on changes in Cash and cash equivalents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8"/>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Cash and cash equivalents at March 31, 2026, and 2025, totaled $981.1 and $369.4, respectively. Cash and cash equivalents consist of highly liquid instruments, such as time deposits, and other money market investments, which have original maturities of three months or less.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Cash and cash equivalents, at March 31, 2026, the Company had $1,000.0 of available borrowings under its revolving credit facility, which, as amended on June 27, 2025, expires in 2030.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4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Company’s operations provided $191.5 of cash as compared to $18.5 during the same period in 2025. The $173.0 increase in net cash provided from operations in 2026 as compared with the corresponding 2025 period was primarily due to higher cash earnings.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for the three months ended March 31, 2026, was $322.1 as compared to $336.0 for the three months ended March 31, 2025. The decrease in cash used for investing activities for the three months ended March 31, 2026, as compared to the corresponding period in 2025, was primarily due to a decrease in purchases of equity affiliate or other investments and lower capital expenditures, partially offset by an increase in business acquisitions.</w:t>
      </w:r>
    </w:p>
    <w:p>
      <w:pPr>
        <w:spacing w:after="0" w:line="9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Capital expenditures were $121.0 and $126.0 for the three months ended March 31, 2026, and 2025, respectively. Capital expenditures for the three months ended March 31, 2026, were 3.4% of revenues, primarily in connection with projects to support growth in the Company’s core businesses, facility expansion and updates, and further acquisition integration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3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$580.5 as compared to net cash used for financing activities of $839.7 for the three months ended March 31, 2025. The movement in cash flows within financing activities for the three months ended March 31, 2026, as compared to the three months ended March 31, 2025, was primarily due to a decrease in payments on senior notes of $1,000.0, an increase in proceeds from the 2026 Term Loan of $750.0, a decrease in proceeds from the Company’s AR Facility of $225.0, and an increase of Common Stock repurchases of $98.0.</w:t>
      </w:r>
    </w:p>
    <w:p>
      <w:pPr>
        <w:spacing w:after="0" w:line="1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28, 2026, the Company further amended its AR Facility. Among other things, this amendment extended the scheduled termination date to January 26, 2029, and permits the Company at its option to increase the facility limit from $700.0 to $825.0 at any time on or before May 29, 2026.</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March 20, 2026, the Company entered into the $750.0 2026 Term Loan that will mature on March 20, 2028, and anticipates using the proceeds to repay maturing short-term debt and for other corporate uses. The principal balance of the 2026 Term Loan bears interest at a floating per annum rate equal to, at the Company’s election, either (i) a SOFR-based rate plus a margin of 0.700% or (ii) a base rate plus a margin of 0.0%. The balance of the 2026 Term Loan at March 31, 2026, was $750.0.</w:t>
      </w:r>
    </w:p>
    <w:p>
      <w:pPr>
        <w:spacing w:after="0" w:line="8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2026 Term Loan, revolving credit facility, indentures relating to the Company’s senior notes, and AR Facility, the Company is subject to negative covenants limiting subsidiary indebtedness and certain other covenants typical for investment grade-rated borrowers, and with respect to the 2026 Term Loan and revolving credit facility, the Company is required to maintain certain leverage ratios. The Company was in compliance with all covenants at March 31, 2026, and expects that it will remain in compliance with its existing debt covenants for the next 12 months.</w:t>
      </w:r>
    </w:p>
    <w:p>
      <w:pPr>
        <w:spacing w:after="0" w:line="9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At March 31, 2026, the Company had outstanding authorization from its Board to purchase up to $732.4 maximum value of Common Stock. The repurchase authorization has no expiration date.</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paid $61.2 in Common Stock dividends. On April 9, 2026, the Company announced a cash dividend of $0.72 per share of Common Stock, or approximately $60.0 in the aggregate. The dividend will be paid on June 11, 2026, to stockholders of record of all issued and outstanding shares of Common Stock as of</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40"/>
        <w:spacing w:after="0" w:line="399" w:lineRule="auto"/>
        <w:rPr>
          <w:sz w:val="20"/>
          <w:szCs w:val="20"/>
          <w:color w:val="auto"/>
        </w:rPr>
      </w:pPr>
      <w:r>
        <w:rPr>
          <w:rFonts w:ascii="Times New Roman" w:cs="Times New Roman" w:eastAsia="Times New Roman" w:hAnsi="Times New Roman"/>
          <w:sz w:val="18"/>
          <w:szCs w:val="18"/>
          <w:color w:val="auto"/>
        </w:rPr>
        <w:t xml:space="preserve">the close of business on May 29, 2026. The declaration and payment of any future dividends will be at the discretion of the Board. </w:t>
      </w:r>
      <w:r>
        <w:rPr>
          <w:rFonts w:ascii="Times New Roman" w:cs="Times New Roman" w:eastAsia="Times New Roman" w:hAnsi="Times New Roman"/>
          <w:sz w:val="18"/>
          <w:szCs w:val="18"/>
          <w:b w:val="1"/>
          <w:bCs w:val="1"/>
          <w:i w:val="1"/>
          <w:iCs w:val="1"/>
          <w:color w:val="auto"/>
        </w:rPr>
        <w:t>Guarantor Information</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2024, the Company, LCAH and U.S. Bank Trust Company, National Association (the Trustee) entered into a seventeenth supplemental indenture (the Seventeenth Supplemental Indenture) to the indenture, dated as of November 19, 2010, between LCAH and the Trustee (2010 Indenture). In addition, the Company, LCAH and the Trustee entered into the 2024 Indenture on September 23, 2024 (the 2024 Indenture, together with the 2010 Indenture, the Indentures). The Seventeenth Supplemental Indenture, among other things, provides for the full and unconditional guarantee by the Company of LCAH’s obligations under the 2010 Indenture, and each series of senior unsecured notes issued and outstanding thereunder, and the 2024 Indenture provides for the full and unconditional guarantee by the Company of LCAH’s obligations, and each series of senior unsecured notes issued and outstanding, thereunder (collectively, the Labcorp Holdings Guarantees). Also, the Indentures permit the Company to satisfy LCAH’s reporting obligations so long as the Labcorp Holdings Guarantees remain in place and the Company’s Condensed Consolidated Financial Statements and other information comply with the requirements of Rule 3-10 of Regulation S-X.</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March 31, 2026, there was $3,096.2 and $2,000.0 aggregate principal amount of issued and outstanding senior notes of LCAH, issued under the 2010 Indenture and the 2024 Indenture, respectively, that are fully and unconditionally guaranteed by the Company. Accordingly, pursuant to Rule 3-10 of Regulation S-X, separate consolidated financial statements of LCAH have not been presented. As permitted under Rule 13-01(a)(4)(vi) of Regulation S-X, the Company has excluded the summarized financial information for LCAH because the assets, liabilities, and results of operations of LCAH are not materially different than the corresponding amounts in the Company’s Condensed Consolidated Financial Statements and management believes such summarized financial information would be repetitive and would not provide incremental value to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investment grade credit ratings from Moody’s and S&amp;P Global Ratings contribute to the Company’s ability to access capital markets.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does not have any variable interest entities or special purpose entities whose financial results are not included in the Company’s Condensed Consolidated Financial Statements.</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a noncancelable contract with a vendor to purchase supplies inventory pursuant to which the Company is obligated to make expected total future minimum payments of $122.3, including $27.8 for the remainder of 2026, $20.5 in 2027, and $74.0 in 2028.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debt instruments outstanding. At March 31, 2026, the Company had total future payments of $6,371.6, with $500.4 payable within 12 months, which the Company anticipates to repay primarily using the proceeds from the 2026 Term Loan.</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has leases for PSCs, laboratories and testing facilities, clinical facilities, general office spaces, vehicles, and office and laboratory equipment. At March 31, 2026, the Company had total future lease payments for short-term and long-term leases of $1,092.8, with payments of $221.0 due within 12 months.</w:t>
      </w:r>
    </w:p>
    <w:p>
      <w:pPr>
        <w:spacing w:after="0" w:line="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At March 31, 2026, the Company had provided letters of credit aggregating approximately $107.4, primarily in connection with certain insurance programs which are renewed annually.</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At March 31, 2026, and in connection with the pending acquisitions of select assets of the outreach business from Parkview, the Company expects to pay up to $165.0. Subject to customary closing conditions and applicable regulatory approvals, the Company expects the acquisition of select assets from Parkview to close in 2026. See Note 3 Business Acquisitions to the Company’s Condensed Consolidated Financial Statements for additional information.</w:t>
      </w:r>
    </w:p>
    <w:p>
      <w:pPr>
        <w:spacing w:after="0" w:line="95"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Based on current and projected levels of cash flows from operations, coupled with availability under its revolving credit facility and the 2026 Term Loan, the Company believes it has sufficient liquidity to meet both its anticipated short-term and long-term cash needs for the next 12 months and the reasonably foreseeable future; however, the Company continually reassesses its liquidity position in light of market conditions and other relevant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CRITICAL ACCOUNTING ESTIMATES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changes to the critical accounting estimates that appear in Part II. Item 7 of the Annual Report.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IMPACT OF RECENT ACCOUNTING PRONOUNCEMENTS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impact of recent accounting pronouncements, if any, is discussed in Note 1 Basis of Financial Statement Presentation to the Condensed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 (dollar amounts in millions)</w:t>
      </w:r>
    </w:p>
    <w:p>
      <w:pPr>
        <w:spacing w:after="0" w:line="135"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The Company does not hold or issue derivative financial instruments for trading purposes.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3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Approximately 14.3% and 13.0% of the Company’s revenues for the three months ended March 31, 2026, and 2025, respectively, were denominated in currencies other than the USD. The Company’s Condensed Consolidated Financial Statements are reported in USD and, accordingly, fluctuations in exchange rates will affect the translation of revenues and expenses denominated in foreign currencies into USD for the purpose of reporting the Company’s consolidated financial results. In the first quarter of 2026 and the year ended December 31, 2025,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three months ended March 31, 2026, by approximately $8.1. Accumulated currency translation adjustments recorded as a separate component of Shareholders’ equity were $(36.0) and $69.7 for the quarter ended March 31, 2026, and 2025, respectively. The Company does not have significant operations in countries in which the economy is considered to be highly inflationary.</w:t>
      </w:r>
    </w:p>
    <w:p>
      <w:pPr>
        <w:spacing w:after="0" w:line="9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March 31, 2026, the Company had 11 open foreign exchange forward contracts with various amounts maturing monthly through April 2026 with a notional value totaling approximately $367.3. At December 31, 2025, the Company had eight open foreign exchange forward contracts with various amounts maturing monthly through January 2026 with a notional value totaling approximately $238.0.</w:t>
      </w:r>
    </w:p>
    <w:p>
      <w:pPr>
        <w:spacing w:after="0" w:line="11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a party to USD to Swiss Franc cross-currency swap agreements with an aggregate notional amount of $1,200.0, $300.0 maturing in 2029, $300.0 maturing in 2031, and $600.0 maturing in 2034, as a hedge against the impact of foreign exchange movements on its net investment in a Swiss Franc functional currency subsidiary.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3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9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Borrowings under the Company’s 2026 Term Loan, revolving credit facility, and AR Facility are subject to variable interest rates, unless fixed through interest rate swaps or other agreements. At March 31, 2026, the Company had $750.0 and $525.0 of variable rate debt outstanding under its 2026 Term Loan and AR Facility, respectively. Each quarter-point increase or decrease in the variable rate would result in the Company’s interest expense changing by approximately $3.2 per year for the Company’s debt currently outstanding under its 2026 Term Loan and AR Facility.</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 hedge against changes in the fair value portion of the Company’s long-term debt, the Company is party to fixed-to-variable interest rate swap agreements for the 2.70% senior notes due 2031 with an aggregate notional value of $500.0 and variable interest rates currently based on the compounded SOFR, plus 1.33%.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 13a-15 and 15d-15(e) under the Securities Exchange Act of 1934, as amended). Based upon this evaluation, the Company’s principal executive officer and principal financial officer concluded that the Company’s disclosure controls and procedures were effective as of March 31, 2026.</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Securities Exchange Act of 1934, as amended) that occurred during the quarter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8 Commitments and Contingencies to the Company’s Condensed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that appear in Part I. Item 1A of the Annual Report.</w:t>
      </w:r>
    </w:p>
    <w:p>
      <w:pPr>
        <w:spacing w:after="0" w:line="140" w:lineRule="exact"/>
        <w:rPr>
          <w:sz w:val="20"/>
          <w:szCs w:val="20"/>
          <w:color w:val="auto"/>
        </w:rPr>
      </w:pPr>
    </w:p>
    <w:p>
      <w:pPr>
        <w:ind w:left="660" w:right="44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(dollars and shares in millions, except per share data)</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repurchased the following shares of its Common Stock: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60" w:type="dxa"/>
            <w:vAlign w:val="bottom"/>
          </w:tcPr>
          <w:p>
            <w:pPr>
              <w:spacing w:after="0"/>
              <w:rPr>
                <w:sz w:val="17"/>
                <w:szCs w:val="17"/>
                <w:color w:val="auto"/>
              </w:rPr>
            </w:pP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Maximum Dollar Value of</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Average Price</w:t>
            </w:r>
          </w:p>
        </w:tc>
        <w:tc>
          <w:tcPr>
            <w:tcW w:w="20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Repurchased as Part of</w:t>
            </w:r>
          </w:p>
        </w:tc>
        <w:tc>
          <w:tcPr>
            <w:tcW w:w="160" w:type="dxa"/>
            <w:vAlign w:val="bottom"/>
          </w:tcPr>
          <w:p>
            <w:pPr>
              <w:spacing w:after="0"/>
              <w:rPr>
                <w:sz w:val="15"/>
                <w:szCs w:val="15"/>
                <w:color w:val="auto"/>
              </w:rPr>
            </w:pPr>
          </w:p>
        </w:tc>
        <w:tc>
          <w:tcPr>
            <w:tcW w:w="214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Shares</w:t>
            </w:r>
          </w:p>
        </w:tc>
        <w:tc>
          <w:tcPr>
            <w:tcW w:w="1220" w:type="dxa"/>
            <w:vAlign w:val="bottom"/>
            <w:gridSpan w:val="3"/>
            <w:vMerge w:val="continue"/>
          </w:tcPr>
          <w:p>
            <w:pPr>
              <w:spacing w:after="0"/>
              <w:rPr>
                <w:sz w:val="15"/>
                <w:szCs w:val="15"/>
                <w:color w:val="auto"/>
              </w:rPr>
            </w:pPr>
          </w:p>
        </w:tc>
        <w:tc>
          <w:tcPr>
            <w:tcW w:w="20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Publicly Announced</w:t>
            </w:r>
          </w:p>
        </w:tc>
        <w:tc>
          <w:tcPr>
            <w:tcW w:w="160" w:type="dxa"/>
            <w:vAlign w:val="bottom"/>
          </w:tcPr>
          <w:p>
            <w:pPr>
              <w:spacing w:after="0"/>
              <w:rPr>
                <w:sz w:val="15"/>
                <w:szCs w:val="15"/>
                <w:color w:val="auto"/>
              </w:rPr>
            </w:pPr>
          </w:p>
        </w:tc>
        <w:tc>
          <w:tcPr>
            <w:tcW w:w="21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Repurchased Under the</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Repurchased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160" w:type="dxa"/>
            <w:vAlign w:val="bottom"/>
          </w:tcPr>
          <w:p>
            <w:pPr>
              <w:spacing w:after="0"/>
              <w:rPr>
                <w:sz w:val="20"/>
                <w:szCs w:val="20"/>
                <w:color w:val="auto"/>
              </w:rPr>
            </w:pP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Program</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February 28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March 31, 2026, the Company had outstanding authorization from its Board to purchase up to $732.4 maximum value of 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repurchase authorization has no expiration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Adoption or Termination of Trading Arrangements:</w:t>
      </w:r>
    </w:p>
    <w:p>
      <w:pPr>
        <w:spacing w:after="0" w:line="14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the Company’s directors or officers informed it of the adoption, modification or termination of a “Rule 10b5-1 trading arrangement” or “non-Rule 10b5-1 trading arrangement,” as those terms are defined in Regulation S-K, Item 408, except as described in the table below:</w:t>
      </w:r>
    </w:p>
    <w:p>
      <w:pPr>
        <w:sectPr>
          <w:pgSz w:w="11900" w:h="16838" w:orient="portrait"/>
          <w:cols w:equalWidth="0" w:num="1">
            <w:col w:w="11240"/>
          </w:cols>
          <w:pgMar w:left="320" w:top="121" w:right="339" w:bottom="1440" w:gutter="0" w:footer="0" w:header="0"/>
        </w:sectPr>
      </w:pP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Aggregate Number of Shares of</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Character of Trading</w:t>
            </w:r>
          </w:p>
        </w:tc>
        <w:tc>
          <w:tcPr>
            <w:tcW w:w="29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Common Stock to be (Sold)</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1440" w:type="dxa"/>
            <w:vAlign w:val="bottom"/>
            <w:gridSpan w:val="3"/>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Name and Title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Date Adopted</w:t>
            </w:r>
          </w:p>
        </w:tc>
        <w:tc>
          <w:tcPr>
            <w:tcW w:w="2240" w:type="dxa"/>
            <w:vAlign w:val="bottom"/>
            <w:gridSpan w:val="2"/>
            <w:vMerge w:val="continue"/>
          </w:tcPr>
          <w:p>
            <w:pPr>
              <w:spacing w:after="0"/>
              <w:rPr>
                <w:sz w:val="16"/>
                <w:szCs w:val="16"/>
                <w:color w:val="auto"/>
              </w:rPr>
            </w:pPr>
          </w:p>
        </w:tc>
        <w:tc>
          <w:tcPr>
            <w:tcW w:w="29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Pursuant to Trading</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2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Kathryn W. Kyle</w:t>
            </w:r>
          </w:p>
        </w:tc>
        <w:tc>
          <w:tcPr>
            <w:tcW w:w="4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top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March 9, 2026</w:t>
            </w:r>
          </w:p>
        </w:tc>
        <w:tc>
          <w:tcPr>
            <w:tcW w:w="100" w:type="dxa"/>
            <w:vAlign w:val="bottom"/>
          </w:tcPr>
          <w:p>
            <w:pPr>
              <w:spacing w:after="0"/>
              <w:rPr>
                <w:sz w:val="14"/>
                <w:szCs w:val="14"/>
                <w:color w:val="auto"/>
              </w:rPr>
            </w:pPr>
          </w:p>
        </w:tc>
        <w:tc>
          <w:tcPr>
            <w:tcW w:w="21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Rule 10b5-1 Trading</w:t>
            </w:r>
          </w:p>
        </w:tc>
        <w:tc>
          <w:tcPr>
            <w:tcW w:w="100" w:type="dxa"/>
            <w:vAlign w:val="bottom"/>
          </w:tcPr>
          <w:p>
            <w:pPr>
              <w:spacing w:after="0"/>
              <w:rPr>
                <w:sz w:val="14"/>
                <w:szCs w:val="14"/>
                <w:color w:val="auto"/>
              </w:rPr>
            </w:pPr>
          </w:p>
        </w:tc>
        <w:tc>
          <w:tcPr>
            <w:tcW w:w="2880" w:type="dxa"/>
            <w:vAlign w:val="bottom"/>
            <w:tcBorders>
              <w:top w:val="single" w:sz="8" w:color="auto"/>
            </w:tcBorders>
          </w:tcPr>
          <w:p>
            <w:pPr>
              <w:ind w:left="1180"/>
              <w:spacing w:after="0" w:line="169" w:lineRule="exact"/>
              <w:rPr>
                <w:sz w:val="20"/>
                <w:szCs w:val="20"/>
                <w:color w:val="auto"/>
              </w:rPr>
            </w:pPr>
            <w:r>
              <w:rPr>
                <w:rFonts w:ascii="Times New Roman" w:cs="Times New Roman" w:eastAsia="Times New Roman" w:hAnsi="Times New Roman"/>
                <w:sz w:val="14"/>
                <w:szCs w:val="14"/>
                <w:color w:val="auto"/>
              </w:rPr>
              <w:t xml:space="preserve">(1,633) </w:t>
            </w:r>
            <w:r>
              <w:rPr>
                <w:rFonts w:ascii="Times New Roman" w:cs="Times New Roman" w:eastAsia="Times New Roman" w:hAnsi="Times New Roman"/>
                <w:sz w:val="19"/>
                <w:szCs w:val="19"/>
                <w:color w:val="auto"/>
                <w:vertAlign w:val="superscript"/>
              </w:rPr>
              <w:t>(1)(2)</w:t>
            </w:r>
          </w:p>
        </w:tc>
        <w:tc>
          <w:tcPr>
            <w:tcW w:w="80" w:type="dxa"/>
            <w:vAlign w:val="bottom"/>
          </w:tcPr>
          <w:p>
            <w:pPr>
              <w:spacing w:after="0"/>
              <w:rPr>
                <w:sz w:val="14"/>
                <w:szCs w:val="14"/>
                <w:color w:val="auto"/>
              </w:rPr>
            </w:pPr>
          </w:p>
        </w:tc>
        <w:tc>
          <w:tcPr>
            <w:tcW w:w="14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April 9, 2027</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Arrangement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w w:val="99"/>
              </w:rPr>
              <w:t>Executive</w:t>
            </w:r>
          </w:p>
        </w:tc>
        <w:tc>
          <w:tcPr>
            <w:tcW w:w="5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i w:val="1"/>
                <w:iCs w:val="1"/>
                <w:color w:val="auto"/>
              </w:rPr>
              <w:t>Vice</w:t>
            </w:r>
          </w:p>
        </w:tc>
        <w:tc>
          <w:tcPr>
            <w:tcW w:w="86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i w:val="1"/>
                <w:iCs w:val="1"/>
                <w:color w:val="auto"/>
              </w:rPr>
              <w:t>President,</w:t>
            </w:r>
          </w:p>
        </w:tc>
        <w:tc>
          <w:tcPr>
            <w:tcW w:w="2100" w:type="dxa"/>
            <w:vAlign w:val="bottom"/>
            <w:gridSpan w:val="4"/>
          </w:tcPr>
          <w:p>
            <w:pPr>
              <w:jc w:val="right"/>
              <w:ind w:right="1620"/>
              <w:spacing w:after="0" w:line="184" w:lineRule="exact"/>
              <w:rPr>
                <w:sz w:val="20"/>
                <w:szCs w:val="20"/>
                <w:color w:val="auto"/>
              </w:rPr>
            </w:pPr>
            <w:r>
              <w:rPr>
                <w:rFonts w:ascii="Times New Roman" w:cs="Times New Roman" w:eastAsia="Times New Roman" w:hAnsi="Times New Roman"/>
                <w:sz w:val="18"/>
                <w:szCs w:val="18"/>
                <w:i w:val="1"/>
                <w:iCs w:val="1"/>
                <w:color w:val="auto"/>
              </w:rPr>
              <w:t>Chief</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Legal   Officer</w:t>
            </w:r>
          </w:p>
        </w:tc>
        <w:tc>
          <w:tcPr>
            <w:tcW w:w="46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i w:val="1"/>
                <w:iCs w:val="1"/>
                <w:color w:val="auto"/>
              </w:rPr>
              <w:t>and</w:t>
            </w:r>
          </w:p>
        </w:tc>
        <w:tc>
          <w:tcPr>
            <w:tcW w:w="2500" w:type="dxa"/>
            <w:vAlign w:val="bottom"/>
            <w:gridSpan w:val="5"/>
          </w:tcPr>
          <w:p>
            <w:pPr>
              <w:jc w:val="right"/>
              <w:ind w:right="1620"/>
              <w:spacing w:after="0" w:line="182" w:lineRule="exact"/>
              <w:rPr>
                <w:sz w:val="20"/>
                <w:szCs w:val="20"/>
                <w:color w:val="auto"/>
              </w:rPr>
            </w:pPr>
            <w:r>
              <w:rPr>
                <w:rFonts w:ascii="Times New Roman" w:cs="Times New Roman" w:eastAsia="Times New Roman" w:hAnsi="Times New Roman"/>
                <w:sz w:val="18"/>
                <w:szCs w:val="18"/>
                <w:i w:val="1"/>
                <w:iCs w:val="1"/>
                <w:color w:val="auto"/>
              </w:rPr>
              <w:t>Corporate</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3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Bryan T. Vaughn</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March 8, 2026</w:t>
            </w:r>
          </w:p>
        </w:tc>
        <w:tc>
          <w:tcPr>
            <w:tcW w:w="22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Rule 10b5-1 Trading</w:t>
            </w:r>
          </w:p>
        </w:tc>
        <w:tc>
          <w:tcPr>
            <w:tcW w:w="2880" w:type="dxa"/>
            <w:vAlign w:val="bottom"/>
          </w:tcPr>
          <w:p>
            <w:pPr>
              <w:ind w:left="1180"/>
              <w:spacing w:after="0" w:line="181" w:lineRule="exact"/>
              <w:rPr>
                <w:sz w:val="20"/>
                <w:szCs w:val="20"/>
                <w:color w:val="auto"/>
              </w:rPr>
            </w:pPr>
            <w:r>
              <w:rPr>
                <w:rFonts w:ascii="Times New Roman" w:cs="Times New Roman" w:eastAsia="Times New Roman" w:hAnsi="Times New Roman"/>
                <w:sz w:val="15"/>
                <w:szCs w:val="15"/>
                <w:color w:val="auto"/>
              </w:rPr>
              <w:t xml:space="preserve">(2,813) </w:t>
            </w:r>
            <w:r>
              <w:rPr>
                <w:rFonts w:ascii="Times New Roman" w:cs="Times New Roman" w:eastAsia="Times New Roman" w:hAnsi="Times New Roman"/>
                <w:sz w:val="20"/>
                <w:szCs w:val="20"/>
                <w:color w:val="auto"/>
                <w:vertAlign w:val="superscript"/>
              </w:rPr>
              <w:t>(1)</w:t>
            </w:r>
          </w:p>
        </w:tc>
        <w:tc>
          <w:tcPr>
            <w:tcW w:w="8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May 7, 2027</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Arrangement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w w:val="99"/>
              </w:rPr>
              <w:t>Executive</w:t>
            </w:r>
          </w:p>
        </w:tc>
        <w:tc>
          <w:tcPr>
            <w:tcW w:w="1040" w:type="dxa"/>
            <w:vAlign w:val="bottom"/>
            <w:gridSpan w:val="2"/>
          </w:tcPr>
          <w:p>
            <w:pPr>
              <w:jc w:val="center"/>
              <w:ind w:left="50"/>
              <w:spacing w:after="0" w:line="184" w:lineRule="exact"/>
              <w:rPr>
                <w:sz w:val="20"/>
                <w:szCs w:val="20"/>
                <w:color w:val="auto"/>
              </w:rPr>
            </w:pPr>
            <w:r>
              <w:rPr>
                <w:rFonts w:ascii="Times New Roman" w:cs="Times New Roman" w:eastAsia="Times New Roman" w:hAnsi="Times New Roman"/>
                <w:sz w:val="18"/>
                <w:szCs w:val="18"/>
                <w:i w:val="1"/>
                <w:iCs w:val="1"/>
                <w:color w:val="auto"/>
                <w:w w:val="93"/>
              </w:rPr>
              <w:t>Vice</w:t>
            </w:r>
          </w:p>
        </w:tc>
        <w:tc>
          <w:tcPr>
            <w:tcW w:w="2500" w:type="dxa"/>
            <w:vAlign w:val="bottom"/>
            <w:gridSpan w:val="5"/>
          </w:tcPr>
          <w:p>
            <w:pPr>
              <w:jc w:val="right"/>
              <w:ind w:right="1620"/>
              <w:spacing w:after="0" w:line="184" w:lineRule="exact"/>
              <w:rPr>
                <w:sz w:val="20"/>
                <w:szCs w:val="20"/>
                <w:color w:val="auto"/>
              </w:rPr>
            </w:pPr>
            <w:r>
              <w:rPr>
                <w:rFonts w:ascii="Times New Roman" w:cs="Times New Roman" w:eastAsia="Times New Roman" w:hAnsi="Times New Roman"/>
                <w:sz w:val="18"/>
                <w:szCs w:val="18"/>
                <w:i w:val="1"/>
                <w:iCs w:val="1"/>
                <w:color w:val="auto"/>
              </w:rPr>
              <w:t>President,</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Diagnostics</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-1177925</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914" w:lineRule="exact"/>
        <w:rPr>
          <w:sz w:val="20"/>
          <w:szCs w:val="20"/>
          <w:color w:val="auto"/>
        </w:rPr>
      </w:pPr>
    </w:p>
    <w:p>
      <w:pPr>
        <w:sectPr>
          <w:pgSz w:w="11900" w:h="16838" w:orient="portrait"/>
          <w:cols w:equalWidth="0" w:num="2">
            <w:col w:w="10900" w:space="20"/>
            <w:col w:w="320"/>
          </w:cols>
          <w:pgMar w:left="320" w:top="121" w:right="339" w:bottom="1440" w:gutter="0" w:footer="0" w:header="0"/>
          <w:type w:val="continuous"/>
        </w:sectPr>
      </w:pPr>
    </w:p>
    <w:p>
      <w:pPr>
        <w:spacing w:after="0" w:line="4" w:lineRule="exact"/>
        <w:rPr>
          <w:sz w:val="20"/>
          <w:szCs w:val="20"/>
          <w:color w:val="auto"/>
        </w:rPr>
      </w:pPr>
    </w:p>
    <w:p>
      <w:pPr>
        <w:ind w:left="260" w:right="20" w:hanging="252"/>
        <w:spacing w:after="0" w:line="229" w:lineRule="auto"/>
        <w:tabs>
          <w:tab w:leader="none" w:pos="2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 presented represents the shares to be sold on the vesting of equity awards and may vary subject to the achievement of certain performance conditions and/or shares to be withheld for tax purposes.</w:t>
      </w:r>
    </w:p>
    <w:p>
      <w:pPr>
        <w:spacing w:after="0" w:line="73" w:lineRule="exact"/>
        <w:rPr>
          <w:rFonts w:ascii="Times New Roman" w:cs="Times New Roman" w:eastAsia="Times New Roman" w:hAnsi="Times New Roman"/>
          <w:sz w:val="23"/>
          <w:szCs w:val="23"/>
          <w:color w:val="auto"/>
          <w:vertAlign w:val="superscript"/>
        </w:rPr>
      </w:pPr>
    </w:p>
    <w:p>
      <w:pPr>
        <w:ind w:left="240" w:hanging="232"/>
        <w:spacing w:after="0"/>
        <w:tabs>
          <w:tab w:leader="none" w:pos="2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Ms. Kyle’s plan provides for the sale of up to 195 shares of Common Stock previously acquired from an equity award vesting event.</w:t>
      </w:r>
    </w:p>
    <w:p>
      <w:pPr>
        <w:spacing w:after="0" w:line="86" w:lineRule="exact"/>
        <w:rPr>
          <w:rFonts w:ascii="Times New Roman" w:cs="Times New Roman" w:eastAsia="Times New Roman" w:hAnsi="Times New Roman"/>
          <w:sz w:val="23"/>
          <w:szCs w:val="23"/>
          <w:color w:val="auto"/>
          <w:vertAlign w:val="superscript"/>
        </w:rPr>
      </w:pPr>
    </w:p>
    <w:p>
      <w:pPr>
        <w:ind w:left="240" w:hanging="232"/>
        <w:spacing w:after="0"/>
        <w:tabs>
          <w:tab w:leader="none" w:pos="2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trading arrangement permits transactions through the completion of all sales on the respective order entry date.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1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9640" w:type="dxa"/>
            <w:vAlign w:val="bottom"/>
            <w:gridSpan w:val="13"/>
          </w:tcPr>
          <w:p>
            <w:pPr>
              <w:spacing w:after="0" w:line="194"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Second Amendment to Receivables Purchase Agreement, dated as of January 28, 2026, by and among Labcorp Receivables LLC, as</w:t>
              </w:r>
            </w:hyperlink>
          </w:p>
        </w:tc>
      </w:tr>
      <w:tr>
        <w:trPr>
          <w:trHeight w:val="169"/>
        </w:trPr>
        <w:tc>
          <w:tcPr>
            <w:tcW w:w="1560" w:type="dxa"/>
            <w:vAlign w:val="bottom"/>
          </w:tcPr>
          <w:p>
            <w:pPr>
              <w:spacing w:after="0"/>
              <w:rPr>
                <w:sz w:val="14"/>
                <w:szCs w:val="14"/>
                <w:color w:val="auto"/>
              </w:rPr>
            </w:pPr>
          </w:p>
        </w:tc>
        <w:tc>
          <w:tcPr>
            <w:tcW w:w="95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seller, persons from time to time party hereto, as purchasers, PNC Bank National Association, as administrative agent, Laboratory</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560" w:type="dxa"/>
            <w:vAlign w:val="bottom"/>
          </w:tcPr>
          <w:p>
            <w:pPr>
              <w:spacing w:after="0"/>
              <w:rPr>
                <w:sz w:val="14"/>
                <w:szCs w:val="14"/>
                <w:color w:val="auto"/>
              </w:rPr>
            </w:pPr>
          </w:p>
        </w:tc>
        <w:tc>
          <w:tcPr>
            <w:tcW w:w="93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Corporation of America Holdings, as Servicer, and PNC Capital Markets, as structuring agent (incorporated by reference to Exhibit</w:t>
              </w:r>
            </w:hyperlink>
          </w:p>
        </w:tc>
        <w:tc>
          <w:tcPr>
            <w:tcW w:w="20" w:type="dxa"/>
            <w:vAlign w:val="bottom"/>
            <w:tcBorders>
              <w:bottom w:val="single" w:sz="8" w:color="0000FF"/>
            </w:tcBorders>
          </w:tcPr>
          <w:p>
            <w:pPr>
              <w:spacing w:after="0"/>
              <w:rPr>
                <w:sz w:val="14"/>
                <w:szCs w:val="14"/>
                <w:color w:val="auto"/>
              </w:rPr>
            </w:pPr>
          </w:p>
        </w:tc>
        <w:tc>
          <w:tcPr>
            <w:tcW w:w="80" w:type="dxa"/>
            <w:vAlign w:val="bottom"/>
            <w:tcBorders>
              <w:bottom w:val="single" w:sz="8" w:color="0000FF"/>
            </w:tcBorders>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560" w:type="dxa"/>
            <w:vAlign w:val="bottom"/>
          </w:tcPr>
          <w:p>
            <w:pPr>
              <w:spacing w:after="0"/>
              <w:rPr>
                <w:sz w:val="14"/>
                <w:szCs w:val="14"/>
                <w:color w:val="auto"/>
              </w:rPr>
            </w:pPr>
          </w:p>
        </w:tc>
        <w:tc>
          <w:tcPr>
            <w:tcW w:w="9460" w:type="dxa"/>
            <w:vAlign w:val="bottom"/>
            <w:gridSpan w:val="9"/>
          </w:tcPr>
          <w:p>
            <w:pPr>
              <w:spacing w:after="0" w:line="16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January 29, 2026).</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640" w:type="dxa"/>
            <w:vAlign w:val="bottom"/>
            <w:gridSpan w:val="13"/>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Term Loan Credit Agreement dated as of March 20, 2026 among the Company, Wells Fargo Bank, N.A., as administrative agent, and</w:t>
              </w:r>
            </w:hyperlink>
          </w:p>
        </w:tc>
      </w:tr>
      <w:tr>
        <w:trPr>
          <w:trHeight w:val="169"/>
        </w:trPr>
        <w:tc>
          <w:tcPr>
            <w:tcW w:w="1560" w:type="dxa"/>
            <w:vAlign w:val="bottom"/>
          </w:tcPr>
          <w:p>
            <w:pPr>
              <w:spacing w:after="0"/>
              <w:rPr>
                <w:sz w:val="14"/>
                <w:szCs w:val="14"/>
                <w:color w:val="auto"/>
              </w:rPr>
            </w:pPr>
          </w:p>
        </w:tc>
        <w:tc>
          <w:tcPr>
            <w:tcW w:w="96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lenders party thereto (incorporated by reference to Exhibit 10.1 to the Company’s Current Report on Form 8-K filed on March 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56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48">
              <w:r>
                <w:rPr>
                  <w:rFonts w:ascii="Times New Roman" w:cs="Times New Roman" w:eastAsia="Times New Roman" w:hAnsi="Times New Roman"/>
                  <w:sz w:val="18"/>
                  <w:szCs w:val="18"/>
                  <w:color w:val="0000FF"/>
                  <w:w w:val="94"/>
                </w:rPr>
                <w:t>2026).</w:t>
              </w:r>
            </w:hyperlink>
          </w:p>
        </w:tc>
        <w:tc>
          <w:tcPr>
            <w:tcW w:w="13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258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22.1*</w:t>
            </w:r>
          </w:p>
        </w:tc>
        <w:tc>
          <w:tcPr>
            <w:tcW w:w="31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Subsidiary Issuers of Guaranteed Securities</w:t>
            </w:r>
          </w:p>
        </w:tc>
        <w:tc>
          <w:tcPr>
            <w:tcW w:w="6500" w:type="dxa"/>
            <w:vAlign w:val="bottom"/>
            <w:gridSpan w:val="10"/>
          </w:tcPr>
          <w:p>
            <w:pPr>
              <w:spacing w:after="0"/>
              <w:rPr>
                <w:sz w:val="20"/>
                <w:szCs w:val="20"/>
                <w:color w:val="auto"/>
              </w:rPr>
            </w:pP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Rule 13a-14(a) or Rule 15d-14(a)</w:t>
            </w: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4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Rule 13a-14(a) or Rule 15d-14(a)</w:t>
            </w:r>
          </w:p>
        </w:tc>
        <w:tc>
          <w:tcPr>
            <w:tcW w:w="40" w:type="dxa"/>
            <w:vAlign w:val="bottom"/>
            <w:tcBorders>
              <w:top w:val="single" w:sz="8" w:color="0000FF"/>
            </w:tcBorders>
          </w:tcPr>
          <w:p>
            <w:pPr>
              <w:spacing w:after="0"/>
              <w:rPr>
                <w:sz w:val="19"/>
                <w:szCs w:val="19"/>
                <w:color w:val="auto"/>
              </w:rPr>
            </w:pPr>
          </w:p>
        </w:tc>
        <w:tc>
          <w:tcPr>
            <w:tcW w:w="3160" w:type="dxa"/>
            <w:vAlign w:val="bottom"/>
            <w:gridSpan w:val="7"/>
          </w:tcPr>
          <w:p>
            <w:pPr>
              <w:spacing w:after="0"/>
              <w:rPr>
                <w:sz w:val="19"/>
                <w:szCs w:val="19"/>
                <w:color w:val="auto"/>
              </w:rPr>
            </w:pPr>
          </w:p>
        </w:tc>
      </w:tr>
      <w:tr>
        <w:trPr>
          <w:trHeight w:val="20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6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Written Statement of Chief Executive Officer and Chief Financial Officer pursuant to Section 906 of the Sarbanes-Oxley Act of 2002</w:t>
            </w:r>
          </w:p>
        </w:tc>
      </w:tr>
      <w:tr>
        <w:trPr>
          <w:trHeight w:val="156"/>
        </w:trPr>
        <w:tc>
          <w:tcPr>
            <w:tcW w:w="156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(18 U.S.C. Section 1350)</w:t>
            </w:r>
          </w:p>
        </w:tc>
        <w:tc>
          <w:tcPr>
            <w:tcW w:w="78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560" w:type="dxa"/>
            <w:vAlign w:val="bottom"/>
          </w:tcPr>
          <w:p>
            <w:pPr>
              <w:spacing w:after="0"/>
              <w:rPr>
                <w:sz w:val="20"/>
                <w:szCs w:val="20"/>
                <w:color w:val="auto"/>
              </w:rPr>
            </w:pPr>
          </w:p>
        </w:tc>
        <w:tc>
          <w:tcPr>
            <w:tcW w:w="96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03" w:lineRule="exact"/>
        <w:rPr>
          <w:sz w:val="20"/>
          <w:szCs w:val="20"/>
          <w:color w:val="auto"/>
        </w:rPr>
      </w:pPr>
    </w:p>
    <w:p>
      <w:pPr>
        <w:ind w:left="1120" w:hanging="109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120" w:hanging="1094"/>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Registrant</w:t>
      </w:r>
    </w:p>
    <w:p>
      <w:pPr>
        <w:spacing w:after="0" w:line="153"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17"/>
                <w:szCs w:val="17"/>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ADAM H. SCHECHTER</w:t>
            </w:r>
          </w:p>
        </w:tc>
        <w:tc>
          <w:tcPr>
            <w:tcW w:w="1740" w:type="dxa"/>
            <w:vAlign w:val="bottom"/>
          </w:tcPr>
          <w:p>
            <w:pPr>
              <w:spacing w:after="0"/>
              <w:rPr>
                <w:sz w:val="17"/>
                <w:szCs w:val="17"/>
                <w:color w:val="auto"/>
              </w:rPr>
            </w:pPr>
          </w:p>
        </w:tc>
      </w:tr>
      <w:tr>
        <w:trPr>
          <w:trHeight w:val="245"/>
        </w:trPr>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0"/>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JULIA A. WANG</w:t>
            </w:r>
          </w:p>
        </w:tc>
      </w:tr>
      <w:tr>
        <w:trPr>
          <w:trHeight w:val="245"/>
        </w:trPr>
        <w:tc>
          <w:tcPr>
            <w:tcW w:w="760" w:type="dxa"/>
            <w:vAlign w:val="bottom"/>
          </w:tcPr>
          <w:p>
            <w:pPr>
              <w:spacing w:after="0"/>
              <w:rPr>
                <w:sz w:val="21"/>
                <w:szCs w:val="21"/>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Julia A. Wang</w:t>
            </w:r>
          </w:p>
        </w:tc>
        <w:tc>
          <w:tcPr>
            <w:tcW w:w="2320" w:type="dxa"/>
            <w:vAlign w:val="bottom"/>
            <w:gridSpan w:val="2"/>
          </w:tcPr>
          <w:p>
            <w:pPr>
              <w:spacing w:after="0"/>
              <w:rPr>
                <w:sz w:val="21"/>
                <w:szCs w:val="21"/>
                <w:color w:val="auto"/>
              </w:rPr>
            </w:pPr>
          </w:p>
        </w:tc>
      </w:tr>
      <w:tr>
        <w:trPr>
          <w:trHeight w:val="230"/>
        </w:trPr>
        <w:tc>
          <w:tcPr>
            <w:tcW w:w="760" w:type="dxa"/>
            <w:vAlign w:val="bottom"/>
          </w:tcPr>
          <w:p>
            <w:pPr>
              <w:spacing w:after="0"/>
              <w:rPr>
                <w:sz w:val="19"/>
                <w:szCs w:val="19"/>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760" w:type="dxa"/>
            <w:vAlign w:val="bottom"/>
          </w:tcPr>
          <w:p>
            <w:pPr>
              <w:spacing w:after="0"/>
              <w:rPr>
                <w:sz w:val="20"/>
                <w:szCs w:val="20"/>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4, 2026</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80"/>
          </w:cols>
          <w:pgMar w:left="320" w:top="121" w:right="12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Issuers of Guaranteed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securities (collectively referred to in this exhibit as the “Senior Notes”) issued by Laboratory Corporation of America Holdings (“LCAH”), a Delaware corporation and wholly-owned subsidiary of Labcorp Holdings Inc. (“LHI”), a Delaware corporation, were outstanding as of March 31, 2026.</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Senior Notes</w:t>
      </w:r>
    </w:p>
    <w:p>
      <w:pPr>
        <w:spacing w:after="0" w:line="54" w:lineRule="exact"/>
        <w:rPr>
          <w:sz w:val="20"/>
          <w:szCs w:val="20"/>
          <w:color w:val="auto"/>
        </w:rPr>
      </w:pPr>
    </w:p>
    <w:p>
      <w:pPr>
        <w:ind w:left="20" w:right="580"/>
        <w:spacing w:after="0" w:line="266" w:lineRule="auto"/>
        <w:rPr>
          <w:sz w:val="20"/>
          <w:szCs w:val="20"/>
          <w:color w:val="auto"/>
        </w:rPr>
      </w:pPr>
      <w:r>
        <w:rPr>
          <w:rFonts w:ascii="Times New Roman" w:cs="Times New Roman" w:eastAsia="Times New Roman" w:hAnsi="Times New Roman"/>
          <w:sz w:val="18"/>
          <w:szCs w:val="18"/>
          <w:color w:val="auto"/>
        </w:rPr>
        <w:t>1.55% Senior Notes due 2026 (issued under the Fifteenth Supplemental Indenture to the Indenture, dated as of November 19, 2010, by and between LCAH and U.S. Bank Trust Company, National Association, as trustee (the “2010 Indenture”))</w:t>
      </w:r>
    </w:p>
    <w:p>
      <w:pPr>
        <w:ind w:left="20"/>
        <w:spacing w:after="0"/>
        <w:rPr>
          <w:sz w:val="20"/>
          <w:szCs w:val="20"/>
          <w:color w:val="auto"/>
        </w:rPr>
      </w:pPr>
      <w:r>
        <w:rPr>
          <w:rFonts w:ascii="Times New Roman" w:cs="Times New Roman" w:eastAsia="Times New Roman" w:hAnsi="Times New Roman"/>
          <w:sz w:val="18"/>
          <w:szCs w:val="18"/>
          <w:color w:val="auto"/>
        </w:rPr>
        <w:t>3.60% Senior Notes due 2027 (issued under the Twelfth Supplemental Indenture to the 2010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2.95% Senior Notes due 2029 (issued under the Fourteenth Supplemental Indenture to the 2010 Indenture)</w:t>
      </w:r>
    </w:p>
    <w:p>
      <w:pPr>
        <w:spacing w:after="0" w:line="50" w:lineRule="exact"/>
        <w:rPr>
          <w:sz w:val="20"/>
          <w:szCs w:val="20"/>
          <w:color w:val="auto"/>
        </w:rPr>
      </w:pPr>
    </w:p>
    <w:p>
      <w:pPr>
        <w:ind w:left="20" w:right="880"/>
        <w:spacing w:after="0" w:line="266" w:lineRule="auto"/>
        <w:rPr>
          <w:sz w:val="20"/>
          <w:szCs w:val="20"/>
          <w:color w:val="auto"/>
        </w:rPr>
      </w:pPr>
      <w:r>
        <w:rPr>
          <w:rFonts w:ascii="Times New Roman" w:cs="Times New Roman" w:eastAsia="Times New Roman" w:hAnsi="Times New Roman"/>
          <w:sz w:val="18"/>
          <w:szCs w:val="18"/>
          <w:color w:val="auto"/>
        </w:rPr>
        <w:t>4.35% Senior Notes due 2030 (issued under the First Supplemental Indenture to the Indenture, dated as of September 23, 2024, by and between LCAH and U.S. Bank Trust Company, National Association, as trustee (the “2024 Indenture”))</w:t>
      </w:r>
    </w:p>
    <w:p>
      <w:pPr>
        <w:ind w:left="20"/>
        <w:spacing w:after="0"/>
        <w:rPr>
          <w:sz w:val="20"/>
          <w:szCs w:val="20"/>
          <w:color w:val="auto"/>
        </w:rPr>
      </w:pPr>
      <w:r>
        <w:rPr>
          <w:rFonts w:ascii="Times New Roman" w:cs="Times New Roman" w:eastAsia="Times New Roman" w:hAnsi="Times New Roman"/>
          <w:sz w:val="18"/>
          <w:szCs w:val="18"/>
          <w:color w:val="auto"/>
        </w:rPr>
        <w:t>2.70% Senior Notes due 2031 (issued under the Sixteenth Supplemental Indenture to the 2010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4.55% Senior Notes due 2032 (issued under the Second Supplemental Indenture to the 2024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4.80% Senior Notes due 2034 (issued under the Third Supplemental Indenture to the 2024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4.70% Senior Notes due 2045 (issued under the Tenth Supplemental Indenture to the 2010 Indenture)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obligors under the Senior Notes consisted of LHI, as guarantor, and LCAH, as issuer.</w:t>
      </w:r>
    </w:p>
    <w:p>
      <w:pPr>
        <w:sectPr>
          <w:pgSz w:w="11900" w:h="16838" w:orient="portrait"/>
          <w:cols w:equalWidth="0" w:num="1">
            <w:col w:w="11240"/>
          </w:cols>
          <w:pgMar w:left="320" w:top="14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52"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tab/>
        <w:t>May 4, 2026</w:t>
      </w:r>
    </w:p>
    <w:p>
      <w:pPr>
        <w:spacing w:after="0" w:line="27"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420"/>
          </w:cols>
          <w:pgMar w:left="320" w:top="887" w:right="11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Julia A. Wang, certify that:</w:t>
      </w:r>
    </w:p>
    <w:p>
      <w:pPr>
        <w:spacing w:after="0" w:line="252"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tab/>
        <w:t>May 4, 2026</w:t>
      </w:r>
    </w:p>
    <w:p>
      <w:pPr>
        <w:spacing w:after="0" w:line="27"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JULIA A. WANG</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Julia A. Wang</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420"/>
          </w:cols>
          <w:pgMar w:left="320" w:top="887" w:right="11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Labcorp Holdings Inc. (the “Company”), each hereby certifies that, to his knowledge on the date hereof:</w:t>
      </w:r>
    </w:p>
    <w:p>
      <w:pPr>
        <w:spacing w:after="0" w:line="189" w:lineRule="exact"/>
        <w:rPr>
          <w:sz w:val="20"/>
          <w:szCs w:val="20"/>
          <w:color w:val="auto"/>
        </w:rPr>
      </w:pPr>
    </w:p>
    <w:p>
      <w:pPr>
        <w:ind w:firstLine="8"/>
        <w:spacing w:after="0" w:line="282" w:lineRule="auto"/>
        <w:tabs>
          <w:tab w:leader="none" w:pos="2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March 31, 2026, filed on the date hereof with the Securities and Exchange Commission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 ADAM H. SCHECHTER</w:t>
            </w:r>
          </w:p>
        </w:tc>
      </w:tr>
      <w:tr>
        <w:trPr>
          <w:trHeight w:val="245"/>
        </w:trPr>
        <w:tc>
          <w:tcPr>
            <w:tcW w:w="58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H. Schechter</w:t>
            </w:r>
          </w:p>
        </w:tc>
      </w:tr>
      <w:tr>
        <w:trPr>
          <w:trHeight w:val="230"/>
        </w:trPr>
        <w:tc>
          <w:tcPr>
            <w:tcW w:w="58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4, 2026</w:t>
            </w:r>
          </w:p>
        </w:tc>
      </w:tr>
      <w:tr>
        <w:trPr>
          <w:trHeight w:val="79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JULIA A. WANG</w:t>
            </w:r>
          </w:p>
        </w:tc>
      </w:tr>
      <w:tr>
        <w:trPr>
          <w:trHeight w:val="245"/>
        </w:trPr>
        <w:tc>
          <w:tcPr>
            <w:tcW w:w="580" w:type="dxa"/>
            <w:vAlign w:val="bottom"/>
          </w:tcPr>
          <w:p>
            <w:pPr>
              <w:spacing w:after="0"/>
              <w:rPr>
                <w:sz w:val="21"/>
                <w:szCs w:val="21"/>
                <w:color w:val="auto"/>
              </w:rPr>
            </w:pP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Julia A. Wang</w:t>
            </w: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4, 2026</w:t>
            </w:r>
          </w:p>
        </w:tc>
      </w:tr>
    </w:tbl>
    <w:p>
      <w:pPr>
        <w:sectPr>
          <w:pgSz w:w="11900" w:h="16838" w:orient="portrait"/>
          <w:cols w:equalWidth="0" w:num="1">
            <w:col w:w="10420"/>
          </w:cols>
          <w:pgMar w:left="320" w:top="887" w:right="115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Labcorp Holdings Inc. and will be retained by Labcorp Holdings Inc. and furnished to the Securities and Exchange Commission or its staff upon request.</w:t>
      </w:r>
    </w:p>
    <w:sectPr>
      <w:pgSz w:w="11900" w:h="16838" w:orient="portrait"/>
      <w:cols w:equalWidth="0" w:num="1">
        <w:col w:w="11120"/>
      </w:cols>
      <w:pgMar w:left="320" w:top="89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8"/>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4"/>
    </w:lvl>
  </w:abstractNum>
  <w:abstractNum w:abstractNumId="7">
    <w:nsid w:val="1190CDE7"/>
    <w:multiLevelType w:val="hybridMultilevel"/>
    <w:lvl w:ilvl="0">
      <w:lvlJc w:val="left"/>
      <w:lvlText w:val="%1."/>
      <w:numFmt w:val="decimal"/>
      <w:start w:val="4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47" Type="http://schemas.openxmlformats.org/officeDocument/2006/relationships/hyperlink" Target="https://www.sec.gov/Archives/edgar/data/920148/000092014826000017/exhibit101secondamendmentt.htm" TargetMode="External"/><Relationship Id="rId48" Type="http://schemas.openxmlformats.org/officeDocument/2006/relationships/hyperlink" Target="https://www.sec.gov/Archives/edgar/data/920148/000119312526117879/d3863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2026-05-04T13:22:37Z</dcterms:created>
  <dcterms:modified xsi:type="dcterms:W3CDTF">2026-05-04T13:22:37Z</dcterms:modified>
</cp:coreProperties>
</file>