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460" w:hanging="305"/>
        <w:spacing w:after="0"/>
        <w:tabs>
          <w:tab w:leader="none" w:pos="3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w:t>
      </w:r>
    </w:p>
    <w:p>
      <w:pPr>
        <w:spacing w:after="0" w:line="23"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3320" w:hanging="154"/>
        <w:spacing w:after="0"/>
        <w:tabs>
          <w:tab w:leader="none" w:pos="3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w:t>
      </w:r>
    </w:p>
    <w:p>
      <w:pPr>
        <w:spacing w:after="0" w:line="9"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For the transition period from ______ to 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1-11353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LABORATORY CORPORATION OF</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AMERICA HOLDINGS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right"/>
              <w:ind w:right="2330"/>
              <w:spacing w:after="0"/>
              <w:rPr>
                <w:sz w:val="20"/>
                <w:szCs w:val="20"/>
                <w:color w:val="auto"/>
              </w:rPr>
            </w:pPr>
            <w:r>
              <w:rPr>
                <w:rFonts w:ascii="Arial" w:cs="Arial" w:eastAsia="Arial" w:hAnsi="Arial"/>
                <w:sz w:val="18"/>
                <w:szCs w:val="18"/>
                <w:b w:val="1"/>
                <w:bCs w:val="1"/>
                <w:color w:val="auto"/>
              </w:rPr>
              <w:t>13-3757370</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358 South Main Street,</w:t>
            </w:r>
          </w:p>
        </w:tc>
        <w:tc>
          <w:tcPr>
            <w:tcW w:w="5700" w:type="dxa"/>
            <w:vAlign w:val="bottom"/>
          </w:tcPr>
          <w:p>
            <w:pPr>
              <w:spacing w:after="0"/>
              <w:rPr>
                <w:sz w:val="24"/>
                <w:szCs w:val="24"/>
                <w:color w:val="auto"/>
              </w:rPr>
            </w:pPr>
          </w:p>
        </w:tc>
      </w:tr>
      <w:tr>
        <w:trPr>
          <w:trHeight w:val="270"/>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Burlington, North Carolina</w:t>
            </w:r>
          </w:p>
        </w:tc>
        <w:tc>
          <w:tcPr>
            <w:tcW w:w="5700" w:type="dxa"/>
            <w:vAlign w:val="bottom"/>
          </w:tcPr>
          <w:p>
            <w:pPr>
              <w:jc w:val="right"/>
              <w:ind w:right="2530"/>
              <w:spacing w:after="0"/>
              <w:rPr>
                <w:sz w:val="20"/>
                <w:szCs w:val="20"/>
                <w:color w:val="auto"/>
              </w:rPr>
            </w:pPr>
            <w:r>
              <w:rPr>
                <w:rFonts w:ascii="Arial" w:cs="Arial" w:eastAsia="Arial" w:hAnsi="Arial"/>
                <w:sz w:val="18"/>
                <w:szCs w:val="18"/>
                <w:b w:val="1"/>
                <w:bCs w:val="1"/>
                <w:color w:val="auto"/>
              </w:rPr>
              <w:t>27215</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336-229-1127</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(paragraph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4180"/>
        <w:spacing w:after="0"/>
        <w:rPr>
          <w:sz w:val="20"/>
          <w:szCs w:val="20"/>
          <w:color w:val="auto"/>
        </w:rPr>
      </w:pPr>
      <w:r>
        <w:rPr>
          <w:rFonts w:ascii="Arial" w:cs="Arial" w:eastAsia="Arial" w:hAnsi="Arial"/>
          <w:sz w:val="17"/>
          <w:szCs w:val="17"/>
          <w:color w:val="auto"/>
        </w:rPr>
        <w:t>Accelerated Filer [ ]</w:t>
      </w:r>
    </w:p>
    <w:p>
      <w:pPr>
        <w:spacing w:after="0" w:line="75" w:lineRule="exact"/>
        <w:rPr>
          <w:sz w:val="24"/>
          <w:szCs w:val="24"/>
          <w:color w:val="auto"/>
        </w:rPr>
      </w:pPr>
    </w:p>
    <w:p>
      <w:pPr>
        <w:sectPr>
          <w:pgSz w:w="11900" w:h="16838" w:orient="portrait"/>
          <w:cols w:equalWidth="0" w:num="2">
            <w:col w:w="5020" w:space="720"/>
            <w:col w:w="568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4"/>
          <w:szCs w:val="24"/>
          <w:color w:val="auto"/>
        </w:rPr>
      </w:pPr>
    </w:p>
    <w:p>
      <w:pPr>
        <w:sectPr>
          <w:pgSz w:w="11900" w:h="16838" w:orient="portrait"/>
          <w:cols w:equalWidth="0" w:num="2">
            <w:col w:w="5200" w:space="540"/>
            <w:col w:w="5680"/>
          </w:cols>
          <w:pgMar w:left="240" w:top="220"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is 102.3 million shares, net of treasury stock as of July 26, 2016.</w:t>
      </w:r>
    </w:p>
    <w:p>
      <w:pPr>
        <w:sectPr>
          <w:pgSz w:w="11900" w:h="16838" w:orient="portrait"/>
          <w:cols w:equalWidth="0" w:num="1">
            <w:col w:w="11420"/>
          </w:cols>
          <w:pgMar w:left="240" w:top="22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12"/>
        </w:trPr>
        <w:tc>
          <w:tcPr>
            <w:tcW w:w="5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INDEX</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rPr>
              <w:t>PART I. FINANCIAL INFORMATION</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8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w w:val="92"/>
              </w:rPr>
              <w:t>June 30, 2016 and December 31, 2015</w:t>
            </w:r>
          </w:p>
        </w:tc>
        <w:tc>
          <w:tcPr>
            <w:tcW w:w="3540" w:type="dxa"/>
            <w:vAlign w:val="bottom"/>
            <w:gridSpan w:val="8"/>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2800" w:type="dxa"/>
            <w:vAlign w:val="bottom"/>
            <w:gridSpan w:val="7"/>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and six months ended June 30, 2016 and 2015</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Earnings</w:t>
              </w:r>
            </w:hyperlink>
          </w:p>
        </w:tc>
        <w:tc>
          <w:tcPr>
            <w:tcW w:w="1780" w:type="dxa"/>
            <w:vAlign w:val="bottom"/>
            <w:gridSpan w:val="3"/>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and six months ended June 30, 2016 and 2015</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Shareholders’ Equity</w:t>
              </w:r>
            </w:hyperlink>
          </w:p>
        </w:tc>
        <w:tc>
          <w:tcPr>
            <w:tcW w:w="1220" w:type="dxa"/>
            <w:vAlign w:val="bottom"/>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Six months ended June 30, 2016 and 2015</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38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Six months ended June 30, 2016 and 2015</w:t>
            </w:r>
          </w:p>
        </w:tc>
        <w:tc>
          <w:tcPr>
            <w:tcW w:w="2760" w:type="dxa"/>
            <w:vAlign w:val="bottom"/>
            <w:gridSpan w:val="6"/>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38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8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38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2160" w:type="dxa"/>
            <w:vAlign w:val="bottom"/>
            <w:gridSpan w:val="5"/>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48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rPr>
              <w:t>PART II. OTHER INFORMATION</w:t>
            </w: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386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420" w:type="dxa"/>
            <w:vAlign w:val="bottom"/>
          </w:tcPr>
          <w:p>
            <w:pPr>
              <w:spacing w:after="0"/>
              <w:rPr>
                <w:sz w:val="24"/>
                <w:szCs w:val="24"/>
                <w:color w:val="auto"/>
              </w:rPr>
            </w:pPr>
          </w:p>
        </w:tc>
        <w:tc>
          <w:tcPr>
            <w:tcW w:w="5140" w:type="dxa"/>
            <w:vAlign w:val="bottom"/>
            <w:gridSpan w:val="11"/>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386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Exhibits</w:t>
              </w:r>
            </w:hyperlink>
          </w:p>
        </w:tc>
        <w:tc>
          <w:tcPr>
            <w:tcW w:w="3740" w:type="dxa"/>
            <w:vAlign w:val="bottom"/>
            <w:gridSpan w:val="9"/>
          </w:tcPr>
          <w:p>
            <w:pPr>
              <w:spacing w:after="0"/>
              <w:rPr>
                <w:sz w:val="24"/>
                <w:szCs w:val="24"/>
                <w:color w:val="auto"/>
              </w:rPr>
            </w:pPr>
          </w:p>
        </w:tc>
        <w:tc>
          <w:tcPr>
            <w:tcW w:w="2120" w:type="dxa"/>
            <w:vAlign w:val="bottom"/>
            <w:gridSpan w:val="4"/>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723"/>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80" w:type="dxa"/>
            <w:vAlign w:val="bottom"/>
            <w:gridSpan w:val="10"/>
          </w:tcPr>
          <w:p>
            <w:pPr>
              <w:jc w:val="center"/>
              <w:ind w:left="389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34"/>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716.4</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2"/>
              </w:rPr>
              <w:t>Accounts receivable, net of allowance for doubtful accounts of $245.3 and $217.0 at June 30, 2016 and</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2015, respectively</w:t>
            </w:r>
          </w:p>
        </w:tc>
        <w:tc>
          <w:tcPr>
            <w:tcW w:w="3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1,314.4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1,217.9</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Supplies inventories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191.0</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2,644.1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2,621.2</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 net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6,218.3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6,191.9</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Joint venture partnerships and equity method investments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14,199.0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14,103.4</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633.1</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423.9</w:t>
            </w: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5,967.6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5,940.3</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1,260.6</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323.1</w:t>
            </w: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8,870.1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9,224.5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9"/>
              </w:rPr>
              <w:t>Common stock, 102.2 and 101.3 shares outstanding at June 30, 2016 and December 31, 2015,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1,974.5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Less common stock held in treasury</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(978.1)</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5,313.0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4,864.0</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14,199.0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14,103.4</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7"/>
        </w:trPr>
        <w:tc>
          <w:tcPr>
            <w:tcW w:w="560" w:type="dxa"/>
            <w:vAlign w:val="bottom"/>
            <w:tcBorders>
              <w:top w:val="single" w:sz="8" w:color="0000EE"/>
            </w:tcBorders>
          </w:tcPr>
          <w:p>
            <w:pPr>
              <w:spacing w:after="0"/>
              <w:rPr>
                <w:sz w:val="24"/>
                <w:szCs w:val="24"/>
                <w:color w:val="auto"/>
              </w:rPr>
            </w:pPr>
          </w:p>
        </w:tc>
        <w:tc>
          <w:tcPr>
            <w:tcW w:w="8540" w:type="dxa"/>
            <w:vAlign w:val="bottom"/>
            <w:gridSpan w:val="8"/>
          </w:tcPr>
          <w:p>
            <w:pPr>
              <w:jc w:val="center"/>
              <w:ind w:left="16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420" w:type="dxa"/>
            <w:vAlign w:val="bottom"/>
            <w:gridSpan w:val="7"/>
          </w:tcPr>
          <w:p>
            <w:pPr>
              <w:jc w:val="center"/>
              <w:ind w:left="17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7180" w:type="dxa"/>
            <w:vAlign w:val="bottom"/>
            <w:gridSpan w:val="4"/>
          </w:tcPr>
          <w:p>
            <w:pPr>
              <w:jc w:val="center"/>
              <w:ind w:left="3030"/>
              <w:spacing w:after="0"/>
              <w:rPr>
                <w:sz w:val="20"/>
                <w:szCs w:val="20"/>
                <w:color w:val="auto"/>
              </w:rPr>
            </w:pPr>
            <w:r>
              <w:rPr>
                <w:rFonts w:ascii="Arial" w:cs="Arial" w:eastAsia="Arial" w:hAnsi="Arial"/>
                <w:sz w:val="18"/>
                <w:szCs w:val="18"/>
                <w:b w:val="1"/>
                <w:bCs w:val="1"/>
                <w:color w:val="auto"/>
                <w:w w:val="89"/>
              </w:rPr>
              <w:t>(in millions, except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5920" w:type="dxa"/>
            <w:vAlign w:val="bottom"/>
          </w:tcPr>
          <w:p>
            <w:pPr>
              <w:jc w:val="center"/>
              <w:ind w:left="429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5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50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Three Months Ended June 30,</w:t>
            </w:r>
          </w:p>
        </w:tc>
        <w:tc>
          <w:tcPr>
            <w:tcW w:w="120" w:type="dxa"/>
            <w:vAlign w:val="bottom"/>
          </w:tcPr>
          <w:p>
            <w:pPr>
              <w:spacing w:after="0"/>
              <w:rPr>
                <w:sz w:val="24"/>
                <w:szCs w:val="24"/>
                <w:color w:val="auto"/>
              </w:rPr>
            </w:pPr>
          </w:p>
        </w:tc>
        <w:tc>
          <w:tcPr>
            <w:tcW w:w="2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34"/>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34"/>
        </w:trPr>
        <w:tc>
          <w:tcPr>
            <w:tcW w:w="56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3,991.0</w:t>
            </w:r>
          </w:p>
        </w:tc>
      </w:tr>
      <w:tr>
        <w:trPr>
          <w:trHeight w:val="284"/>
        </w:trPr>
        <w:tc>
          <w:tcPr>
            <w:tcW w:w="6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71.3</w:t>
            </w:r>
          </w:p>
        </w:tc>
      </w:tr>
      <w:tr>
        <w:trPr>
          <w:trHeight w:val="244"/>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4,062.3</w:t>
            </w:r>
          </w:p>
        </w:tc>
      </w:tr>
      <w:tr>
        <w:trPr>
          <w:trHeight w:val="270"/>
        </w:trPr>
        <w:tc>
          <w:tcPr>
            <w:tcW w:w="56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2,593.2</w:t>
            </w:r>
          </w:p>
        </w:tc>
      </w:tr>
      <w:tr>
        <w:trPr>
          <w:trHeight w:val="284"/>
        </w:trPr>
        <w:tc>
          <w:tcPr>
            <w:tcW w:w="6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71.3</w:t>
            </w:r>
          </w:p>
        </w:tc>
      </w:tr>
      <w:tr>
        <w:trPr>
          <w:trHeight w:val="271"/>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2,664.5</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1,397.8</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832.8</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intangibles and other assets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75.7</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455.7</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(162.2)</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method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6480" w:type="dxa"/>
            <w:vAlign w:val="bottom"/>
            <w:gridSpan w:val="2"/>
          </w:tcPr>
          <w:p>
            <w:pPr>
              <w:ind w:left="28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6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298.8</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125.3</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173.5</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6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304"/>
        </w:trPr>
        <w:tc>
          <w:tcPr>
            <w:tcW w:w="6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172.9</w:t>
            </w:r>
          </w:p>
        </w:tc>
      </w:tr>
      <w:tr>
        <w:trPr>
          <w:trHeight w:val="257"/>
        </w:trPr>
        <w:tc>
          <w:tcPr>
            <w:tcW w:w="560" w:type="dxa"/>
            <w:vAlign w:val="bottom"/>
            <w:shd w:val="clear" w:color="auto" w:fill="CCEEFF"/>
          </w:tcPr>
          <w:p>
            <w:pPr>
              <w:spacing w:after="0"/>
              <w:rPr>
                <w:sz w:val="22"/>
                <w:szCs w:val="22"/>
                <w:color w:val="auto"/>
              </w:rPr>
            </w:pPr>
          </w:p>
        </w:tc>
        <w:tc>
          <w:tcPr>
            <w:tcW w:w="5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1.80</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r>
      <w:tr>
        <w:trPr>
          <w:trHeight w:val="27"/>
        </w:trPr>
        <w:tc>
          <w:tcPr>
            <w:tcW w:w="56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08"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894"/>
        </w:trPr>
        <w:tc>
          <w:tcPr>
            <w:tcW w:w="560" w:type="dxa"/>
            <w:vAlign w:val="bottom"/>
            <w:tcBorders>
              <w:top w:val="single" w:sz="8" w:color="0000EE"/>
            </w:tcBorders>
          </w:tcPr>
          <w:p>
            <w:pPr>
              <w:spacing w:after="0"/>
              <w:rPr>
                <w:sz w:val="24"/>
                <w:szCs w:val="24"/>
                <w:color w:val="auto"/>
              </w:rPr>
            </w:pPr>
          </w:p>
        </w:tc>
        <w:tc>
          <w:tcPr>
            <w:tcW w:w="8480" w:type="dxa"/>
            <w:vAlign w:val="bottom"/>
            <w:gridSpan w:val="7"/>
          </w:tcPr>
          <w:p>
            <w:pPr>
              <w:jc w:val="center"/>
              <w:ind w:left="173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740" w:type="dxa"/>
            <w:vAlign w:val="bottom"/>
            <w:gridSpan w:val="8"/>
          </w:tcPr>
          <w:p>
            <w:pPr>
              <w:jc w:val="center"/>
              <w:ind w:left="1470"/>
              <w:spacing w:after="0"/>
              <w:rPr>
                <w:sz w:val="20"/>
                <w:szCs w:val="20"/>
                <w:color w:val="auto"/>
              </w:rPr>
            </w:pPr>
            <w:r>
              <w:rPr>
                <w:rFonts w:ascii="Arial" w:cs="Arial" w:eastAsia="Arial" w:hAnsi="Arial"/>
                <w:sz w:val="18"/>
                <w:szCs w:val="18"/>
                <w:b w:val="1"/>
                <w:bCs w:val="1"/>
                <w:color w:val="auto"/>
                <w:w w:val="99"/>
              </w:rPr>
              <w:t>CONDENSED CONSOLIDATED STATEMENTS OF COMPREHENSIVE EARNINGS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960" w:type="dxa"/>
            <w:vAlign w:val="bottom"/>
          </w:tcPr>
          <w:p>
            <w:pPr>
              <w:jc w:val="center"/>
              <w:ind w:left="4270"/>
              <w:spacing w:after="0"/>
              <w:rPr>
                <w:sz w:val="20"/>
                <w:szCs w:val="20"/>
                <w:color w:val="auto"/>
              </w:rPr>
            </w:pPr>
            <w:r>
              <w:rPr>
                <w:rFonts w:ascii="Arial" w:cs="Arial" w:eastAsia="Arial" w:hAnsi="Arial"/>
                <w:sz w:val="18"/>
                <w:szCs w:val="18"/>
                <w:b w:val="1"/>
                <w:bCs w:val="1"/>
                <w:color w:val="auto"/>
                <w:w w:val="91"/>
              </w:rPr>
              <w:t>(in millions)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5960" w:type="dxa"/>
            <w:vAlign w:val="bottom"/>
          </w:tcPr>
          <w:p>
            <w:pPr>
              <w:jc w:val="center"/>
              <w:ind w:left="425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94"/>
        </w:trPr>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6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w w:val="94"/>
              </w:rPr>
              <w:t>June 30,</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r>
      <w:tr>
        <w:trPr>
          <w:trHeight w:val="34"/>
        </w:trPr>
        <w:tc>
          <w:tcPr>
            <w:tcW w:w="5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2015</w:t>
            </w:r>
          </w:p>
        </w:tc>
      </w:tr>
      <w:tr>
        <w:trPr>
          <w:trHeight w:val="34"/>
        </w:trPr>
        <w:tc>
          <w:tcPr>
            <w:tcW w:w="56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w:t>
            </w:r>
          </w:p>
        </w:tc>
      </w:tr>
      <w:tr>
        <w:trPr>
          <w:trHeight w:val="27"/>
        </w:trPr>
        <w:tc>
          <w:tcPr>
            <w:tcW w:w="5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plan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84"/>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Investment adjustments</w:t>
            </w:r>
          </w:p>
        </w:tc>
        <w:tc>
          <w:tcPr>
            <w:tcW w:w="26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4"/>
        </w:trPr>
        <w:tc>
          <w:tcPr>
            <w:tcW w:w="652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84"/>
        </w:trPr>
        <w:tc>
          <w:tcPr>
            <w:tcW w:w="6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Provision for income tax related to items of other comprehensive earnings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71"/>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 net of tax</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Comprehensive earnings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77.5</w:t>
            </w:r>
          </w:p>
        </w:tc>
      </w:tr>
      <w:tr>
        <w:trPr>
          <w:trHeight w:val="27"/>
        </w:trPr>
        <w:tc>
          <w:tcPr>
            <w:tcW w:w="5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7"/>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64"/>
        </w:trPr>
        <w:tc>
          <w:tcPr>
            <w:tcW w:w="6520" w:type="dxa"/>
            <w:vAlign w:val="bottom"/>
            <w:gridSpan w:val="2"/>
          </w:tcPr>
          <w:p>
            <w:pPr>
              <w:ind w:left="40"/>
              <w:spacing w:after="0"/>
              <w:rPr>
                <w:sz w:val="20"/>
                <w:szCs w:val="20"/>
                <w:color w:val="auto"/>
              </w:rPr>
            </w:pPr>
            <w:r>
              <w:rPr>
                <w:rFonts w:ascii="Arial" w:cs="Arial" w:eastAsia="Arial" w:hAnsi="Arial"/>
                <w:sz w:val="18"/>
                <w:szCs w:val="18"/>
                <w:color w:val="auto"/>
                <w:w w:val="96"/>
              </w:rPr>
              <w:t>Comprehensive earnings attributable to Laboratory Corporation of America Holdings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r>
      <w:tr>
        <w:trPr>
          <w:trHeight w:val="20"/>
        </w:trPr>
        <w:tc>
          <w:tcPr>
            <w:tcW w:w="5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Accumulated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Additional</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Other</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5"/>
              </w:rPr>
              <w:t>Total</w:t>
            </w:r>
          </w:p>
        </w:tc>
      </w:tr>
      <w:tr>
        <w:trPr>
          <w:trHeight w:val="203"/>
        </w:trPr>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Common</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Paid-in</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Retained</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Treasury</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Comprehensive</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1"/>
              </w:rPr>
              <w:t>Shareholders’</w:t>
            </w:r>
          </w:p>
        </w:tc>
      </w:tr>
      <w:tr>
        <w:trPr>
          <w:trHeight w:val="206"/>
        </w:trPr>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Stock</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Stock</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Loss</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4"/>
              </w:rPr>
              <w:t>Equity</w:t>
            </w:r>
          </w:p>
        </w:tc>
      </w:tr>
      <w:tr>
        <w:trPr>
          <w:trHeight w:val="40"/>
        </w:trPr>
        <w:tc>
          <w:tcPr>
            <w:tcW w:w="4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19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7"/>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2,820.5</w:t>
            </w:r>
          </w:p>
        </w:tc>
      </w:tr>
      <w:tr>
        <w:trPr>
          <w:trHeight w:val="229"/>
        </w:trPr>
        <w:tc>
          <w:tcPr>
            <w:tcW w:w="4220" w:type="dxa"/>
            <w:vAlign w:val="bottom"/>
            <w:gridSpan w:val="3"/>
          </w:tcPr>
          <w:p>
            <w:pPr>
              <w:ind w:left="40"/>
              <w:spacing w:after="0"/>
              <w:rPr>
                <w:sz w:val="20"/>
                <w:szCs w:val="20"/>
                <w:color w:val="auto"/>
              </w:rPr>
            </w:pPr>
            <w:r>
              <w:rPr>
                <w:rFonts w:ascii="Arial" w:cs="Arial" w:eastAsia="Arial" w:hAnsi="Arial"/>
                <w:sz w:val="18"/>
                <w:szCs w:val="18"/>
                <w:color w:val="auto"/>
                <w:w w:val="97"/>
              </w:rPr>
              <w:t>Net earnings attributable to Laboratory Corporation of</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America Holdings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172.9</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43"/>
        </w:trPr>
        <w:tc>
          <w:tcPr>
            <w:tcW w:w="4220" w:type="dxa"/>
            <w:vAlign w:val="bottom"/>
            <w:gridSpan w:val="3"/>
          </w:tcPr>
          <w:p>
            <w:pPr>
              <w:ind w:left="40"/>
              <w:spacing w:after="0"/>
              <w:rPr>
                <w:sz w:val="20"/>
                <w:szCs w:val="20"/>
                <w:color w:val="auto"/>
              </w:rPr>
            </w:pPr>
            <w:r>
              <w:rPr>
                <w:rFonts w:ascii="Arial" w:cs="Arial" w:eastAsia="Arial" w:hAnsi="Arial"/>
                <w:sz w:val="18"/>
                <w:szCs w:val="18"/>
                <w:color w:val="auto"/>
                <w:w w:val="94"/>
              </w:rPr>
              <w:t>Issuance of common stock for acquisition consideration</w:t>
            </w:r>
          </w:p>
        </w:tc>
        <w:tc>
          <w:tcPr>
            <w:tcW w:w="14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1,761.0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1,762.5</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 stock plans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r>
      <w:tr>
        <w:trPr>
          <w:trHeight w:val="229"/>
        </w:trPr>
        <w:tc>
          <w:tcPr>
            <w:tcW w:w="4220" w:type="dxa"/>
            <w:vAlign w:val="bottom"/>
            <w:gridSpan w:val="3"/>
          </w:tcPr>
          <w:p>
            <w:pPr>
              <w:ind w:left="40"/>
              <w:spacing w:after="0"/>
              <w:rPr>
                <w:sz w:val="20"/>
                <w:szCs w:val="20"/>
                <w:color w:val="auto"/>
              </w:rPr>
            </w:pPr>
            <w:r>
              <w:rPr>
                <w:rFonts w:ascii="Arial" w:cs="Arial" w:eastAsia="Arial" w:hAnsi="Arial"/>
                <w:sz w:val="18"/>
                <w:szCs w:val="18"/>
                <w:color w:val="auto"/>
                <w:w w:val="99"/>
              </w:rPr>
              <w:t>Surrender of restricted stock and performance share</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r>
      <w:tr>
        <w:trPr>
          <w:trHeight w:val="270"/>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Income tax benefit from stock options exercised</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44"/>
        </w:trPr>
        <w:tc>
          <w:tcPr>
            <w:tcW w:w="42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4,766.2</w:t>
            </w: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4,864.0</w:t>
            </w:r>
          </w:p>
        </w:tc>
      </w:tr>
      <w:tr>
        <w:trPr>
          <w:trHeight w:val="229"/>
        </w:trPr>
        <w:tc>
          <w:tcPr>
            <w:tcW w:w="4220" w:type="dxa"/>
            <w:vAlign w:val="bottom"/>
            <w:gridSpan w:val="3"/>
          </w:tcPr>
          <w:p>
            <w:pPr>
              <w:ind w:left="40"/>
              <w:spacing w:after="0"/>
              <w:rPr>
                <w:sz w:val="20"/>
                <w:szCs w:val="20"/>
                <w:color w:val="auto"/>
              </w:rPr>
            </w:pPr>
            <w:r>
              <w:rPr>
                <w:rFonts w:ascii="Arial" w:cs="Arial" w:eastAsia="Arial" w:hAnsi="Arial"/>
                <w:sz w:val="18"/>
                <w:szCs w:val="18"/>
                <w:color w:val="auto"/>
                <w:w w:val="97"/>
              </w:rPr>
              <w:t>Net earnings attributable to Laboratory Corporation of</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America Holdings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358.4</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43"/>
        </w:trPr>
        <w:tc>
          <w:tcPr>
            <w:tcW w:w="4220" w:type="dxa"/>
            <w:vAlign w:val="bottom"/>
            <w:gridSpan w:val="3"/>
          </w:tcPr>
          <w:p>
            <w:pPr>
              <w:ind w:left="40"/>
              <w:spacing w:after="0"/>
              <w:rPr>
                <w:sz w:val="20"/>
                <w:szCs w:val="20"/>
                <w:color w:val="auto"/>
              </w:rPr>
            </w:pPr>
            <w:r>
              <w:rPr>
                <w:rFonts w:ascii="Arial" w:cs="Arial" w:eastAsia="Arial" w:hAnsi="Arial"/>
                <w:sz w:val="18"/>
                <w:szCs w:val="18"/>
                <w:color w:val="auto"/>
                <w:w w:val="94"/>
              </w:rPr>
              <w:t>Issuance of common stock under employee stock plans</w:t>
            </w:r>
          </w:p>
        </w:tc>
        <w:tc>
          <w:tcPr>
            <w:tcW w:w="14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40.7</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Surrender of restricted stock and performance share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awards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43"/>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Conversion of zero-coupon convertible debt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r>
      <w:tr>
        <w:trPr>
          <w:trHeight w:val="270"/>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Income tax benefit from stock options exercised</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10.5</w:t>
            </w: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BALANCE AT JUNE 30, 2016</w:t>
            </w:r>
          </w:p>
        </w:tc>
        <w:tc>
          <w:tcPr>
            <w:tcW w:w="19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77"/>
        </w:trPr>
        <w:tc>
          <w:tcPr>
            <w:tcW w:w="560" w:type="dxa"/>
            <w:vAlign w:val="bottom"/>
            <w:tcBorders>
              <w:top w:val="single" w:sz="8" w:color="0000EE"/>
            </w:tcBorders>
          </w:tcPr>
          <w:p>
            <w:pPr>
              <w:spacing w:after="0"/>
              <w:rPr>
                <w:sz w:val="24"/>
                <w:szCs w:val="24"/>
                <w:color w:val="auto"/>
              </w:rPr>
            </w:pPr>
          </w:p>
        </w:tc>
        <w:tc>
          <w:tcPr>
            <w:tcW w:w="9500" w:type="dxa"/>
            <w:vAlign w:val="bottom"/>
            <w:gridSpan w:val="4"/>
          </w:tcPr>
          <w:p>
            <w:pPr>
              <w:jc w:val="center"/>
              <w:ind w:left="71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802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5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34"/>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34"/>
        </w:trPr>
        <w:tc>
          <w:tcPr>
            <w:tcW w:w="5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219.9</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Gain on sale of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interest on zero-coupon subordinated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Cumulative earnings less than (in excess of) distributions from equity method investments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assets and liabilities (net of effects of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Increase in accounts receivable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unbilled services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Decrease in supplies inventories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 prepaid expenses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Decrease in accounts payable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unearned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84"/>
        </w:trPr>
        <w:tc>
          <w:tcPr>
            <w:tcW w:w="85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Decrease in accrued expenses and other</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309.8</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Investments in equity affiliates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(3,684.4)</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(3,783.6)</w:t>
            </w: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senior note offerings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2,900.0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term loan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term loan</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revolving credit facilities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revolving credit facilities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bridge loan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bridge loan</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zero-coupon subordinated notes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Noncontrolling interest distributions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acquisition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long-term lease obligations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benefits from stock 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proceeds from issuance of stock to employees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r>
      <w:tr>
        <w:trPr>
          <w:trHeight w:val="27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for) provided by 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3,510.9</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580.0</w:t>
            </w: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619.0</w:t>
            </w:r>
          </w:p>
        </w:tc>
      </w:tr>
      <w:tr>
        <w:trPr>
          <w:trHeight w:val="20"/>
        </w:trPr>
        <w:tc>
          <w:tcPr>
            <w:tcW w:w="5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08" w:right="239" w:bottom="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57"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FINANCIAL STATEMENT PRESENTATION</w:t>
      </w:r>
    </w:p>
    <w:p>
      <w:pPr>
        <w:spacing w:after="0" w:line="135"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Laboratory Corporation of America Holdings together with its subsidiaries (Company) is the world’s leading healthcare diagnostics company, providing comprehensive clinical laboratory services and end-to-end drug development support. The Company’s strategic vision is to improve health and improve lives by delivering world class diagnostic solutions, bringing innovative medicines to patients faster, and changing the way care is provided through the deployment of technology-enabled solutions. The Company serves managed care organizations (MCOs), biopharmaceutical companies, governmental agencies, physicians, hospitals and health systems, employers, patients and consumers, food and nutritional companies and independent clinical laboratories. The Company believes that it generated more revenue from laboratory testing than any other company in the world in 2015.</w:t>
      </w:r>
    </w:p>
    <w:p>
      <w:pPr>
        <w:spacing w:after="0" w:line="7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reports its business in two segments, LabCorp Diagnostics (LCD) and Covance Drug Development (CDD). For further financial information about these segments, see Note 14 (Business Segment Information). During the three months ended June 30, 2016, LCD and CDD contributed 69.7% and 30.3%, respectively, of net revenues to the Company. During the six months ended June 30, 2016, LCD and CDD contributed 69.5% and 30.5%, respectively, of net revenues to the Company.</w:t>
      </w:r>
    </w:p>
    <w:p>
      <w:pPr>
        <w:spacing w:after="0" w:line="9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condensed consolidated financial statements.</w:t>
      </w:r>
    </w:p>
    <w:p>
      <w:pPr>
        <w:spacing w:after="0" w:line="9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w:t>
      </w:r>
    </w:p>
    <w:p>
      <w:pPr>
        <w:spacing w:after="0" w:line="8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 (GAAP).</w:t>
      </w:r>
    </w:p>
    <w:p>
      <w:pPr>
        <w:spacing w:after="0" w:line="60"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condensed consolidated financial statements and notes are presented in accordance with the rules and regulations of the Securities and Exchange Commission and do not contain certain information included in the Company’s 2015 Annual Report on Form 10-K, as amended. Therefore, the interim statements should be read in conjunction with the consolidated financial statements and notes thereto contained in the Company’s Annual Report.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Financial Accounting Standards Board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GAAP.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 The Company is currently evaluating the expected impact of the standard.</w:t>
      </w:r>
    </w:p>
    <w:p>
      <w:pPr>
        <w:spacing w:after="0" w:line="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21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2015, the FASB issued a new accounting standard that requires deferred tax liabilities and assets to be classified as noncurrent on the consolidated balance sheet. The Company early adopted this standard on a full-retrospective basis as of March 31, 2016. The adoption of this standard did not have a material impact on the consolidated financial statements.</w:t>
      </w:r>
    </w:p>
    <w:p>
      <w:pPr>
        <w:spacing w:after="0" w:line="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 from the first entity or to exchange other financial instruments on potentially favorable terms with the first entity. The standard will be effective for the Company beginning January 1, 2018, with early adoption permitted. The Company is evaluating the impact that this new standard will have on the consolidated financial statements.</w:t>
      </w:r>
    </w:p>
    <w:p>
      <w:pPr>
        <w:spacing w:after="0" w:line="21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February 2016, the FASB issued a new accounting standard that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based on guidance similar to current guidance for operating leases. The new standard requires lessors to account for leases using an approach that is substantially equivalent to existing guidance for sales-type leases, direct financing leases and operating leases. The standard is effective on January 1, 2019, with early adoption permitted. The Company is evaluating the impact that this new standard will have on the consolidated financial statements.</w:t>
      </w:r>
    </w:p>
    <w:p>
      <w:pPr>
        <w:spacing w:after="0" w:line="20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March 2016, the FASB issued a new accounting standard intended to simplify aspects of share-based payment accounting. The standard changes how companies account for certain aspects of share-based payment awards to employees, including the accounting for income taxes, forfeitures, and statutory tax withholding requirements, as well as the classification of related matters in the statement of cash flows. The update is effective on January 1, 2017, with early adoption permitted. The Company is currently evaluating this new standard and the impact it will have on the consolidated financial statements.</w:t>
      </w:r>
    </w:p>
    <w:p>
      <w:pPr>
        <w:spacing w:after="0" w:line="18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March 2016, the FASB issued a new accounting standard intended to simplify aspects of the equity method of accounting. The standard eliminates the requirement that when an investment qualifies for use of the equity method of accounting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standard requires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update is effective on January 1, 2017, with early adoption permitted. The adoption of this standard is not expected to have a material impact on the consolidated financial statements.</w:t>
      </w:r>
    </w:p>
    <w:p>
      <w:pPr>
        <w:spacing w:after="0" w:line="20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2016, the FASB issued a new accounting standard intended to provide financial statement users with more decision-useful information about expected credit losses and other commitments to extend credit held by the reporting entity. The standard replaces the incurred loss impairment methodology in current GAAP with one that reflects expected credit losses and requires consideration of a broader range of reasonable and supportable information to inform credit loss estimates. The update is effective on January 1, 2020, with early adoption permitted. The Company is currently evaluating this new standard and the impact it will have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Company has reclassified debt issuance costs from prepaid expenses and other assets, net to direct deductions from the associated debt liability in the December 31, 2015 consolidated balance sheet in accordance with the implementation of a FASB standard update that the company adopted as of January 1, 2016.</w:t>
      </w:r>
    </w:p>
    <w:p>
      <w:pPr>
        <w:spacing w:after="0" w:line="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the Company has reclassified short-term deferred tax assets and short-term deferred tax liabilities to net long-term deferred tax assets and net long-term deferred tax liabilities by jurisdiction, respectively, in the December 31, 2015 consolidated balance sheet in accordance with the implementation of a FASB standard update that the Company adopted as of January 1, 2016.</w:t>
      </w:r>
    </w:p>
    <w:p>
      <w:pPr>
        <w:spacing w:after="0" w:line="17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six months ended June 30, 2016, the Company acquired various laboratories and related assets for approximately $144.1 in cash (net of cash acquired). The purchase consideration for these acquisitions has been allocated to the estimated fair market value of the net assets acquired, including approximately $58.3 in identifiable intangible assets (primarily customer relationships and non-compete agreements) and a residual amount of goodwill of approximately $87.2. These acquisitions were made primarily to extend the Company's geographic reach in important market areas and/or enhance the Company's scientific differentiation and testing capabilities.</w:t>
      </w:r>
    </w:p>
    <w:p>
      <w:pPr>
        <w:spacing w:after="0" w:line="21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 xml:space="preserve">The Company completed the acquisition of Covance Inc. (Acquisition) for $6,150.7 on February 19, 2015 (Acquisition Date). The Company finalized its purchase price allocation during the measurement period. The facts and circumstances that existed at the date of the Acquisition, if known, would have affected the measurement of the amounts recognized at that date.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measurement period adjustments are not included in current earnings, but recognized as of the date of the acquisition with a corresponding adjustment to goodwill resulting from the change in preliminary amounts. As a result, the Company adjusted the preliminary allocation of the purchase price initially recorded at the Acquisition Date to reflect these measurement period adjustments. The Company recorded certain measurement period adjustments and certain classifications of expenses, including items associated with the allocation of stock compensation, from cost of revenue to selling, general and administrative expenses and depreciation expense, from selling, general and administrative expenses to cost of revenue. As a result of these measurement period adjustments, amortization and the provision for income taxes for the three months ended June 30, 2015 decreased $2.1 and increased $0.6, respectively. Amortization and the provision for income taxes for the six months ended June 30, 2015 decreased $3.3 and increased $0.1, respectively. In addition, accumulated comprehensive income as of December 31, 2015 increased by $102.7 (of which $(115.6) and $6.6 related to the three and six months ended June 30, 2015) due to the cumulative translation adjustment relating to the allocation of the intangible assets associated with the Acquisition.</w:t>
      </w:r>
    </w:p>
    <w:p>
      <w:pPr>
        <w:spacing w:after="0" w:line="19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July 27, 2016, the Company entered into a definitive agreement to acquire all of the outstanding shares of Sequenom, Inc., a market leader in non-invasive prenatal testing and reproductive health, in a cash tender offer for $2.40 per share, or an equity value of $302.0. The transaction will be subject to review under the Hart-Scott-Rodino Antitrust Improvements Act of 1976, as amended, and is expected to close sometime during the fourth quarter of 2016.</w:t>
      </w:r>
    </w:p>
    <w:p>
      <w:pPr>
        <w:spacing w:after="0" w:line="14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3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performance share awards, and shares issuable upon conversion of zero-coupon subordinated notes.</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w w:val="88"/>
              </w:rPr>
              <w:t>Three Months Ended June 30,</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w w:val="88"/>
              </w:rPr>
              <w:t>Six Months Ended June 30,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82"/>
              </w:rPr>
              <w:t>Per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82"/>
              </w:rPr>
              <w:t>Per</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82"/>
              </w:rPr>
              <w:t>Per</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2"/>
              <w:spacing w:after="0"/>
              <w:rPr>
                <w:sz w:val="20"/>
                <w:szCs w:val="20"/>
                <w:color w:val="auto"/>
              </w:rPr>
            </w:pPr>
            <w:r>
              <w:rPr>
                <w:rFonts w:ascii="Arial" w:cs="Arial" w:eastAsia="Arial" w:hAnsi="Arial"/>
                <w:sz w:val="14"/>
                <w:szCs w:val="14"/>
                <w:color w:val="auto"/>
                <w:w w:val="82"/>
              </w:rPr>
              <w:t>Per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0"/>
              </w:rPr>
              <w:t>Share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0"/>
              </w:rPr>
              <w:t>Share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0"/>
              </w:rPr>
              <w:t>Share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0"/>
              </w:rPr>
              <w:t>Share</w:t>
            </w:r>
          </w:p>
        </w:tc>
        <w:tc>
          <w:tcPr>
            <w:tcW w:w="0" w:type="dxa"/>
            <w:vAlign w:val="bottom"/>
          </w:tcPr>
          <w:p>
            <w:pPr>
              <w:spacing w:after="0"/>
              <w:rPr>
                <w:sz w:val="1"/>
                <w:szCs w:val="1"/>
                <w:color w:val="auto"/>
              </w:rPr>
            </w:pPr>
          </w:p>
        </w:tc>
      </w:tr>
      <w:tr>
        <w:trPr>
          <w:trHeight w:val="200"/>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Earnings</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780" w:type="dxa"/>
            <w:vAlign w:val="bottom"/>
            <w:gridSpan w:val="3"/>
          </w:tcPr>
          <w:p>
            <w:pPr>
              <w:ind w:left="100"/>
              <w:spacing w:after="0"/>
              <w:rPr>
                <w:sz w:val="20"/>
                <w:szCs w:val="20"/>
                <w:color w:val="auto"/>
              </w:rPr>
            </w:pPr>
            <w:r>
              <w:rPr>
                <w:rFonts w:ascii="Arial" w:cs="Arial" w:eastAsia="Arial" w:hAnsi="Arial"/>
                <w:sz w:val="14"/>
                <w:szCs w:val="14"/>
                <w:color w:val="auto"/>
              </w:rPr>
              <w:t>Earnings</w:t>
            </w: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Amount</w:t>
            </w:r>
          </w:p>
        </w:tc>
        <w:tc>
          <w:tcPr>
            <w:tcW w:w="780" w:type="dxa"/>
            <w:vAlign w:val="bottom"/>
            <w:gridSpan w:val="3"/>
          </w:tcPr>
          <w:p>
            <w:pPr>
              <w:ind w:left="10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660" w:type="dxa"/>
            <w:vAlign w:val="bottom"/>
          </w:tcPr>
          <w:p>
            <w:pPr>
              <w:jc w:val="center"/>
              <w:ind w:right="72"/>
              <w:spacing w:after="0"/>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6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198.2</w:t>
            </w:r>
          </w:p>
        </w:tc>
        <w:tc>
          <w:tcPr>
            <w:tcW w:w="12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169.8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w w:val="96"/>
              </w:rPr>
              <w:t>100.7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2"/>
                <w:szCs w:val="22"/>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358.4</w:t>
            </w: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22"/>
                <w:szCs w:val="22"/>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172.9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color w:val="auto"/>
              </w:rPr>
              <w:t>96.3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72"/>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employee stock options and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Effect of convertible debt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960" w:type="dxa"/>
            <w:vAlign w:val="bottom"/>
          </w:tcPr>
          <w:p>
            <w:pPr>
              <w:ind w:left="180"/>
              <w:spacing w:after="0"/>
              <w:rPr>
                <w:sz w:val="20"/>
                <w:szCs w:val="20"/>
                <w:color w:val="auto"/>
              </w:rPr>
            </w:pPr>
            <w:r>
              <w:rPr>
                <w:rFonts w:ascii="Arial" w:cs="Arial" w:eastAsia="Arial" w:hAnsi="Arial"/>
                <w:sz w:val="14"/>
                <w:szCs w:val="14"/>
                <w:color w:val="auto"/>
                <w:w w:val="95"/>
              </w:rPr>
              <w:t>Net earnings including impact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color w:val="auto"/>
              </w:rPr>
              <w:t>198.2</w:t>
            </w:r>
          </w:p>
        </w:tc>
        <w:tc>
          <w:tcPr>
            <w:tcW w:w="120" w:type="dxa"/>
            <w:vAlign w:val="bottom"/>
          </w:tcPr>
          <w:p>
            <w:pPr>
              <w:spacing w:after="0"/>
              <w:rPr>
                <w:sz w:val="14"/>
                <w:szCs w:val="14"/>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color w:val="auto"/>
              </w:rPr>
              <w:t>103.9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color w:val="auto"/>
              </w:rPr>
              <w:t>169.8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52"/>
              <w:spacing w:after="0"/>
              <w:rPr>
                <w:sz w:val="20"/>
                <w:szCs w:val="20"/>
                <w:color w:val="auto"/>
              </w:rPr>
            </w:pPr>
            <w:r>
              <w:rPr>
                <w:rFonts w:ascii="Arial" w:cs="Arial" w:eastAsia="Arial" w:hAnsi="Arial"/>
                <w:sz w:val="14"/>
                <w:szCs w:val="14"/>
                <w:color w:val="auto"/>
                <w:w w:val="96"/>
              </w:rPr>
              <w:t>102.5</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4"/>
                <w:szCs w:val="14"/>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color w:val="auto"/>
              </w:rPr>
              <w:t>358.4</w:t>
            </w:r>
          </w:p>
        </w:tc>
        <w:tc>
          <w:tcPr>
            <w:tcW w:w="120" w:type="dxa"/>
            <w:vAlign w:val="bottom"/>
          </w:tcPr>
          <w:p>
            <w:pPr>
              <w:spacing w:after="0"/>
              <w:rPr>
                <w:sz w:val="14"/>
                <w:szCs w:val="14"/>
                <w:color w:val="auto"/>
              </w:rPr>
            </w:pPr>
          </w:p>
        </w:tc>
        <w:tc>
          <w:tcPr>
            <w:tcW w:w="540" w:type="dxa"/>
            <w:vAlign w:val="bottom"/>
            <w:vMerge w:val="restart"/>
          </w:tcPr>
          <w:p>
            <w:pPr>
              <w:jc w:val="right"/>
              <w:ind w:right="32"/>
              <w:spacing w:after="0"/>
              <w:rPr>
                <w:sz w:val="20"/>
                <w:szCs w:val="20"/>
                <w:color w:val="auto"/>
              </w:rPr>
            </w:pPr>
            <w:r>
              <w:rPr>
                <w:rFonts w:ascii="Arial" w:cs="Arial" w:eastAsia="Arial" w:hAnsi="Arial"/>
                <w:sz w:val="14"/>
                <w:szCs w:val="14"/>
                <w:color w:val="auto"/>
                <w:w w:val="89"/>
              </w:rPr>
              <w:t>$ 103.7</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4"/>
                <w:szCs w:val="14"/>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color w:val="auto"/>
              </w:rPr>
              <w:t>172.9</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vMerge w:val="restart"/>
          </w:tcPr>
          <w:p>
            <w:pPr>
              <w:jc w:val="right"/>
              <w:ind w:right="32"/>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78"/>
        </w:trPr>
        <w:tc>
          <w:tcPr>
            <w:tcW w:w="1960" w:type="dxa"/>
            <w:vAlign w:val="bottom"/>
          </w:tcPr>
          <w:p>
            <w:pPr>
              <w:ind w:left="180"/>
              <w:spacing w:after="0"/>
              <w:rPr>
                <w:sz w:val="20"/>
                <w:szCs w:val="20"/>
                <w:color w:val="auto"/>
              </w:rPr>
            </w:pPr>
            <w:r>
              <w:rPr>
                <w:rFonts w:ascii="Arial" w:cs="Arial" w:eastAsia="Arial" w:hAnsi="Arial"/>
                <w:sz w:val="14"/>
                <w:szCs w:val="14"/>
                <w:color w:val="auto"/>
              </w:rPr>
              <w:t>of dilutive adjustments</w:t>
            </w:r>
          </w:p>
        </w:tc>
        <w:tc>
          <w:tcPr>
            <w:tcW w:w="1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2420" w:type="dxa"/>
            <w:vAlign w:val="bottom"/>
            <w:gridSpan w:val="5"/>
          </w:tcPr>
          <w:p>
            <w:pPr>
              <w:ind w:left="100"/>
              <w:spacing w:after="0"/>
              <w:rPr>
                <w:sz w:val="20"/>
                <w:szCs w:val="20"/>
                <w:color w:val="auto"/>
              </w:rPr>
            </w:pPr>
            <w:r>
              <w:rPr>
                <w:rFonts w:ascii="Arial" w:cs="Arial" w:eastAsia="Arial" w:hAnsi="Arial"/>
                <w:sz w:val="18"/>
                <w:szCs w:val="18"/>
                <w:color w:val="auto"/>
                <w:w w:val="94"/>
              </w:rPr>
              <w:t>Three Months Ended June 30,</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w w:val="93"/>
              </w:rPr>
              <w:t>Six Months Ended June 30,</w:t>
            </w:r>
          </w:p>
        </w:tc>
      </w:tr>
      <w:tr>
        <w:trPr>
          <w:trHeight w:val="34"/>
        </w:trPr>
        <w:tc>
          <w:tcPr>
            <w:tcW w:w="6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58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2015</w:t>
            </w:r>
          </w:p>
        </w:tc>
      </w:tr>
      <w:tr>
        <w:trPr>
          <w:trHeight w:val="34"/>
        </w:trPr>
        <w:tc>
          <w:tcPr>
            <w:tcW w:w="68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580" w:type="dxa"/>
            <w:vAlign w:val="bottom"/>
            <w:gridSpan w:val="2"/>
            <w:shd w:val="clear" w:color="auto" w:fill="CCEEFF"/>
          </w:tcPr>
          <w:p>
            <w:pPr>
              <w:jc w:val="right"/>
              <w:ind w:right="6470"/>
              <w:spacing w:after="0"/>
              <w:rPr>
                <w:sz w:val="20"/>
                <w:szCs w:val="20"/>
                <w:color w:val="auto"/>
              </w:rPr>
            </w:pPr>
            <w:r>
              <w:rPr>
                <w:rFonts w:ascii="Arial" w:cs="Arial" w:eastAsia="Arial" w:hAnsi="Arial"/>
                <w:sz w:val="18"/>
                <w:szCs w:val="18"/>
                <w:color w:val="auto"/>
                <w:w w:val="92"/>
              </w:rPr>
              <w:t>Stock options</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8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SPECIAL CHARGES</w:t>
      </w:r>
    </w:p>
    <w:p>
      <w:pPr>
        <w:spacing w:after="0" w:line="135"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During the first six months of 2016, the Company recorded net restructuring and other special charges of $25.8; $2.8 within LCD and $23.0 within CDD. The charges were comprised of $9.0 related to severance and other personnel costs along with $21.6 in costs associated with facility closures. A substantial portion of these costs relate to the planned closure of duplicative data center operations and other facilities. The Company reversed previously established reserves of $2.6 in unused severance reserves primarily as the result of selling one of CDD's minimum volume service contract facilities to a third party and $2.2 for costs related to unused facilities. The Company incurred additional legal and other costs of $2.7 relating to the wind down of its minimum volume service contract operations. The Company also recorded $5.7 in consulting expenses relating to fees incurred as part of its Acquisition integration costs and compensation analysis, along with $1.7 in short-term equity retention arrangements relating to the Acquisition and $4.5 of accelerated equity compensation relating to the announced retirement of a Company executive (all recorded in selling, general and administrative expenses). In addition, the Company incurred $3.4 of non-capitalized costs associated with the implementation of a major system as part of its LaunchPad business process improvement initiative. In conjunction with certain international legal entity tax structuring, the Company recorded a one-time tax liability of $1.1.</w:t>
      </w:r>
    </w:p>
    <w:p>
      <w:pPr>
        <w:spacing w:after="0" w:line="196"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During the first six months of 2015, the Company recorded net restructuring and other special charges of $33.6. The charges were comprised of $9.5 related to severance and other personnel costs along with $24.7 in costs associated with facility closures and general integration initiatives. These charges were partially offset by the reversal of previously established reserves of $0.6 in unused facility-related costs.</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addition, during the six months ended June 30, 2015, the Company recorded $11.9 in consulting expenses (recorded in selling, general and administrative expenses) relating to fees incurred as part of LaunchPad. The Company also recorded $166.0 of deal costs related to the Acquisition, of which $113.4 is included in selling and $52.6 is included in interest expense.</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Company’s restructuring reserve activities for the period indicated: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LCD</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CDD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7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w w:val="89"/>
              </w:rPr>
              <w:t>Severance and Other</w:t>
            </w:r>
          </w:p>
        </w:tc>
        <w:tc>
          <w:tcPr>
            <w:tcW w:w="20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Lease and Other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2"/>
              </w:rPr>
              <w:t>Severance and Other</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Lease and Other</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w w:val="93"/>
              </w:rPr>
              <w:t>Employee Costs</w:t>
            </w:r>
          </w:p>
        </w:tc>
        <w:tc>
          <w:tcPr>
            <w:tcW w:w="20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Facility Costs</w:t>
            </w:r>
          </w:p>
        </w:tc>
        <w:tc>
          <w:tcPr>
            <w:tcW w:w="18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4"/>
              </w:rPr>
              <w:t>Employee Costs</w:t>
            </w:r>
          </w:p>
        </w:tc>
        <w:tc>
          <w:tcPr>
            <w:tcW w:w="16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Facility Costs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restructuring accruals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43"/>
        </w:trPr>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80.4</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changes in the carrying amount of goodwill for the six-month period ended June 30, 2016 and for the year ended December 31, 2015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60" w:type="dxa"/>
            <w:vAlign w:val="bottom"/>
            <w:gridSpan w:val="5"/>
          </w:tcPr>
          <w:p>
            <w:pPr>
              <w:ind w:left="60"/>
              <w:spacing w:after="0"/>
              <w:rPr>
                <w:sz w:val="20"/>
                <w:szCs w:val="20"/>
                <w:color w:val="auto"/>
              </w:rPr>
            </w:pPr>
            <w:r>
              <w:rPr>
                <w:rFonts w:ascii="Arial" w:cs="Arial" w:eastAsia="Arial" w:hAnsi="Arial"/>
                <w:sz w:val="18"/>
                <w:szCs w:val="18"/>
                <w:color w:val="auto"/>
              </w:rPr>
              <w:t>LCD</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20" w:type="dxa"/>
            <w:vAlign w:val="bottom"/>
            <w:gridSpan w:val="5"/>
          </w:tcPr>
          <w:p>
            <w:pPr>
              <w:jc w:val="center"/>
              <w:ind w:right="1200"/>
              <w:spacing w:after="0"/>
              <w:rPr>
                <w:sz w:val="20"/>
                <w:szCs w:val="20"/>
                <w:color w:val="auto"/>
              </w:rPr>
            </w:pPr>
            <w:r>
              <w:rPr>
                <w:rFonts w:ascii="Arial" w:cs="Arial" w:eastAsia="Arial" w:hAnsi="Arial"/>
                <w:sz w:val="18"/>
                <w:szCs w:val="18"/>
                <w:color w:val="auto"/>
                <w:w w:val="97"/>
              </w:rPr>
              <w:t>CDD</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4"/>
          </w:tcPr>
          <w:p>
            <w:pPr>
              <w:jc w:val="center"/>
              <w:ind w:right="990"/>
              <w:spacing w:after="0"/>
              <w:rPr>
                <w:sz w:val="20"/>
                <w:szCs w:val="20"/>
                <w:color w:val="auto"/>
              </w:rPr>
            </w:pPr>
            <w:r>
              <w:rPr>
                <w:rFonts w:ascii="Arial" w:cs="Arial" w:eastAsia="Arial" w:hAnsi="Arial"/>
                <w:sz w:val="18"/>
                <w:szCs w:val="18"/>
                <w:color w:val="auto"/>
                <w:w w:val="94"/>
              </w:rPr>
              <w:t>Total</w:t>
            </w:r>
          </w:p>
        </w:tc>
      </w:tr>
      <w:tr>
        <w:trPr>
          <w:trHeight w:val="34"/>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w w:val="95"/>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2"/>
              </w:rPr>
              <w:t>June 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2"/>
              </w:rPr>
              <w:t>June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r>
      <w:tr>
        <w:trPr>
          <w:trHeight w:val="230"/>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2015</w:t>
            </w:r>
          </w:p>
        </w:tc>
      </w:tr>
      <w:tr>
        <w:trPr>
          <w:trHeight w:val="34"/>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3,201.7</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2,990.2</w:t>
            </w:r>
          </w:p>
        </w:tc>
        <w:tc>
          <w:tcPr>
            <w:tcW w:w="28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6,191.9</w:t>
            </w:r>
          </w:p>
        </w:tc>
        <w:tc>
          <w:tcPr>
            <w:tcW w:w="28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Goodwill acquired during the period</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3,194.6</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goodwill</w:t>
            </w: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64"/>
        </w:trPr>
        <w:tc>
          <w:tcPr>
            <w:tcW w:w="3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3,338.2</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3,201.7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2,880.1</w:t>
            </w:r>
          </w:p>
        </w:tc>
        <w:tc>
          <w:tcPr>
            <w:tcW w:w="28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2,990.2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6,218.3</w:t>
            </w:r>
          </w:p>
        </w:tc>
        <w:tc>
          <w:tcPr>
            <w:tcW w:w="28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6,191.9</w:t>
            </w:r>
          </w:p>
        </w:tc>
      </w:tr>
      <w:tr>
        <w:trPr>
          <w:trHeight w:val="20"/>
        </w:trPr>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2016</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2015</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9"/>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3,137.8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164.9</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285.4</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use right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Canadian licenses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451.0</w:t>
            </w: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4,356.0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Amortization of intangible assets for the three-month and six-month periods ended June 30, 2016 was $45.3 and $89.6, respectively; and $44.6 and $75.7 for the three-month and six-month periods ended June 30, 2015, respectively. Amortization expense for the net carrying amount of intangible assets is estimated to be $82.7 for the remainder of fiscal 2016, $172.0 in fiscal 2017, $161.3 in fiscal 2018, $154.4 in fiscal 2019, $148.0 in fiscal 2020 and $2,087.0 thereafter.</w:t>
      </w:r>
    </w:p>
    <w:p>
      <w:pPr>
        <w:spacing w:after="0" w:line="39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the current portion of long-term debt at June 30, 2016 and December 31, 2015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2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2015</w:t>
            </w:r>
          </w:p>
        </w:tc>
      </w:tr>
      <w:tr>
        <w:trPr>
          <w:trHeight w:val="34"/>
        </w:trPr>
        <w:tc>
          <w:tcPr>
            <w:tcW w:w="8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Zero-coupon convertible subordinated notes</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3.125% senior notes due 2016</w:t>
            </w:r>
          </w:p>
        </w:tc>
        <w:tc>
          <w:tcPr>
            <w:tcW w:w="11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325.0</w:t>
            </w:r>
          </w:p>
        </w:tc>
      </w:tr>
      <w:tr>
        <w:trPr>
          <w:trHeight w:val="27"/>
        </w:trPr>
        <w:tc>
          <w:tcPr>
            <w:tcW w:w="8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capital leases</w:t>
            </w:r>
          </w:p>
        </w:tc>
        <w:tc>
          <w:tcPr>
            <w:tcW w:w="1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 and current portion of long-term debt</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423.9</w:t>
            </w:r>
          </w:p>
        </w:tc>
      </w:tr>
      <w:tr>
        <w:trPr>
          <w:trHeight w:val="20"/>
        </w:trPr>
        <w:tc>
          <w:tcPr>
            <w:tcW w:w="8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98"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298"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Long-term debt at June 30, 2016 and December 31, 2015 consisted of the following:</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w w:val="89"/>
              </w:rPr>
              <w:t>December 31, 2015</w:t>
            </w:r>
          </w:p>
        </w:tc>
      </w:tr>
      <w:tr>
        <w:trPr>
          <w:trHeight w:val="34"/>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2.20% senior notes due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2.50% senior notes due 2018</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4.625% senior notes due 2020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2.625% senior notes due 2020</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3.75% senior notes due 2022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3.20% senior notes due 2022</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4.00% senior notes due 2023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3.60% senior notes due 2025</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4.70% senior notes due 2045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715.0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Capital leases</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5,967.6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5,940.3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3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a result of the Acquisition, the Company assumed privately placed senior notes in an aggregate principal amount of $250.0 issued by Covance pursuant to a Note Purchase Agreement dated October 2, 2013. On March 5, 2015, the Company caused Covance to prepay all of the outstanding Senior Notes at 100% of the principal amount plus accrued interest, and a total make-whole amount of $37.4, which was expensed. The Note Purchase Agreement terminated effective March 5, 2015 in connection with the prepayment of the Senior Notes.</w:t>
      </w:r>
    </w:p>
    <w:p>
      <w:pPr>
        <w:spacing w:after="0" w:line="9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long-term debt. These derivative financial instruments are accounted for as fair value hedges of the senior notes due 2020. These interest rate swaps are included in other long-term assets and added to the value of the senior notes, with an aggregate fair value of $39.3 at June 30, 2016 and $21.6 at December 31,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Subordinated Notes</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March 11, 2016, the Company announced that for the period from March 12, 2016 to September 11, 2016, the zero-coupon subordinated notes will accrue contingent cash interest at a rate of no less than 0.125% of the average market price of a zero-coupon subordinated note for the five trading days ended March 8, 2016, in addition to the continued accrual of the original issue discount.</w:t>
      </w:r>
    </w:p>
    <w:p>
      <w:pPr>
        <w:spacing w:after="0" w:line="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During the six months ended June 30, 2016, the Company settled notices to convert $15.3 aggregate principal amount at maturity of its zero-coupon subordinated notes with a conversion value of $26.1. The total cash used for these settlements was $13.7 and the Company also issued $0.1 in additional shares of common stock. As a result of these conversions, in 2016 the Company also reversed deferred tax liabilities of $13.8.</w:t>
      </w:r>
    </w:p>
    <w:p>
      <w:pPr>
        <w:spacing w:after="0" w:line="7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July 1, 2016,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July 1, 2016 through the close of business on the last business day of the calendar quarter, which is 5:00 p.m., New York City time, on Friday, September 30, 2016. If notices of conversion are received, the Company plans to settle the cash portion of the conversion obligation with cash on hand and/or borrowings under the revolving credit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3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As part of its financing of the Acquisition, the Company entered into a $1,000.0 term loan. The term loan credit facility will mature five years after the closing date of the Acquisition and may be prepaid without penalty. The term loan balance at June 30, 2016 and December 31, 2015 was $715.0.</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December 19, 2014, the Company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revolving credit facility also provides for a subfacility of up to $100.0 for swing line borrowings and a subfacility of up to $125.0 for issuances of letters of credit. The revolving credit facility is permitted to be used for general corporate purposes, including working capital, capital expenditures, funding of share repurchases and certain other payments, and acquisitions and other investments. There was no outstanding balance on the Company's revolving credit facility at June 30, 2016 or December 31, 2015.</w:t>
      </w:r>
    </w:p>
    <w:p>
      <w:pPr>
        <w:spacing w:after="0" w:line="8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the Acquisition Notes). Net proceeds from the offering of the Acquisition Notes were $2,870.2 after deducting underwriting discounts and other expenses of the offering. Net proceeds were used to pay a portion of the cash consideration and the fees and expenses in connection with the Acquisition.</w:t>
      </w:r>
    </w:p>
    <w:p>
      <w:pPr>
        <w:spacing w:after="0" w:line="21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advanced in full on February 19, 2015, the date of the Company’s completion of the Acquisition. On March 16, 2015, the Company elected to prepay the bridge facility without penalty.</w:t>
      </w:r>
    </w:p>
    <w:p>
      <w:pPr>
        <w:spacing w:after="0" w:line="21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Under the term loan facility and the revolving credit facility, the Company is subject to negative covenants limiting subsidiary indebtedness and certain other covenants typical for investment grade-rated borrowers, and the Company is required to maintain a leverage ratio that declines over time. From and after the Acquisition Date, the leverage ratio must not have been greater than 4.75 to 1.0 with respect to the last day of each of the first four fiscal quarters ending on or after the closing date, must be no greater than 4.25 to 1.0 with respect to the last day of each of the fifth through eighth fiscal quarters ending after the closing date, and must be no greater than 3.75 to 1.0 with respect to the last day of each fiscal quarter ending thereafter. The Company was in compliance with all covenants in the term loan facility and the revolving credit facility at June 30, 2016. As of June 30, 2016, the ratio of total debt to consolidated trailing 12-month EBITDA was 3.3 to 1.0.</w:t>
      </w:r>
    </w:p>
    <w:p>
      <w:pPr>
        <w:spacing w:after="0" w:line="9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revolving credit facility at a per annum rate equal to the applicable margin for LIBOR loans, and the Company is required to pay a facility fee on the aggregate commitments under the revolving credit facility, at a per annum rate ranging from 0.125% to 0.40%. The interest margin applicable to the credit facilities, and the facility fee and letter of credit fees payable under the revolving credit facility, are based on the Company’s senior credit ratings as determined by Standard &amp; Poor’s and Moody’s, which are currently BBB and Baa2, respectively.</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of June 30, 2016, the effective interest rate on the revolving credit facility was 1.56% and the effective interest rate on the term loan was 1.71%.</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 AND COMMON SHAREHOLDERS’ EQUITY</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is authorized to issue up to 265.0 shares of common stock, par value $0.10 per share. The Company’s treasury shares are recorded at aggregate cost. The Company is authorized to issue up to 30.0 shares of preferred stock, par value $0.10 per share. There were no preferred shares outstanding as of June 30, 2016 or December 31, 2015.</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changes in common shares issued and held in treasury are summarized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500" w:type="dxa"/>
            <w:vAlign w:val="bottom"/>
            <w:gridSpan w:val="2"/>
          </w:tcPr>
          <w:p>
            <w:pPr>
              <w:ind w:left="460"/>
              <w:spacing w:after="0"/>
              <w:rPr>
                <w:sz w:val="20"/>
                <w:szCs w:val="20"/>
                <w:color w:val="auto"/>
              </w:rPr>
            </w:pPr>
            <w:r>
              <w:rPr>
                <w:rFonts w:ascii="Arial" w:cs="Arial" w:eastAsia="Arial" w:hAnsi="Arial"/>
                <w:sz w:val="18"/>
                <w:szCs w:val="18"/>
                <w:color w:val="auto"/>
              </w:rPr>
              <w:t>Issued</w:t>
            </w:r>
          </w:p>
        </w:tc>
        <w:tc>
          <w:tcPr>
            <w:tcW w:w="1820" w:type="dxa"/>
            <w:vAlign w:val="bottom"/>
            <w:gridSpan w:val="2"/>
          </w:tcPr>
          <w:p>
            <w:pPr>
              <w:ind w:left="260"/>
              <w:spacing w:after="0"/>
              <w:rPr>
                <w:sz w:val="20"/>
                <w:szCs w:val="20"/>
                <w:color w:val="auto"/>
              </w:rPr>
            </w:pPr>
            <w:r>
              <w:rPr>
                <w:rFonts w:ascii="Arial" w:cs="Arial" w:eastAsia="Arial" w:hAnsi="Arial"/>
                <w:sz w:val="18"/>
                <w:szCs w:val="18"/>
                <w:color w:val="auto"/>
              </w:rPr>
              <w:t>Held in Treasury</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Outstanding</w:t>
            </w:r>
          </w:p>
        </w:tc>
      </w:tr>
      <w:tr>
        <w:trPr>
          <w:trHeight w:val="34"/>
        </w:trPr>
        <w:tc>
          <w:tcPr>
            <w:tcW w:w="6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at December 31, 2015</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Common stock issued under employee stock plans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upon conversion of zero-coupon subordinated notes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84"/>
        </w:trPr>
        <w:tc>
          <w:tcPr>
            <w:tcW w:w="6740" w:type="dxa"/>
            <w:vAlign w:val="bottom"/>
          </w:tcPr>
          <w:p>
            <w:pPr>
              <w:ind w:left="40"/>
              <w:spacing w:after="0"/>
              <w:rPr>
                <w:sz w:val="20"/>
                <w:szCs w:val="20"/>
                <w:color w:val="auto"/>
              </w:rPr>
            </w:pPr>
            <w:r>
              <w:rPr>
                <w:rFonts w:ascii="Arial" w:cs="Arial" w:eastAsia="Arial" w:hAnsi="Arial"/>
                <w:sz w:val="18"/>
                <w:szCs w:val="18"/>
                <w:color w:val="auto"/>
              </w:rPr>
              <w:t>Surrender of restricted stock and performance share awards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at June 30, 2016</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0"/>
        </w:trPr>
        <w:tc>
          <w:tcPr>
            <w:tcW w:w="6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Share Repurchase Program</w:t>
      </w:r>
    </w:p>
    <w:p>
      <w:pPr>
        <w:spacing w:after="0" w:line="13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June 30, 2016 and December 31, 2015, the Company had outstanding authorization from the Board of Directors to purchase up to $789.5 of Company common stock based on settled trades as of these respective dates. The repurchase authorization has no expiration date. Following the announcement of the Acquisition, the Company suspended its share repurchases. The Company does not anticipate resuming its share repurchase activity until it approaches its targeted ratio of total debt to consolidated trailing 12-month EBITDA of 2.5 to 1.0. However, the Company will continue to evaluate all opportunities for strategic deployment of capital in light of market conditions.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Earnings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8"/>
        </w:trPr>
        <w:tc>
          <w:tcPr>
            <w:tcW w:w="6240" w:type="dxa"/>
            <w:vAlign w:val="bottom"/>
          </w:tcPr>
          <w:p>
            <w:pPr>
              <w:ind w:left="240"/>
              <w:spacing w:after="0"/>
              <w:rPr>
                <w:sz w:val="20"/>
                <w:szCs w:val="20"/>
                <w:color w:val="auto"/>
              </w:rPr>
            </w:pPr>
            <w:r>
              <w:rPr>
                <w:rFonts w:ascii="Arial" w:cs="Arial" w:eastAsia="Arial" w:hAnsi="Arial"/>
                <w:sz w:val="18"/>
                <w:szCs w:val="18"/>
                <w:color w:val="auto"/>
                <w:w w:val="95"/>
              </w:rPr>
              <w:t>The components of accumulated other comprehensive earnings are as follows: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4"/>
        </w:trPr>
        <w:tc>
          <w:tcPr>
            <w:tcW w:w="6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Net</w:t>
            </w:r>
          </w:p>
        </w:tc>
        <w:tc>
          <w:tcPr>
            <w:tcW w:w="20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Accumulated</w:t>
            </w:r>
          </w:p>
        </w:tc>
      </w:tr>
      <w:tr>
        <w:trPr>
          <w:trHeight w:val="216"/>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Currency</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Benefit</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3"/>
              </w:rPr>
              <w:t>Other</w:t>
            </w:r>
          </w:p>
        </w:tc>
      </w:tr>
      <w:tr>
        <w:trPr>
          <w:trHeight w:val="216"/>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Translation</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Plan</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0"/>
              </w:rPr>
              <w:t>Comprehensive</w:t>
            </w:r>
          </w:p>
        </w:tc>
      </w:tr>
      <w:tr>
        <w:trPr>
          <w:trHeight w:val="230"/>
        </w:trPr>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Adjustments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Adjustments</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0"/>
              </w:rPr>
              <w:t>Earnings (Loss)</w:t>
            </w:r>
          </w:p>
        </w:tc>
      </w:tr>
      <w:tr>
        <w:trPr>
          <w:trHeight w:val="34"/>
        </w:trPr>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December 31, 2015 </w:t>
            </w:r>
            <w:r>
              <w:rPr>
                <w:rFonts w:ascii="Arial" w:cs="Arial" w:eastAsia="Arial" w:hAnsi="Arial"/>
                <w:sz w:val="14"/>
                <w:szCs w:val="14"/>
                <w:i w:val="1"/>
                <w:iCs w:val="1"/>
                <w:color w:val="auto"/>
              </w:rPr>
              <w:t>(a)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Other comprehensive earnings before reclassifications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Amounts reclassified from accumulated other comprehensive earnings to the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Condensed Consolidated Statement of Operations </w:t>
            </w:r>
            <w:r>
              <w:rPr>
                <w:rFonts w:ascii="Arial" w:cs="Arial" w:eastAsia="Arial" w:hAnsi="Arial"/>
                <w:sz w:val="14"/>
                <w:szCs w:val="14"/>
                <w:i w:val="1"/>
                <w:iCs w:val="1"/>
                <w:color w:val="auto"/>
              </w:rPr>
              <w:t>(b)</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84"/>
        </w:trPr>
        <w:tc>
          <w:tcPr>
            <w:tcW w:w="6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Tax effect of adjustments</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5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right="180" w:firstLine="251"/>
        <w:spacing w:after="0" w:line="264" w:lineRule="auto"/>
        <w:tabs>
          <w:tab w:leader="none" w:pos="447" w:val="left"/>
        </w:tabs>
        <w:numPr>
          <w:ilvl w:val="1"/>
          <w:numId w:val="9"/>
        </w:numPr>
        <w:rPr>
          <w:rFonts w:ascii="Arial" w:cs="Arial" w:eastAsia="Arial" w:hAnsi="Arial"/>
          <w:sz w:val="14"/>
          <w:szCs w:val="14"/>
          <w:i w:val="1"/>
          <w:iCs w:val="1"/>
          <w:color w:val="auto"/>
        </w:rPr>
      </w:pPr>
      <w:r>
        <w:rPr>
          <w:rFonts w:ascii="Arial" w:cs="Arial" w:eastAsia="Arial" w:hAnsi="Arial"/>
          <w:sz w:val="16"/>
          <w:szCs w:val="16"/>
          <w:color w:val="auto"/>
        </w:rPr>
        <w:t>The December 31, 2015 foreign currency translation adjustment reflects the changes recorded due to the cumulative translation adjustment of allocating the intangible assets associated with the Acquisition</w:t>
      </w:r>
    </w:p>
    <w:p>
      <w:pPr>
        <w:ind w:right="140" w:firstLine="251"/>
        <w:spacing w:after="0" w:line="275" w:lineRule="auto"/>
        <w:tabs>
          <w:tab w:leader="none" w:pos="447" w:val="left"/>
        </w:tabs>
        <w:numPr>
          <w:ilvl w:val="1"/>
          <w:numId w:val="9"/>
        </w:numPr>
        <w:rPr>
          <w:rFonts w:ascii="Arial" w:cs="Arial" w:eastAsia="Arial" w:hAnsi="Arial"/>
          <w:sz w:val="14"/>
          <w:szCs w:val="14"/>
          <w:i w:val="1"/>
          <w:iCs w:val="1"/>
          <w:color w:val="auto"/>
        </w:rPr>
      </w:pPr>
      <w:r>
        <w:rPr>
          <w:rFonts w:ascii="Arial" w:cs="Arial" w:eastAsia="Arial" w:hAnsi="Arial"/>
          <w:sz w:val="16"/>
          <w:szCs w:val="16"/>
          <w:color w:val="auto"/>
        </w:rPr>
        <w:t>The amortization of prior service cost is included in the computation of net periodic benefit cost. See Note 10 (Pension and Post-retirement Plans) below for additional information regarding the Company's net periodic benefit cost.</w:t>
      </w:r>
    </w:p>
    <w:p>
      <w:pPr>
        <w:spacing w:after="0" w:line="136" w:lineRule="exact"/>
        <w:rPr>
          <w:rFonts w:ascii="Arial" w:cs="Arial" w:eastAsia="Arial" w:hAnsi="Arial"/>
          <w:sz w:val="14"/>
          <w:szCs w:val="14"/>
          <w:i w:val="1"/>
          <w:i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gross unrecognized income tax benefits were $24.2 and $24.2 at June 30, 2016 and December 31, 2015, respectively. It is anticipated that the amount of the unrecognized income tax benefits will change within the next 12 months; however, these changes are not expected to have a significant impact on the results of operations, cash flows or the financial position of the Company.</w:t>
      </w:r>
    </w:p>
    <w:p>
      <w:pPr>
        <w:spacing w:after="0" w:line="8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As of June 30, 2016 and December 31, 2015, $24.2 and $24.2, respectively, were the approximate amount of gross unrecognized income tax benefits that, if recognized, would favorably affect the effective income tax rate in future periods.</w:t>
      </w:r>
    </w:p>
    <w:p>
      <w:pPr>
        <w:spacing w:after="0" w:line="19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recognizes interest and penalties related to unrecognized income tax benefits in income tax expense. Accrued interest and penalties related to uncertain tax positions totaled $13.6 and $12.7 as of June 30, 2016 and December 31, 2015, respectively.</w:t>
      </w:r>
    </w:p>
    <w:p>
      <w:pPr>
        <w:spacing w:after="0" w:line="19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valuation allowance provided as a reserve against certain deferred tax assets is $14.5 and $15.1 as of June 30, 2016 and December 31, 2015, respectively.</w:t>
      </w:r>
    </w:p>
    <w:p>
      <w:pPr>
        <w:spacing w:after="0" w:line="19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2011. Substantially all material state and local and foreign income tax matters have been concluded through 2010 and 2004, respectively.</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IRS is currently examining the Company's 2014 federal income tax return. The Canada Revenue Agency is currently examining the 2013 and 2014 tax returns.</w:t>
      </w:r>
    </w:p>
    <w:p>
      <w:pPr>
        <w:spacing w:after="0" w:line="19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Company has various state and international income tax examinations ongoing throughout the year. Management believes adequate provisions have been recorded related to all open tax years.</w:t>
      </w:r>
    </w:p>
    <w:p>
      <w:pPr>
        <w:spacing w:after="0" w:line="28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employee-related matters, and inquiries, including subpoenas and other civil investigative demands, from governmental agencies and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healthcare providers. The Company works cooperatively to respond to appropriate requests for information.</w:t>
      </w:r>
    </w:p>
    <w:p>
      <w:pPr>
        <w:spacing w:after="0" w:line="7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9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clinical laboratory operations and drug development support services. The healthcare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pacing w:after="0" w:line="22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Many of the current claims and legal actions against the Company are in preliminary stages, and many of these cases seek an indeterminate amount of damages. The Company records an aggregate legal reserve, which is determined using actuarial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22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unable to estimate a range of reasonably probable losses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22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As reported, the Company reached a settlement in the previously disclosed lawsuit, </w:t>
      </w:r>
      <w:r>
        <w:rPr>
          <w:rFonts w:ascii="Arial" w:cs="Arial" w:eastAsia="Arial" w:hAnsi="Arial"/>
          <w:sz w:val="18"/>
          <w:szCs w:val="18"/>
          <w:i w:val="1"/>
          <w:iCs w:val="1"/>
          <w:color w:val="auto"/>
        </w:rPr>
        <w:t>California ex rel. Hunter Laboratories, LLC et al. v. Quest Diagnostics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Incorporated, et al. </w:t>
      </w:r>
      <w:r>
        <w:rPr>
          <w:rFonts w:ascii="Arial" w:cs="Arial" w:eastAsia="Arial" w:hAnsi="Arial"/>
          <w:sz w:val="18"/>
          <w:szCs w:val="18"/>
          <w:color w:val="auto"/>
        </w:rPr>
        <w:t>(Hunter Labs Settlement Agreement), to avoid the uncertainty and costs associated with prolonged litigation. Pursuant to the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2011, the California legislature enacted Assembly Bill No. 97, which imposed a 10.0% Medi-Cal payment cut on most providers, including clinical laboratories. This 10.0% cut is currently being applied to the rates that would otherwise be applicable. In 2012, the California legislature enacted Assembly Bill No. 1494, which directed the Department of Healthcare Services (DHCS) to establish new reimbursement rates for Medi-Cal clinical laboratory services based on payments made to California clinical laboratories for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similar services by other third-party payers, and provided that until the new rates are set through this process, Medi-Cal payments for clinical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Medicare program. Under the terms of the Hunter Labs Settlement Agreement, the enactment of this California legislation terminates the Company's reporting obligations (or obligation to provide a discount in lieu of reporting) under that agreement. In April 2015, CMS approved a 10.0% payment reduction under Assembly Bill No. 1494. The new rate methodology established new rates that were effective July 1, 2015, but these new rates were not entered into the state computer system until February 2016. Based on reported 2015 payment data, new rates were established to be effective July 1, 2016, but due to computer system delays, these rates will not be implemented before September, 2016. DHCS has not provided further direction regarding possible recoupments and specific timeframes. Taken together, these changes are not expected to have a material impact on the Company's consolidated revenues or results of operations.</w:t>
      </w:r>
    </w:p>
    <w:p>
      <w:pPr>
        <w:spacing w:after="0" w:line="194"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United States District Court for the Southern District of New York unsealed a False Claims Act lawsuit, </w:t>
      </w:r>
      <w:r>
        <w:rPr>
          <w:rFonts w:ascii="Arial" w:cs="Arial" w:eastAsia="Arial" w:hAnsi="Arial"/>
          <w:sz w:val="17"/>
          <w:szCs w:val="17"/>
          <w:i w:val="1"/>
          <w:iCs w:val="1"/>
          <w:color w:val="auto"/>
        </w:rPr>
        <w:t>United States of America ex rel. NPT Associates v. Laboratory Corporation of America Holdings</w:t>
      </w:r>
      <w:r>
        <w:rPr>
          <w:rFonts w:ascii="Arial" w:cs="Arial" w:eastAsia="Arial" w:hAnsi="Arial"/>
          <w:sz w:val="17"/>
          <w:szCs w:val="17"/>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20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21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On November 4, 2013, the State of Florida through the Office of the Attorney General filed an Intervention Complaint in a False Claims Act lawsuit, </w:t>
      </w:r>
      <w:r>
        <w:rPr>
          <w:rFonts w:ascii="Arial" w:cs="Arial" w:eastAsia="Arial" w:hAnsi="Arial"/>
          <w:sz w:val="17"/>
          <w:szCs w:val="17"/>
          <w:i w:val="1"/>
          <w:iCs w:val="1"/>
          <w:color w:val="auto"/>
        </w:rPr>
        <w:t>State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Florida ex rel. Hunter Laboratories, LLC and Chris Riedel v. Quest Diagnostics Incorporated, et al. </w:t>
      </w:r>
      <w:r>
        <w:rPr>
          <w:rFonts w:ascii="Arial" w:cs="Arial" w:eastAsia="Arial" w:hAnsi="Arial"/>
          <w:sz w:val="17"/>
          <w:szCs w:val="17"/>
          <w:color w:val="auto"/>
        </w:rPr>
        <w:t>in the Circuit Court for the Second Judicial Circuit for</w:t>
      </w:r>
      <w:r>
        <w:rPr>
          <w:rFonts w:ascii="Arial" w:cs="Arial" w:eastAsia="Arial" w:hAnsi="Arial"/>
          <w:sz w:val="17"/>
          <w:szCs w:val="17"/>
          <w:i w:val="1"/>
          <w:iCs w:val="1"/>
          <w:color w:val="auto"/>
        </w:rPr>
        <w:t xml:space="preserve"> </w:t>
      </w:r>
      <w:r>
        <w:rPr>
          <w:rFonts w:ascii="Arial" w:cs="Arial" w:eastAsia="Arial" w:hAnsi="Arial"/>
          <w:sz w:val="17"/>
          <w:szCs w:val="17"/>
          <w:color w:val="auto"/>
        </w:rPr>
        <w:t>Leon County. The lawsuit, originally filed by a competitor laboratory, alleges that the Company overcharged Florida’s Medicaid program. The lawsuit seeks actual and treble damages and civil penalties for each alleged false claim, as well as recovery of costs, attorney’s fees, and legal expenses. The Company's Motion to Dismiss was denied in February 2015. The Company will vigorously defend the lawsuit.</w:t>
      </w:r>
    </w:p>
    <w:p>
      <w:pPr>
        <w:spacing w:after="0" w:line="20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On May 2, 2013, the Company was served with a False Claims Act lawsuit, </w:t>
      </w:r>
      <w:r>
        <w:rPr>
          <w:rFonts w:ascii="Arial" w:cs="Arial" w:eastAsia="Arial" w:hAnsi="Arial"/>
          <w:sz w:val="17"/>
          <w:szCs w:val="17"/>
          <w:i w:val="1"/>
          <w:iCs w:val="1"/>
          <w:color w:val="auto"/>
        </w:rPr>
        <w:t>State of Georgia ex rel. Hunter Laboratories,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Chris Riedel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Diagnostics Incorporated, et al.</w:t>
      </w:r>
      <w:r>
        <w:rPr>
          <w:rFonts w:ascii="Arial" w:cs="Arial" w:eastAsia="Arial" w:hAnsi="Arial"/>
          <w:sz w:val="17"/>
          <w:szCs w:val="17"/>
          <w:color w:val="auto"/>
        </w:rPr>
        <w:t>, filed in the state court of Fulton County, Georgia. The lawsuit, filed by a competitor laboratory, alleges that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overcharged Georgia's Medicaid program. The State of Georgia filed a Notice of Declination on August 13, 2012, before the Company was served with the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Company will vigorously defend the lawsuit.</w:t>
      </w:r>
    </w:p>
    <w:p>
      <w:pPr>
        <w:spacing w:after="0" w:line="209"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 xml:space="preserve">On February 27, 2012, the Company was served with a False Claims Act lawsuit, </w:t>
      </w:r>
      <w:r>
        <w:rPr>
          <w:rFonts w:ascii="Arial" w:cs="Arial" w:eastAsia="Arial" w:hAnsi="Arial"/>
          <w:sz w:val="16"/>
          <w:szCs w:val="16"/>
          <w:i w:val="1"/>
          <w:iCs w:val="1"/>
          <w:color w:val="auto"/>
        </w:rPr>
        <w:t>United States ex rel. Margaret Brown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 and Tri-State Clinical Laboratory Services, LLC</w:t>
      </w:r>
      <w:r>
        <w:rPr>
          <w:rFonts w:ascii="Arial" w:cs="Arial" w:eastAsia="Arial" w:hAnsi="Arial"/>
          <w:sz w:val="16"/>
          <w:szCs w:val="16"/>
          <w:color w:val="auto"/>
        </w:rPr>
        <w:t>, filed in the United States District Court for the Southern District of Ohio, Western</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 The Company owned 50.0% of Tri-State Clinical Laboratory Services, LLC, which was dissolved in June of 2011 pursuant to a voluntary petition filed under Chapter 7 of Title 11 of the United States Code. The lawsuit alleges that the defendants submitted false claims for payment for laboratory testing services performed as a result of financial relationships that violated the Stark and Anti-Kickback Statutes. The lawsuit seeks actual and treble damages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civil penalties for each alleged false claim, as well as recovery of costs, attorney's fees, and legal expenses. The U.S. government has not intervened in the lawsuit. The parties reached a settlement in principle, which the Court approved on July 18, 2016.</w:t>
      </w:r>
    </w:p>
    <w:p>
      <w:pPr>
        <w:spacing w:after="0" w:line="197"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 xml:space="preserve">On June 7, 2012, the Company was served with a putative class action lawsuit, </w:t>
      </w:r>
      <w:r>
        <w:rPr>
          <w:rFonts w:ascii="Arial" w:cs="Arial" w:eastAsia="Arial" w:hAnsi="Arial"/>
          <w:sz w:val="17"/>
          <w:szCs w:val="17"/>
          <w:i w:val="1"/>
          <w:iCs w:val="1"/>
          <w:color w:val="auto"/>
        </w:rPr>
        <w:t>Yvonne Jansky v. Laboratory Corporation of America, et al.</w:t>
      </w:r>
      <w:r>
        <w:rPr>
          <w:rFonts w:ascii="Arial" w:cs="Arial" w:eastAsia="Arial" w:hAnsi="Arial"/>
          <w:sz w:val="17"/>
          <w:szCs w:val="17"/>
          <w:color w:val="auto"/>
        </w:rPr>
        <w:t>, filed in the Superior Court of the State of California, County of San Francisco. The lawsuit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The Plaintiff has appealed the denial of class certification, and the trial court has stayed the case pending resolution of the appeal. The Company will vigorously defend the lawsuit.</w:t>
      </w:r>
    </w:p>
    <w:p>
      <w:pPr>
        <w:spacing w:after="0" w:line="205"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 xml:space="preserve">On August 24, 2012, the Company was served with a putative class action lawsuit, </w:t>
      </w:r>
      <w:r>
        <w:rPr>
          <w:rFonts w:ascii="Arial" w:cs="Arial" w:eastAsia="Arial" w:hAnsi="Arial"/>
          <w:sz w:val="17"/>
          <w:szCs w:val="17"/>
          <w:i w:val="1"/>
          <w:iCs w:val="1"/>
          <w:color w:val="auto"/>
        </w:rPr>
        <w:t>Sandusky Wellness Center, LLC, et al. v. MEDTOX Scientific, Inc., et</w:t>
      </w:r>
      <w:r>
        <w:rPr>
          <w:rFonts w:ascii="Arial" w:cs="Arial" w:eastAsia="Arial" w:hAnsi="Arial"/>
          <w:sz w:val="17"/>
          <w:szCs w:val="17"/>
          <w:color w:val="auto"/>
        </w:rPr>
        <w:t xml:space="preserve"> </w:t>
      </w:r>
      <w:r>
        <w:rPr>
          <w:rFonts w:ascii="Arial" w:cs="Arial" w:eastAsia="Arial" w:hAnsi="Arial"/>
          <w:sz w:val="17"/>
          <w:szCs w:val="17"/>
          <w:i w:val="1"/>
          <w:iCs w:val="1"/>
          <w:color w:val="auto"/>
        </w:rPr>
        <w:t>al.</w:t>
      </w:r>
      <w:r>
        <w:rPr>
          <w:rFonts w:ascii="Arial" w:cs="Arial" w:eastAsia="Arial" w:hAnsi="Arial"/>
          <w:sz w:val="17"/>
          <w:szCs w:val="17"/>
          <w:color w:val="auto"/>
        </w:rPr>
        <w:t>, filed in the United States District Court for the District of Minnesota. The lawsuit alleges that on or about February 21, 2012, the Defendants violated the</w:t>
      </w:r>
      <w:r>
        <w:rPr>
          <w:rFonts w:ascii="Arial" w:cs="Arial" w:eastAsia="Arial" w:hAnsi="Arial"/>
          <w:sz w:val="17"/>
          <w:szCs w:val="17"/>
          <w:i w:val="1"/>
          <w:iCs w:val="1"/>
          <w:color w:val="auto"/>
        </w:rPr>
        <w:t xml:space="preserve"> </w:t>
      </w:r>
      <w:r>
        <w:rPr>
          <w:rFonts w:ascii="Arial" w:cs="Arial" w:eastAsia="Arial" w:hAnsi="Arial"/>
          <w:sz w:val="17"/>
          <w:szCs w:val="17"/>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filed a notice of appeal. On May 3, 2016, the United States Court of Appeals for the Eighth Circuit issued its decision and order reversing the District Court's decision which denied class certification. The Eighth Circuit remanded the matter for further proceedings. The Company will vigorously defend the lawsuit.</w:t>
      </w:r>
    </w:p>
    <w:p>
      <w:pPr>
        <w:spacing w:after="0" w:line="20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On July 3, 2012, the Company was served with a lawsuit, </w:t>
      </w:r>
      <w:r>
        <w:rPr>
          <w:rFonts w:ascii="Arial" w:cs="Arial" w:eastAsia="Arial" w:hAnsi="Arial"/>
          <w:sz w:val="17"/>
          <w:szCs w:val="17"/>
          <w:i w:val="1"/>
          <w:iCs w:val="1"/>
          <w:color w:val="auto"/>
        </w:rPr>
        <w:t>John Wisekal, as Personal Representative of the Estate of Darien Wisekal</w:t>
      </w:r>
      <w:r>
        <w:rPr>
          <w:rFonts w:ascii="Arial" w:cs="Arial" w:eastAsia="Arial" w:hAnsi="Arial"/>
          <w:sz w:val="17"/>
          <w:szCs w:val="17"/>
          <w:color w:val="auto"/>
        </w:rPr>
        <w:t xml:space="preserve"> v. </w:t>
      </w:r>
      <w:r>
        <w:rPr>
          <w:rFonts w:ascii="Arial" w:cs="Arial" w:eastAsia="Arial" w:hAnsi="Arial"/>
          <w:sz w:val="17"/>
          <w:szCs w:val="17"/>
          <w:i w:val="1"/>
          <w:iCs w:val="1"/>
          <w:color w:val="auto"/>
        </w:rPr>
        <w:t>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and Glenda C. Mixon</w:t>
      </w:r>
      <w:r>
        <w:rPr>
          <w:rFonts w:ascii="Arial" w:cs="Arial" w:eastAsia="Arial" w:hAnsi="Arial"/>
          <w:sz w:val="17"/>
          <w:szCs w:val="17"/>
          <w:color w:val="auto"/>
        </w:rPr>
        <w:t>, filed in the Circuit Court of the Fifteenth Judicial Circuit in and for Palm Beach County,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lawsuit alleges that the Company misread a Pap test. The case was removed to the United States District Court for the Southern District of Florida. The matter was tried before a jury beginning on April 1, 2014. On April 17, 2014, the jury returned a verdict in Plaintiff’s favor in the amount of $20.8, with non-economic damages reduced by 25.0% to account for the Plaintiff's negligence, for a final verdict of $15.8. The Company filed post-trial motions. On July 28, 2014, the Court granted the Company’s motion for remittitur and reduced the jury’s non-economic damages award to $5.0, reduced by 25.0% for the Plaintiff’s negligence. Accordingly, the total judgment was $4.4. The Plaintiff opposed the remittitur and the Court ordered a new trial on the issue of damages only. The parties reached a settlement, which was approved by the District Court on June 14, 2016.</w:t>
      </w:r>
    </w:p>
    <w:p>
      <w:pPr>
        <w:spacing w:after="0" w:line="20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On August 31, 2015, the Company was served with a putative class action lawsuit, </w:t>
      </w:r>
      <w:r>
        <w:rPr>
          <w:rFonts w:ascii="Arial" w:cs="Arial" w:eastAsia="Arial" w:hAnsi="Arial"/>
          <w:sz w:val="16"/>
          <w:szCs w:val="16"/>
          <w:i w:val="1"/>
          <w:iCs w:val="1"/>
          <w:color w:val="auto"/>
        </w:rPr>
        <w:t>Patty Davis v. Laboratory Corporation of America, et al.,</w:t>
      </w:r>
      <w:r>
        <w:rPr>
          <w:rFonts w:ascii="Arial" w:cs="Arial" w:eastAsia="Arial" w:hAnsi="Arial"/>
          <w:sz w:val="16"/>
          <w:szCs w:val="16"/>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The Company will vigorously defend the lawsuit.</w:t>
      </w:r>
    </w:p>
    <w:p>
      <w:pPr>
        <w:spacing w:after="0" w:line="18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174"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The Company holds an investment in a joint venture partnership located in Alberta, Canada. The Canadian partnership has a license to conduct diagnostic testing services in the province of Alberta. Substantially all of its revenue is received as reimbursement from the Alberta government's healthcare programs.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 The Company is currently in discussions with AHS regarding the terms of the contract renewal.</w:t>
      </w:r>
    </w:p>
    <w:p>
      <w:pPr>
        <w:spacing w:after="0" w:line="7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June 23, 2016, the Centers for Medicare and Medicaid Services (CMS) published a final rule implementing the Protecting Access to Medicare Act of 2014 (PAMA), which required establishment of a new Medicare reimbursement system for clinical lab</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tests paid under the Clinical Laboratory Fee Schedule (CLFS), based on private payer rates, as reported to CMS. Although the new payment system was supposed to go into effect for tests furnished after January 1, 2017, the CMS rulemaking process was delayed, and the new rates will not be effective until January 1, 2018 pursuant to the final rule. Under the new system the Company must collect data on private payer rates and report the data to CMS every three years for most types of tests. The Company does not expect that the new reporting requirements will have a material impact on its business or results of operations. CMS will use the data reported by all applicable labs to calculate a weighted median of private payer rates for each test performed, and that weighted median will be the new Medicare rate. Rate reductions for existing tests under the new system will be phased in over six years. The Company is still assessing the full impact of the final rule, but has been preparing for it for some time. Medicare reimbursement under the CLFS represents less than 10% of the Company’s consolidated revenue.</w:t>
      </w:r>
    </w:p>
    <w:p>
      <w:pPr>
        <w:spacing w:after="0" w:line="9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As of June 30, 2016, the Company had provided letters of credit aggregating approximately $55.0, primarily in connection with certain insurance programs. The Company’s availability under its revolving credit facility is reduced by the amount of these letters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PLANS</w:t>
      </w:r>
    </w:p>
    <w:p>
      <w:pPr>
        <w:spacing w:after="0" w:line="229"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Company’s defined contribution retirement plan (401K Plan) covers substantially all pre-Acquisition employees. All employees eligible for the 401K Plan receive a minimum 3% non-elective contribution concurrent with each payroll period. The 401K Plan also permits discretionary contributions by the Company of up to 1% and up to 3% of pay for eligible employees based on years of service with the Company. The cost of this plan was $13.8 and $13.3 for the three months ended June 30, 2016 and 2015, respectively, and was $27.2 and $26.2 for the six months ended June 30, 2016 and 2015, respectively. The Company also incurred expense of $12.8 and $11.1 for the Covance 401K plan assumed as a result of the Acquisition during the three months ended June 30, 2016 and 2015, respectively, and $26.5 and $15.8 during the six months ended June 30, 2016 and 2015, respectively. All of the Covance U.S. employees are eligible to participate in the discretionary Covance 401K plan, which features a Company match, based upon a percentage of the employee’s contributions.</w:t>
      </w:r>
    </w:p>
    <w:p>
      <w:pPr>
        <w:spacing w:after="0" w:line="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also maintains a frozen defined benefit retirement plan (Company Plan), which as of December 31, 2009, covered substantially all employees. The benefits to be paid under the Company Plan are based on years of credited service through December 31, 2009 and ongoing interest credits. Effective January 1, 2010, the Company Plan was closed to new participants. The Company’s policy is to fund the Company Plan with at least the minimum amount required by applicable regulations.</w:t>
      </w:r>
    </w:p>
    <w:p>
      <w:pPr>
        <w:spacing w:after="0" w:line="9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maintains a second unfunded, non-contributory, non-qualified defined benefit retirement plan (PEP), which as of December 31, 2009, covered substantially all of its senior management group. The PEP supplements the Company Plan and was also closed to new participants effective January 1, 2010.</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w w:val="97"/>
              </w:rPr>
              <w:t>The effect on operations for the Company Plan and the PEP is summarized as follows: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4"/>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6"/>
          </w:tcPr>
          <w:p>
            <w:pPr>
              <w:ind w:left="20"/>
              <w:spacing w:after="0"/>
              <w:rPr>
                <w:sz w:val="20"/>
                <w:szCs w:val="20"/>
                <w:color w:val="auto"/>
              </w:rPr>
            </w:pPr>
            <w:r>
              <w:rPr>
                <w:rFonts w:ascii="Arial" w:cs="Arial" w:eastAsia="Arial" w:hAnsi="Arial"/>
                <w:sz w:val="18"/>
                <w:szCs w:val="18"/>
                <w:color w:val="auto"/>
                <w:w w:val="98"/>
              </w:rPr>
              <w:t>Three Months Ended June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w w:val="93"/>
              </w:rPr>
              <w:t>Six Months Ended June 30,</w:t>
            </w:r>
          </w:p>
        </w:tc>
      </w:tr>
      <w:tr>
        <w:trPr>
          <w:trHeight w:val="34"/>
        </w:trPr>
        <w:tc>
          <w:tcPr>
            <w:tcW w:w="6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2015</w:t>
            </w:r>
          </w:p>
        </w:tc>
      </w:tr>
      <w:tr>
        <w:trPr>
          <w:trHeight w:val="34"/>
        </w:trPr>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8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amortization and deferral</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plan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the three and six months ended June 30, 2016, the Company contributed $2.5 and $4.8, respectively, to the Company Plan.</w:t>
      </w:r>
    </w:p>
    <w:p>
      <w:pPr>
        <w:spacing w:after="0" w:line="11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assumed the obligations under a subsidiary’s post-retirement medical plan. Coverage under this plan is restricted to a limited number of existing employees of the subsidiary. The Company funds the plan through monthly contributions to a Health Reimbursement Arrangement, which can be used by eligible participants to purchase health care insurance through insurance exchanges. Effective January 1, 2017, Health Reimbursement Arrangement contributions for Medicare eligible participants will cease. The effect on operations of the post-retirement medical plan is shown in the following table: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960" w:type="dxa"/>
            <w:vAlign w:val="bottom"/>
            <w:gridSpan w:val="6"/>
          </w:tcPr>
          <w:p>
            <w:pPr>
              <w:jc w:val="center"/>
              <w:ind w:right="80"/>
              <w:spacing w:after="0"/>
              <w:rPr>
                <w:sz w:val="20"/>
                <w:szCs w:val="20"/>
                <w:color w:val="auto"/>
              </w:rPr>
            </w:pPr>
            <w:r>
              <w:rPr>
                <w:rFonts w:ascii="Arial" w:cs="Arial" w:eastAsia="Arial" w:hAnsi="Arial"/>
                <w:sz w:val="18"/>
                <w:szCs w:val="18"/>
                <w:color w:val="auto"/>
                <w:w w:val="89"/>
              </w:rPr>
              <w:t>Three Months Ended June 30,</w:t>
            </w:r>
          </w:p>
        </w:tc>
        <w:tc>
          <w:tcPr>
            <w:tcW w:w="280" w:type="dxa"/>
            <w:vAlign w:val="bottom"/>
          </w:tcPr>
          <w:p>
            <w:pPr>
              <w:spacing w:after="0"/>
              <w:rPr>
                <w:sz w:val="20"/>
                <w:szCs w:val="20"/>
                <w:color w:val="auto"/>
              </w:rPr>
            </w:pPr>
          </w:p>
        </w:tc>
        <w:tc>
          <w:tcPr>
            <w:tcW w:w="2680" w:type="dxa"/>
            <w:vAlign w:val="bottom"/>
            <w:gridSpan w:val="4"/>
          </w:tcPr>
          <w:p>
            <w:pPr>
              <w:jc w:val="right"/>
              <w:ind w:right="370"/>
              <w:spacing w:after="0"/>
              <w:rPr>
                <w:sz w:val="20"/>
                <w:szCs w:val="20"/>
                <w:color w:val="auto"/>
              </w:rPr>
            </w:pPr>
            <w:r>
              <w:rPr>
                <w:rFonts w:ascii="Arial" w:cs="Arial" w:eastAsia="Arial" w:hAnsi="Arial"/>
                <w:sz w:val="18"/>
                <w:szCs w:val="18"/>
                <w:color w:val="auto"/>
                <w:w w:val="99"/>
              </w:rPr>
              <w:t>Six Months Ended June 30,</w:t>
            </w:r>
          </w:p>
        </w:tc>
      </w:tr>
      <w:tr>
        <w:trPr>
          <w:trHeight w:val="34"/>
        </w:trPr>
        <w:tc>
          <w:tcPr>
            <w:tcW w:w="5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34"/>
        </w:trPr>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8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8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5500" w:type="dxa"/>
            <w:vAlign w:val="bottom"/>
          </w:tcPr>
          <w:p>
            <w:pPr>
              <w:ind w:left="40"/>
              <w:spacing w:after="0"/>
              <w:rPr>
                <w:sz w:val="20"/>
                <w:szCs w:val="20"/>
                <w:color w:val="auto"/>
              </w:rPr>
            </w:pPr>
            <w:r>
              <w:rPr>
                <w:rFonts w:ascii="Arial" w:cs="Arial" w:eastAsia="Arial" w:hAnsi="Arial"/>
                <w:sz w:val="18"/>
                <w:szCs w:val="18"/>
                <w:color w:val="auto"/>
              </w:rPr>
              <w:t>Post-retirement medical plan benefits</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addition to the PEP, as a result of the Acquisition, the Company also has a frozen non-qualified Supplemental Executive Retirement Plan (SERP). The SERP, which is not funded, is intended to provide retirement benefits for certain executive officers of the Company. Benefit amounts are based upon years of service and compensation of the participating employees. The pension benefit obligation as of the Acquisition Date was $32.8. The components of the net periodic pension cost for the three and six months ended June 30, 2016 and June 30, 2015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4"/>
          </w:tcPr>
          <w:p>
            <w:pPr>
              <w:jc w:val="right"/>
              <w:ind w:right="330"/>
              <w:spacing w:after="0"/>
              <w:rPr>
                <w:sz w:val="20"/>
                <w:szCs w:val="20"/>
                <w:color w:val="auto"/>
              </w:rPr>
            </w:pPr>
            <w:r>
              <w:rPr>
                <w:rFonts w:ascii="Arial" w:cs="Arial" w:eastAsia="Arial" w:hAnsi="Arial"/>
                <w:sz w:val="18"/>
                <w:szCs w:val="18"/>
                <w:color w:val="auto"/>
                <w:w w:val="96"/>
              </w:rPr>
              <w:t>Six Months Ended June 30,</w:t>
            </w:r>
          </w:p>
        </w:tc>
      </w:tr>
      <w:tr>
        <w:trPr>
          <w:trHeight w:val="34"/>
        </w:trPr>
        <w:tc>
          <w:tcPr>
            <w:tcW w:w="5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r>
      <w:tr>
        <w:trPr>
          <w:trHeight w:val="34"/>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0.3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cost</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Also as a result of the Acquisition, the Company sponsors a post-employment retiree health and welfare plan for the benefit of eligible employees at certain U.S. subsidiaries who retire after satisfying service and age requirements. Effective January 1, 2017, this Plan will cease directly providing medical, prescription drug and dental coverage options currently available to eligible participants. Instead, the Company will fund the plan through monthly contributions to a Health Reimbursement Arrangement, which can be used by non-Medicare eligible participants to purchase health care insurance through insurance exchanges. The net periodic post-retirement benefit cost for the three months ended June 30, 2016 and 2015 was $0.4 and $0.1, respectively, and was $0.8 and $0.1 for the six months ended June 30, 2016 and 2015, respectively. The pension benefit obligation as of the Acquisition Date was $6.3.</w:t>
      </w:r>
    </w:p>
    <w:p>
      <w:pPr>
        <w:spacing w:after="0" w:line="19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a result of the Acquisition, the Company sponsors two defined benefit pension plans for the benefit of its employees at two United Kingdom subsidiaries and one defined benefit pension plan for the benefit of its employees at a German subsidiary, all of which are legacy plans of previously acquired companies. Benefit amounts for all three plans are based upon years of service and compensation. The German plan is unfunded while the United Kingdom pension plans are funded. The Company’s funding policy has been to contribute annually a fixed percentage of the eligible employees' salary at least equal to the local statutory funding requirements.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5"/>
          </w:tcPr>
          <w:p>
            <w:pPr>
              <w:ind w:left="340"/>
              <w:spacing w:after="0"/>
              <w:rPr>
                <w:sz w:val="20"/>
                <w:szCs w:val="20"/>
                <w:color w:val="auto"/>
              </w:rPr>
            </w:pPr>
            <w:r>
              <w:rPr>
                <w:rFonts w:ascii="Arial" w:cs="Arial" w:eastAsia="Arial" w:hAnsi="Arial"/>
                <w:sz w:val="18"/>
                <w:szCs w:val="18"/>
                <w:color w:val="auto"/>
              </w:rPr>
              <w:t>United Kingdom Plans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4"/>
        </w:trPr>
        <w:tc>
          <w:tcPr>
            <w:tcW w:w="542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43"/>
        </w:trPr>
        <w:tc>
          <w:tcPr>
            <w:tcW w:w="5420" w:type="dxa"/>
            <w:vAlign w:val="bottom"/>
          </w:tcPr>
          <w:p>
            <w:pPr>
              <w:spacing w:after="0"/>
              <w:rPr>
                <w:sz w:val="21"/>
                <w:szCs w:val="21"/>
                <w:color w:val="auto"/>
              </w:rPr>
            </w:pPr>
          </w:p>
        </w:tc>
        <w:tc>
          <w:tcPr>
            <w:tcW w:w="3060" w:type="dxa"/>
            <w:vAlign w:val="bottom"/>
            <w:gridSpan w:val="6"/>
          </w:tcPr>
          <w:p>
            <w:pPr>
              <w:ind w:left="40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1"/>
                <w:szCs w:val="21"/>
                <w:color w:val="auto"/>
              </w:rPr>
            </w:pPr>
          </w:p>
        </w:tc>
        <w:tc>
          <w:tcPr>
            <w:tcW w:w="2640" w:type="dxa"/>
            <w:vAlign w:val="bottom"/>
            <w:gridSpan w:val="4"/>
          </w:tcPr>
          <w:p>
            <w:pPr>
              <w:jc w:val="right"/>
              <w:ind w:right="370"/>
              <w:spacing w:after="0"/>
              <w:rPr>
                <w:sz w:val="20"/>
                <w:szCs w:val="20"/>
                <w:color w:val="auto"/>
              </w:rPr>
            </w:pPr>
            <w:r>
              <w:rPr>
                <w:rFonts w:ascii="Arial" w:cs="Arial" w:eastAsia="Arial" w:hAnsi="Arial"/>
                <w:sz w:val="18"/>
                <w:szCs w:val="18"/>
                <w:color w:val="auto"/>
                <w:w w:val="98"/>
              </w:rPr>
              <w:t>Six Months Ended June 30,</w:t>
            </w:r>
          </w:p>
        </w:tc>
      </w:tr>
      <w:tr>
        <w:trPr>
          <w:trHeight w:val="34"/>
        </w:trPr>
        <w:tc>
          <w:tcPr>
            <w:tcW w:w="5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2015</w:t>
            </w:r>
          </w:p>
        </w:tc>
      </w:tr>
      <w:tr>
        <w:trPr>
          <w:trHeight w:val="34"/>
        </w:trPr>
        <w:tc>
          <w:tcPr>
            <w:tcW w:w="5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92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97"/>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Defined benefit plan costs</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r>
      <w:tr>
        <w:trPr>
          <w:trHeight w:val="257"/>
        </w:trPr>
        <w:tc>
          <w:tcPr>
            <w:tcW w:w="5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Assumptions used to determine defined benefit plan cost</w:t>
            </w: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Salary increases</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567"/>
        </w:trPr>
        <w:tc>
          <w:tcPr>
            <w:tcW w:w="5420" w:type="dxa"/>
            <w:vAlign w:val="bottom"/>
          </w:tcPr>
          <w:p>
            <w:pPr>
              <w:spacing w:after="0"/>
              <w:rPr>
                <w:sz w:val="24"/>
                <w:szCs w:val="24"/>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German Plan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4"/>
        </w:trPr>
        <w:tc>
          <w:tcPr>
            <w:tcW w:w="542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43"/>
        </w:trPr>
        <w:tc>
          <w:tcPr>
            <w:tcW w:w="5420" w:type="dxa"/>
            <w:vAlign w:val="bottom"/>
          </w:tcPr>
          <w:p>
            <w:pPr>
              <w:spacing w:after="0"/>
              <w:rPr>
                <w:sz w:val="21"/>
                <w:szCs w:val="21"/>
                <w:color w:val="auto"/>
              </w:rPr>
            </w:pPr>
          </w:p>
        </w:tc>
        <w:tc>
          <w:tcPr>
            <w:tcW w:w="3060" w:type="dxa"/>
            <w:vAlign w:val="bottom"/>
            <w:gridSpan w:val="6"/>
          </w:tcPr>
          <w:p>
            <w:pPr>
              <w:ind w:left="400"/>
              <w:spacing w:after="0"/>
              <w:rPr>
                <w:sz w:val="20"/>
                <w:szCs w:val="20"/>
                <w:color w:val="auto"/>
              </w:rPr>
            </w:pPr>
            <w:r>
              <w:rPr>
                <w:rFonts w:ascii="Arial" w:cs="Arial" w:eastAsia="Arial" w:hAnsi="Arial"/>
                <w:sz w:val="18"/>
                <w:szCs w:val="18"/>
                <w:color w:val="auto"/>
              </w:rPr>
              <w:t>Three Months Ended June 30,</w:t>
            </w:r>
          </w:p>
        </w:tc>
        <w:tc>
          <w:tcPr>
            <w:tcW w:w="460" w:type="dxa"/>
            <w:vAlign w:val="bottom"/>
          </w:tcPr>
          <w:p>
            <w:pPr>
              <w:spacing w:after="0"/>
              <w:rPr>
                <w:sz w:val="21"/>
                <w:szCs w:val="21"/>
                <w:color w:val="auto"/>
              </w:rPr>
            </w:pPr>
          </w:p>
        </w:tc>
        <w:tc>
          <w:tcPr>
            <w:tcW w:w="2480" w:type="dxa"/>
            <w:vAlign w:val="bottom"/>
            <w:gridSpan w:val="4"/>
          </w:tcPr>
          <w:p>
            <w:pPr>
              <w:jc w:val="right"/>
              <w:ind w:right="370"/>
              <w:spacing w:after="0"/>
              <w:rPr>
                <w:sz w:val="20"/>
                <w:szCs w:val="20"/>
                <w:color w:val="auto"/>
              </w:rPr>
            </w:pPr>
            <w:r>
              <w:rPr>
                <w:rFonts w:ascii="Arial" w:cs="Arial" w:eastAsia="Arial" w:hAnsi="Arial"/>
                <w:sz w:val="18"/>
                <w:szCs w:val="18"/>
                <w:color w:val="auto"/>
                <w:w w:val="90"/>
              </w:rPr>
              <w:t>Six Months Ended June 30,</w:t>
            </w:r>
          </w:p>
        </w:tc>
      </w:tr>
      <w:tr>
        <w:trPr>
          <w:trHeight w:val="34"/>
        </w:trPr>
        <w:tc>
          <w:tcPr>
            <w:tcW w:w="5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color w:val="auto"/>
                <w:w w:val="99"/>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2015</w:t>
            </w:r>
          </w:p>
        </w:tc>
      </w:tr>
      <w:tr>
        <w:trPr>
          <w:trHeight w:val="34"/>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90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97"/>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Defined benefit plan costs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0.6</w:t>
            </w:r>
          </w:p>
        </w:tc>
      </w:tr>
      <w:tr>
        <w:trPr>
          <w:trHeight w:val="257"/>
        </w:trPr>
        <w:tc>
          <w:tcPr>
            <w:tcW w:w="54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Assumptions used to determine defined benefit plan cost</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900" w:type="dxa"/>
            <w:vAlign w:val="bottom"/>
          </w:tcPr>
          <w:p>
            <w:pPr>
              <w:spacing w:after="0"/>
              <w:rPr>
                <w:sz w:val="21"/>
                <w:szCs w:val="21"/>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460" w:type="dxa"/>
            <w:vAlign w:val="bottom"/>
          </w:tcPr>
          <w:p>
            <w:pPr>
              <w:spacing w:after="0"/>
              <w:rPr>
                <w:sz w:val="21"/>
                <w:szCs w:val="21"/>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Salary increases</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population of financial assets and liabilities subject to fair value measurements as of June 30, 2016 and December 31, 2015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June 30, 2016</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as of</w:t>
            </w: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June 30, 2016</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2015</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as of</w:t>
            </w: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31, 2015</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firstLine="270"/>
        <w:spacing w:after="0" w:line="308" w:lineRule="auto"/>
        <w:rPr>
          <w:sz w:val="20"/>
          <w:szCs w:val="20"/>
          <w:color w:val="auto"/>
        </w:rPr>
      </w:pPr>
      <w:r>
        <w:rPr>
          <w:rFonts w:ascii="Arial" w:cs="Arial" w:eastAsia="Arial" w:hAnsi="Arial"/>
          <w:sz w:val="17"/>
          <w:szCs w:val="17"/>
          <w:color w:val="auto"/>
        </w:rPr>
        <w:t>The Company has a noncontrolling interest put related to its Ontario subsidiary that has been classified as mezzanine equity in the Company’s condensed consolidated balance sheet. The noncontrolling interest put is valued at its contractually determined value, which approximates fair value.</w:t>
      </w:r>
    </w:p>
    <w:p>
      <w:pPr>
        <w:spacing w:after="0" w:line="52"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offers certain employees the opportunity to participate in a deferred compensation plan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these policies are based upon earnings and changes in the value of the underlying investments, which are typically invested in a manner similar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83"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$156.6 and $177.1 as of June 30, 2016 and December 31, 2015, respectively. The fair market value of all of the senior notes, based on market pricing, was approximately $6,127.4 and $6,070.5 as of June 30, 2016 and December 31, 2015, respectively. The Company's note and debt instruments are classified as Level 2 instruments, as the fair market values of these instruments are determined using other observable inputs.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ACTIVITIES</w:t>
      </w:r>
    </w:p>
    <w:p>
      <w:pPr>
        <w:spacing w:after="0" w:line="22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addresses its exposure to market risks, principally the market risk associated with changes in interest rates and foreign exchange rates, through a controlled program of risk management that includes, from time to time, the use of derivative financial instruments such as interest rate swap agreements (see Interest Rate Swap section below) and forward contracts. Although the Company’s zero-coupon subordinated notes contain features that are considered to be embedded derivative instruments (see Embedded Derivatives Related to the Zero-Coupon Subordinated Notes section below), the Company does not hold or issue derivative financial instruments for trading purposes. The Company does not believe that its exposure to market risk is material to the Company’s financial position or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1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These interest rate swaps are included in other long term assets and added to the value of the senior notes, with an aggregate fair value of $39.3 and $21.6 at June 30, 2016 and December 31, 2015, respectively.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 Related to the Zero-Coupon Subordinated Notes</w:t>
      </w:r>
    </w:p>
    <w:p>
      <w:pPr>
        <w:spacing w:after="0" w:line="13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76" w:lineRule="exact"/>
        <w:rPr>
          <w:sz w:val="20"/>
          <w:szCs w:val="20"/>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Standard &amp; Poor’s Ratings Services is BB- or lower.</w:t>
      </w:r>
    </w:p>
    <w:p>
      <w:pPr>
        <w:spacing w:after="0" w:line="76"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The Company believes these embedded derivatives had no fair value at June 30, 2016 and December 31, 2015. These embedded derivatives also had no impact on the condensed consolidated statements of operations for the six months ended June 30, 2016 and 2015,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Instruments</w:t>
      </w:r>
    </w:p>
    <w:p>
      <w:pPr>
        <w:spacing w:after="0" w:line="13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June 30, 2016 and December 31,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13. SUPPLEMENTAL CASH FLOW INFORMATION</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080" w:type="dxa"/>
            <w:vAlign w:val="bottom"/>
            <w:gridSpan w:val="5"/>
          </w:tcPr>
          <w:p>
            <w:pPr>
              <w:jc w:val="right"/>
              <w:ind w:right="450"/>
              <w:spacing w:after="0"/>
              <w:rPr>
                <w:sz w:val="20"/>
                <w:szCs w:val="20"/>
                <w:color w:val="auto"/>
              </w:rPr>
            </w:pPr>
            <w:r>
              <w:rPr>
                <w:rFonts w:ascii="Arial" w:cs="Arial" w:eastAsia="Arial" w:hAnsi="Arial"/>
                <w:sz w:val="18"/>
                <w:szCs w:val="18"/>
                <w:color w:val="auto"/>
              </w:rPr>
              <w:t>Six Months Ended June 30,</w:t>
            </w:r>
          </w:p>
        </w:tc>
      </w:tr>
      <w:tr>
        <w:trPr>
          <w:trHeight w:val="34"/>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4"/>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Cash paid during period for:</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Disclosure of non-cash financing and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Surrender of restricted stock awards and performance awards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stock consideration for the Acquisition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Conversion of zero-coupon convertible debt</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acquired under capital leases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Increase (decrease) in accrued liabilities for the purchase of property, plant and equipment</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 INFORMATION</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following table is a summary of segment information for the three months ended June 30, 2016 and 2015.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94"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In connection with the Acquisition, the Company changed its operating segments to align with how the CODM evaluates financial information used to allocate resources and assess performance of the Company post-Acquisition. As a result, the segment information presented in these financial statements has been conformed to present segments on this revised basis for all prior periods. Under the new organizational structure, the CODM manages the Company under two segments: LCD and CDD. LCD includes all of the legacy LabCorp business and the nutritional chemistry and food safety business, which was previously part of Covance but excludes LabCorp's legacy clinical trials testing business, which is now part of CDD. CDD includes all of Covance's legacy business and LabCorp's legacy clinical trials testing business, but excludes the nutritional chemistry and food safety business, which is now part of LCD.</w:t>
      </w:r>
    </w:p>
    <w:p>
      <w:pPr>
        <w:spacing w:after="0" w:line="7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Operating earnings (loss) of each segment represents net revenues less directly identifiable expenses to arrive at operating income for the segment. General management and administrative corporate expenses are included in general corporate expenses below. The table below represents information about the Company’s reporting segments for the three and six months ended June 30, 2016 and 2015:</w:t>
      </w: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tcPr>
          <w:p>
            <w:pPr>
              <w:ind w:left="1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1900" w:type="dxa"/>
            <w:vAlign w:val="bottom"/>
            <w:gridSpan w:val="4"/>
          </w:tcPr>
          <w:p>
            <w:pPr>
              <w:jc w:val="right"/>
              <w:ind w:right="2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4"/>
              </w:rPr>
              <w:t>2015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4"/>
              </w:rPr>
              <w:t>2015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LCD - net revenue</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1,659.7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6"/>
              </w:rPr>
              <w:t>1,575.0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3,250.3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6"/>
              </w:rPr>
              <w:t>3,047.0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 - net revenue</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Intercompany eliminations</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2,218.7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3,991.0</w:t>
            </w: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LCD</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Unallocated corporate expenses</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Less income attributable to noncontrolling interests</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income attributable to Laboratory Corporation of America Holdings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and in the Company’s other public filings, press releases and discussions with Company management, including:</w:t>
      </w:r>
    </w:p>
    <w:p>
      <w:pPr>
        <w:spacing w:after="0" w:line="206" w:lineRule="exact"/>
        <w:rPr>
          <w:sz w:val="20"/>
          <w:szCs w:val="20"/>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U.S., state, local and third party payer regulations or policies or other future reforms in the healthcare system (or in the interpretation of current regulations), new insurance or payment systems, including state, regional or private insurance cooperatives (e.g., Health Insurance Exchanges), affecting governmental and third-party coverage or reimbursement for clinical laboratory testing;</w:t>
      </w:r>
    </w:p>
    <w:p>
      <w:pPr>
        <w:spacing w:after="0" w:line="7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monetary damages, fines, penalties, assessments, refunds, repayments, unanticipated compliance expenditures and/or exclusion from the Medicare and Medicaid programs, among other adverse consequences, resulting from interpretations of, or future changes in, laws and regulations, including laws and regulations of Medicare, Medicaid, the federal and state False Claims Acts, interpretations of such laws and regulations by U.S. or state government agencies or investigations, audits, regulatory examinations, information requests and other inquiries by state or U.S. government agencies;</w:t>
      </w:r>
    </w:p>
    <w:p>
      <w:pPr>
        <w:spacing w:after="0" w:line="8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fines, penalties, costs, unanticipated compliance expenditures and/or damage to the Company’s reputation arising from the failure to comply with U.S. and international privacy and security laws and regulations, including the Health Insurance Portability and Accountability Act of 1996, Health Information Technology for Economic and Clinical Health Act, U.S. state laws and regulations, and laws and regulations of the European Union and other countries;</w:t>
      </w:r>
    </w:p>
    <w:p>
      <w:pPr>
        <w:spacing w:after="0" w:line="7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or suspension of a license or imposition of a fine or penalties under, or future changes in, or interpretations of, the law or regulations of the Clinical Laboratory Improvement Act of 1967, and the Clinical Laboratory Improvement Amendments of 1988;</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the U.S. Occupational Safety and Health Administration requirements and the U.S. Needlestick Safety and Prevention Act, or similar laws and regulations of U.S., state, local or international agencies;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injunctions, or criminal prosecution arising from failure to maintain compliance with current good manufacturing practice (cGMP) regulations and other applicable requirements of various regulatory agencies;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or policies, including regulations and policies of the Food and Drug Administration, the U.S. Department of Agriculture or other U.S., state, local or international agencies, affecting the approval, availability of, and the selling and marketing of tests, products, drugs, or the conduct of drug development trials;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pertaining to the pharmaceutical and biotechnology industries, changes in reimbursement of pharmaceutical products or reduced spending on research and development by pharmaceutical and biotechnology customers;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that result from the inability to comply with corporate governance requirements;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competitive bidding and/or changes or reductions to fee schedules and competition from companies that do not comply with existing laws or regulations or otherwise disregard compliance standards in the industry;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jc w:val="both"/>
        <w:ind w:left="660" w:hanging="652"/>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payer mix or payment structure, including insurance carrier participation in Health Insurance Exchanges, an increase in capitated reimbursement mechanisms, the impact of a shift to consumer-driven health plans or plans carrying increased level of member cost-sharing, and adverse changes in payer reimbursement or payer coverage policies (implemented directly or through a third party) related to specific diagnostic tests, categories of testing or testing methodologies;</w:t>
      </w:r>
    </w:p>
    <w:p>
      <w:pPr>
        <w:spacing w:after="0" w:line="7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retain or attract managed care organization (MCO) business as a result of changes in business models, including new risk based or network approaches, or other changes in strategy or business models by MCOs;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obtain and retain new customers, an unfavorable change in the mix of testing services ordered, or a reduction in tests ordered, specimens submitted or services requested by existing customers;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consolidation and convergence of MCOs, pharmaceutical companies, health systems, large physician organizations and other customers potentially causing material shifts in insourcing, utilization, pricing and reimbursements, including full and partial risk based models;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effectively develop and deploy system modifications or enhancements required in response to evolving market and business needs;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newly acquired businesses;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and impact on the Company's cash position, levels of indebtedness and stock price;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of the Company to avoid adverse tax treatments relating to the Acquisition;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liability arising from errors or omissions in the performance of contract research services or other contractual arrangements;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or disruption in services or supplies provided by third parties, including transportation;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or other harm from acts of animal rights extremists or potential harm and/or liability arising from animal research activities or the provision of animal research products;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and mobile health technologies, or potential use of new technologies by customers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and maintain adequate patent and other proprietary rights for protection of the Company's products and services and successfully enforce the Company's proprietary rights;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 or other impact on the business due to adverse weather (including hurricanes), fires and/or other natural disasters, acts of war, terrorism or other criminal acts, and/or widespread outbreak of influenza or other pandemic illness;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7"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failure in the Company's information technology systems, including with respect to testing turnaround time and billing processes, or the failure to maintain the security of business information or systems or to protect against cyber security attacks,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deadlines, or the failure to meet future regulatory or customer information technology, data security and connectivity requirements;</w:t>
      </w:r>
    </w:p>
    <w:p>
      <w:pPr>
        <w:spacing w:after="0" w:line="131" w:lineRule="exact"/>
        <w:rPr>
          <w:sz w:val="20"/>
          <w:szCs w:val="20"/>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and/or bad debt expense levels including negative impact on the Company's reimbursement, cash collections and profitability arising from unfavorable changes in third party payer policies in connection with the implementation of the ICD-10-CM Code Set which was effective October 1, 2015;</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on the Company's revenue, cash collections and the availability of credit for general liquidity or other financing needs arising from a significant deterioration in the economy or financial markets or in the Company's credit ratings by S&amp;P and/or Moody's;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obtain certain billing information from physicians, resulting in increased costs and complexity, a temporary disruption in cash receipts and ongoing reductions in reimbursements and net revenues;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Foreign Corrupt Practices Act, the U.K. Bribery Act, and laws and regulations that differ from those of the U.S., and economic, political, legal and other operational risks associated with foreign markets;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the Company's comprehensive, enterprise-wide business process improvement initiative; and</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economic conditions and regulatory changes leading up to and following the United Kingdom’s announced intention to exit from the European Union.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(dollars in millions, except per share data)</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revenue for the three and six months ended June 30, 2016 increased 7.4% and 17.2% as compared to the prior year. The increase for the three months ended June 30, 2016 was primarily due to organic volume growth in both segments as well as tuck-in acquisitions in the clinical laboratory business, partially offset by currency.</w:t>
      </w:r>
    </w:p>
    <w:p>
      <w:pPr>
        <w:spacing w:after="0" w:line="87"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In connection with the Acquisition, the Company changed its operating segments to align with how the chief operating decision maker (CODM) evaluates financial information used to allocate resources and assess performance of the Company post-Acquisition. As a result, the segment information presented in these financial statements has been conformed to present segments on this revised basis for all prior periods. Under the new organizational structure, the CODM manages the Company under two reportable segments: LabCorp Diagnostics (LCD) and Covance Drug Development (CDD). LCD includes all of the Company's legacy LabCorp business, and the Company's nutritional chemistry and food safety business, which was previously part of Covance, but excludes LabCorp’s legacy clinical trials testing business, which is now part of CDD. CDD includes all of Covance’s legacy business, and LabCorp’s legacy clinical trials testing business, but excludes the nutritional chemistry and food safety business, which is now part of LCD.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(amounts in millions)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with three months ended June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4"/>
        </w:trPr>
        <w:tc>
          <w:tcPr>
            <w:tcW w:w="6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LCD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1,659.7</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1,575.0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CDD</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Intercompany eliminations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2,382.0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2,218.7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6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net revenue for the three months ended June 30, 2016 as compared with the corresponding period in 2015 was due to organic volume growth and tuck-in acquisitions, partially offset by currency.</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LCD net revenue for the second quarter was $1,659.7, an increase of 5.4% over revenue of $1,575.0 in the second quarter of 2015. The increase in net revenue was driven by growth in volume, measured by requisitions, of 1.2%. Price and mix accounted</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for an additional 2.5% of the growth. Beacon LBS, the Company's technology-enabled solution providing point-of-care decision support, contributed 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revenue was unfavorably impacted by (0.3%) of currency. In addition, tuck-in acquisitions added 1.9% to net revenue.</w:t>
      </w:r>
    </w:p>
    <w:p>
      <w:pPr>
        <w:spacing w:after="0" w:line="11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net revenue for the second quarter was $722.4, an increase of 12.2% over revenue of $643.7 in the second quarter of 2015. The increase in revenue is primarily due to broad-based revenue growth, partially offset by the impact of the expiration on October 31, 2015 of a minimum volume service contract and a negative currency impact of 0.7%</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Net Cost of Revenues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gridSpan w:val="5"/>
          </w:tcPr>
          <w:p>
            <w:pPr>
              <w:ind w:left="340"/>
              <w:spacing w:after="0"/>
              <w:rPr>
                <w:sz w:val="20"/>
                <w:szCs w:val="20"/>
                <w:color w:val="auto"/>
              </w:rPr>
            </w:pPr>
            <w:r>
              <w:rPr>
                <w:rFonts w:ascii="Arial" w:cs="Arial" w:eastAsia="Arial" w:hAnsi="Arial"/>
                <w:sz w:val="18"/>
                <w:szCs w:val="18"/>
                <w:color w:val="auto"/>
              </w:rPr>
              <w:t>Three Months Ended June 30,</w:t>
            </w:r>
          </w:p>
        </w:tc>
        <w:tc>
          <w:tcPr>
            <w:tcW w:w="15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1,555.2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Cost of revenues as a % of net revenue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Net cost of revenues increased 7.6% during the three months ended June 30, 2016 as compared with the corresponding period in 2015. Net cost of revenues as a percentage of net revenues increased slightly from 65.2% in 2015 to 65.3% in 2016. The increase in net cost of revenues is primarily due to higher personnel costs as a percentage of revenue within the CDD segment offset by a net decrease of 0.4% due to currency fluctuations on a consolidated basis.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2980" w:type="dxa"/>
            <w:vAlign w:val="bottom"/>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5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 as a % of net revenue</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Selling, general and administrative expenses as a percentage of net revenue decreased to 17.1% during the three months ended June 30, 2016 as compared to 17.6% during the corresponding period in 2015.</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June 30, 2016, the Company incurred additional legal and other costs of $1.1 relating to the wind down of its minimum volume service contract operations. The Company also recorded $4.0 in consulting expenses relating to fees incurred as part of its Acquisition integration costs and compensation analysis, along with $0.5 in short-term equity retention arrangements relating to the Acquisition and $0.4 of accelerated equity compensation relating to the announced retirement of a Company executive (all recorded in selling, general and administrative expenses). In addition, the Company incurred $1.9 of non-capitalized costs associated with the implementation of a major system as part of its LaunchPad business process improvement initiative.</w:t>
      </w:r>
    </w:p>
    <w:p>
      <w:pPr>
        <w:spacing w:after="0" w:line="9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three months ended June 30, 2015, the Company recorded $5.9 in consulting expenses (recorded in selling, general and administrative) relating to fees incurred as part of LaunchPad as well as Acquisition integration costs. In addition, the Company recorded $2.9 in short-term equity retention arrangements relating to the Acquisition.</w:t>
      </w:r>
    </w:p>
    <w:p>
      <w:pPr>
        <w:spacing w:after="0" w:line="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Excluding these charges, selling, general and administrative expenses as a percentage of net revenues were 16.8% and 17.2% during the three months ended June 30, 2016 and 2015, respectively.</w:t>
      </w:r>
    </w:p>
    <w:p>
      <w:pPr>
        <w:spacing w:after="0" w:line="7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decrease in selling, general and administrative expenses as a percentage of net revenue, excluding these charges, is primarily due to the Acquisition, which carries lower personnel costs in selling, general and administrative expenses as a percentage of revenue, and the impact of LaunchPad. The decrease in selling, general and administrative expenses as a percentage of revenue was also impacted by a net decrease of 0.1% due to currency fluctuations on a consolidated basis. Bad debt expense for LCD was 4.4% of net revenue for that segment during the three months ended June 30, 2016 as compared to 4.3% during the corresponding period in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298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 June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CDD</w:t>
            </w: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3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amortization of intangibles and other assets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3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increase in amortization of intangibles and other assets primarily reflects the impact of tuck-in acquisitions.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55"/>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5"/>
          </w:tcPr>
          <w:p>
            <w:pPr>
              <w:ind w:left="280"/>
              <w:spacing w:after="0"/>
              <w:rPr>
                <w:sz w:val="20"/>
                <w:szCs w:val="20"/>
                <w:color w:val="auto"/>
              </w:rPr>
            </w:pPr>
            <w:r>
              <w:rPr>
                <w:rFonts w:ascii="Arial" w:cs="Arial" w:eastAsia="Arial" w:hAnsi="Arial"/>
                <w:sz w:val="18"/>
                <w:szCs w:val="18"/>
                <w:color w:val="auto"/>
              </w:rPr>
              <w:t>Three Months Ended June 30,</w:t>
            </w:r>
          </w:p>
        </w:tc>
        <w:tc>
          <w:tcPr>
            <w:tcW w:w="1600" w:type="dxa"/>
            <w:vAlign w:val="bottom"/>
          </w:tcPr>
          <w:p>
            <w:pPr>
              <w:spacing w:after="0"/>
              <w:rPr>
                <w:sz w:val="24"/>
                <w:szCs w:val="24"/>
                <w:color w:val="auto"/>
              </w:rPr>
            </w:pPr>
          </w:p>
        </w:tc>
      </w:tr>
      <w:tr>
        <w:trPr>
          <w:trHeight w:val="34"/>
        </w:trPr>
        <w:tc>
          <w:tcPr>
            <w:tcW w:w="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ind w:left="28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5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7"/>
        </w:trPr>
        <w:tc>
          <w:tcPr>
            <w:tcW w:w="5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During the three months ended June 30, 2016, the Company recorded net restructuring and other special charges of $6.6; ($0.6) within LCD and $7.2 within CDD. The charges were comprised of $4.5 related to severance and other personnel costs along with $4.6 in costs associated with facility closures. A substantial portion of these costs relate to the planned closure of duplicative data center operations. The Company reversed previously established reserves of $2.2 in unused facility-related costs and $0.3 in unused severance reserves primarily as the result of selling one of CDD's minimum volume service contract facilities to a third party.</w:t>
      </w:r>
    </w:p>
    <w:p>
      <w:pPr>
        <w:spacing w:after="0" w:line="94"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During the three months ended June 30, 2015, the Company recorded net restructuring and other special charges of $14.3, $9.3 within LCD and $5.0 within CDD. The charges were comprised of $6.3 related to severance and other personnel costs along with $8.6 in costs associated with facility closures and general integration initiatives. These charges were offset by the reversal of previously established reserves of $0.6 in unused facility-related costs.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4"/>
          </w:tcPr>
          <w:p>
            <w:pPr>
              <w:ind w:left="300"/>
              <w:spacing w:after="0"/>
              <w:rPr>
                <w:sz w:val="20"/>
                <w:szCs w:val="20"/>
                <w:color w:val="auto"/>
              </w:rPr>
            </w:pPr>
            <w:r>
              <w:rPr>
                <w:rFonts w:ascii="Arial" w:cs="Arial" w:eastAsia="Arial" w:hAnsi="Arial"/>
                <w:sz w:val="18"/>
                <w:szCs w:val="18"/>
                <w:color w:val="auto"/>
              </w:rPr>
              <w:t>Three Months Ended June 30,</w:t>
            </w:r>
          </w:p>
        </w:tc>
        <w:tc>
          <w:tcPr>
            <w:tcW w:w="160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128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128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decrease in interest expense for the three months ended June 30, 2016 as compared with the corresponding period in 2015 is primarily due to the repayment of the 3.125% senior notes in May 2016 and the reduction of the term loan balance.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 net</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212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5"/>
          </w:tcPr>
          <w:p>
            <w:pPr>
              <w:ind w:left="300"/>
              <w:spacing w:after="0"/>
              <w:rPr>
                <w:sz w:val="20"/>
                <w:szCs w:val="20"/>
                <w:color w:val="auto"/>
              </w:rPr>
            </w:pPr>
            <w:r>
              <w:rPr>
                <w:rFonts w:ascii="Arial" w:cs="Arial" w:eastAsia="Arial" w:hAnsi="Arial"/>
                <w:sz w:val="18"/>
                <w:szCs w:val="18"/>
                <w:color w:val="auto"/>
              </w:rPr>
              <w:t>Three Months Ended June 30,</w:t>
            </w:r>
          </w:p>
        </w:tc>
        <w:tc>
          <w:tcPr>
            <w:tcW w:w="1600" w:type="dxa"/>
            <w:vAlign w:val="bottom"/>
          </w:tcPr>
          <w:p>
            <w:pPr>
              <w:spacing w:after="0"/>
              <w:rPr>
                <w:sz w:val="24"/>
                <w:szCs w:val="24"/>
                <w:color w:val="auto"/>
              </w:rPr>
            </w:pPr>
          </w:p>
        </w:tc>
      </w:tr>
      <w:tr>
        <w:trPr>
          <w:trHeight w:val="34"/>
        </w:trPr>
        <w:tc>
          <w:tcPr>
            <w:tcW w:w="2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1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21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2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All of these partnerships and investments reside within LCD. The decrease in income in 2016 was primarily due to liquidation of the Company's interest in one of the partnerships effective June 30,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jc w:val="center"/>
              <w:ind w:right="5460"/>
              <w:spacing w:after="0"/>
              <w:rPr>
                <w:sz w:val="20"/>
                <w:szCs w:val="20"/>
                <w:color w:val="auto"/>
              </w:rPr>
            </w:pPr>
            <w:r>
              <w:rPr>
                <w:rFonts w:ascii="Arial" w:cs="Arial" w:eastAsia="Arial" w:hAnsi="Arial"/>
                <w:sz w:val="18"/>
                <w:szCs w:val="18"/>
                <w:b w:val="1"/>
                <w:bCs w:val="1"/>
                <w:color w:val="auto"/>
                <w:w w:val="91"/>
              </w:rPr>
              <w:t>Other, net</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5"/>
          </w:tcPr>
          <w:p>
            <w:pPr>
              <w:ind w:left="300"/>
              <w:spacing w:after="0"/>
              <w:rPr>
                <w:sz w:val="20"/>
                <w:szCs w:val="20"/>
                <w:color w:val="auto"/>
              </w:rPr>
            </w:pPr>
            <w:r>
              <w:rPr>
                <w:rFonts w:ascii="Arial" w:cs="Arial" w:eastAsia="Arial" w:hAnsi="Arial"/>
                <w:sz w:val="18"/>
                <w:szCs w:val="18"/>
                <w:color w:val="auto"/>
              </w:rPr>
              <w:t>Three Months Ended June 30,</w:t>
            </w:r>
          </w:p>
        </w:tc>
        <w:tc>
          <w:tcPr>
            <w:tcW w:w="156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ind w:left="28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7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jc w:val="center"/>
              <w:ind w:right="5460"/>
              <w:spacing w:after="0"/>
              <w:rPr>
                <w:sz w:val="20"/>
                <w:szCs w:val="20"/>
                <w:color w:val="auto"/>
              </w:rPr>
            </w:pPr>
            <w:r>
              <w:rPr>
                <w:rFonts w:ascii="Arial" w:cs="Arial" w:eastAsia="Arial" w:hAnsi="Arial"/>
                <w:sz w:val="18"/>
                <w:szCs w:val="18"/>
                <w:color w:val="auto"/>
                <w:w w:val="87"/>
              </w:rPr>
              <w:t>Other,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78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net for the three months ended June 30, 2016, primarily represents net realized foreign currency translation losses.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304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 June 30,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earnings before income taxes</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7"/>
              </w:rPr>
              <w:t>36.1%</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The Company's 2016 tax rate for the three months ended June 30 increased over the 2015 rate due to U.S. pre-tax income being a higher percentage of total pre-tax income, year over year. The Company considers substantially all of its foreign earnings to be permanently reinvested overseas.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08"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2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696"/>
        </w:trPr>
        <w:tc>
          <w:tcPr>
            <w:tcW w:w="624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0"/>
              </w:rPr>
              <w:t>Six months ended June 30, 2016 compared with six months ended June 30, 2015</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2"/>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Net Revenue</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260" w:type="dxa"/>
            <w:vAlign w:val="bottom"/>
          </w:tcPr>
          <w:p>
            <w:pPr>
              <w:spacing w:after="0"/>
              <w:rPr>
                <w:sz w:val="24"/>
                <w:szCs w:val="24"/>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Six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
        </w:trPr>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gridSpan w:val="3"/>
          </w:tcPr>
          <w:p>
            <w:pPr>
              <w:ind w:left="180"/>
              <w:spacing w:after="0"/>
              <w:rPr>
                <w:sz w:val="20"/>
                <w:szCs w:val="20"/>
                <w:color w:val="auto"/>
              </w:rPr>
            </w:pPr>
            <w:r>
              <w:rPr>
                <w:rFonts w:ascii="Arial" w:cs="Arial" w:eastAsia="Arial" w:hAnsi="Arial"/>
                <w:sz w:val="18"/>
                <w:szCs w:val="18"/>
                <w:color w:val="auto"/>
              </w:rPr>
              <w:t>LCD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3,250.3</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3,047.0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CDD</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1,427.1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43"/>
        </w:trPr>
        <w:tc>
          <w:tcPr>
            <w:tcW w:w="6240" w:type="dxa"/>
            <w:vAlign w:val="bottom"/>
            <w:gridSpan w:val="3"/>
          </w:tcPr>
          <w:p>
            <w:pPr>
              <w:ind w:left="180"/>
              <w:spacing w:after="0"/>
              <w:rPr>
                <w:sz w:val="20"/>
                <w:szCs w:val="20"/>
                <w:color w:val="auto"/>
              </w:rPr>
            </w:pPr>
            <w:r>
              <w:rPr>
                <w:rFonts w:ascii="Arial" w:cs="Arial" w:eastAsia="Arial" w:hAnsi="Arial"/>
                <w:sz w:val="18"/>
                <w:szCs w:val="18"/>
                <w:color w:val="auto"/>
              </w:rPr>
              <w:t>Intercompany eliminations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4,677.2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3,991.0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net revenue for the six months ended June 30, 2016 as compared with the corresponding period in 2015 was due to the Acquisition along with organic volume growth, price and mix in LCD, partially offset by currency.</w:t>
      </w:r>
    </w:p>
    <w:p>
      <w:pPr>
        <w:spacing w:after="0" w:line="76"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LCD net revenue for the six months ended June 30, 2016 was $3,250.3 an increase of 6.7% over revenue of $3,047.0 in the six months ended June 30, 2015. The increase in net revenue was driven by growth in volume, measured by requisitions, of 2.2%. Price and mix accounted for an additional 2.3% of the growth. Beacon LBS, the Company's technology-enabled solution providing point-of-care decision support, contributed 0.6%. The increase in net revenue was unfavorably impacted by (0.4%) of currency. In addition, tuck-in acquisitions added 2.0% to net revenue.</w:t>
      </w:r>
    </w:p>
    <w:p>
      <w:pPr>
        <w:spacing w:after="0" w:line="77" w:lineRule="exact"/>
        <w:rPr>
          <w:sz w:val="20"/>
          <w:szCs w:val="20"/>
          <w:color w:val="auto"/>
        </w:rPr>
      </w:pPr>
    </w:p>
    <w:p>
      <w:pPr>
        <w:jc w:val="both"/>
        <w:ind w:right="20" w:firstLine="270"/>
        <w:spacing w:after="0" w:line="279" w:lineRule="auto"/>
        <w:rPr>
          <w:sz w:val="20"/>
          <w:szCs w:val="20"/>
          <w:color w:val="auto"/>
        </w:rPr>
      </w:pPr>
      <w:r>
        <w:rPr>
          <w:rFonts w:ascii="Arial" w:cs="Arial" w:eastAsia="Arial" w:hAnsi="Arial"/>
          <w:sz w:val="17"/>
          <w:szCs w:val="17"/>
          <w:color w:val="auto"/>
        </w:rPr>
        <w:t>CDD net revenue for the six months ended June 30, 2016 was $1,427.1, an increase of 51.2% over revenue of $944.0 in the six months ended June 30, 2015. The increase in revenue is due to the inclusion of a full six months of Covance revenue for the period ended June 30, 2016 in comparison to the period from close of the Acquisition on February 19, 2015 through June 30, 2015, as well as broad-based demand. This increase was partially offset by the expiration on October 31, 2015 of a minimum volume service contract and an unfavorable currency impact of 1.0%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Net Cost of Revenues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gridSpan w:val="5"/>
          </w:tcPr>
          <w:p>
            <w:pPr>
              <w:ind w:left="460"/>
              <w:spacing w:after="0"/>
              <w:rPr>
                <w:sz w:val="20"/>
                <w:szCs w:val="20"/>
                <w:color w:val="auto"/>
              </w:rPr>
            </w:pPr>
            <w:r>
              <w:rPr>
                <w:rFonts w:ascii="Arial" w:cs="Arial" w:eastAsia="Arial" w:hAnsi="Arial"/>
                <w:sz w:val="18"/>
                <w:szCs w:val="18"/>
                <w:color w:val="auto"/>
              </w:rPr>
              <w:t>Six Months Ended June 30,</w:t>
            </w:r>
          </w:p>
        </w:tc>
        <w:tc>
          <w:tcPr>
            <w:tcW w:w="15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3,073.1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2,593.2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Cost of revenues as a % of net revenue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Net cost of revenues increased 18.5% during the six months ended June 30, 2016 as compared with the corresponding period in 2015 primarily due to the inclusion of CDD operations, which carry higher personnel costs as a percentage of revenue, for the entire first half of the year. The net cost of revenues was also impacted by a net decrease of 0.6% due to currency fluctuations on a consolidated basis.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980" w:type="dxa"/>
            <w:vAlign w:val="bottom"/>
            <w:gridSpan w:val="4"/>
          </w:tcPr>
          <w:p>
            <w:pPr>
              <w:jc w:val="right"/>
              <w:ind w:right="50"/>
              <w:spacing w:after="0"/>
              <w:rPr>
                <w:sz w:val="20"/>
                <w:szCs w:val="20"/>
                <w:color w:val="auto"/>
              </w:rPr>
            </w:pPr>
            <w:r>
              <w:rPr>
                <w:rFonts w:ascii="Arial" w:cs="Arial" w:eastAsia="Arial" w:hAnsi="Arial"/>
                <w:sz w:val="18"/>
                <w:szCs w:val="18"/>
                <w:color w:val="auto"/>
              </w:rPr>
              <w:t>Six Months Ended June 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35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819.9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832.8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 as a % of net revenue</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2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Selling, general and administrative expenses as a percentage of net revenue decreased to 17.5% during the six months ended June 30, 2016 as compared to 20.9% during the corresponding period in 2015.</w:t>
      </w:r>
    </w:p>
    <w:p>
      <w:pPr>
        <w:spacing w:after="0" w:line="7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six months ended June 30, 2016, the Company incurred additional legal and other costs of $2.7 relating to the wind down of its minimum volume service contract operations. The Company also recorded $5.7 in consulting expenses relating to fees incurred as part of its Acquisition integration costs and compensation analysis, along with $1.7 in short-term equity retention arrangements relating to the Acquisition and $4.5 of accelerated equity compensation relating to the announced retirement of a Company executive (all recorded in selling, general and administrative expenses). In addition, the Company incurred $3.4 of non-capitalized costs associated with the implementation of a major system as part of LaunchPad.</w:t>
      </w:r>
    </w:p>
    <w:p>
      <w:pPr>
        <w:spacing w:after="0" w:line="64"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During the six months ended June 30, 2015, the Company recorded $11.9 of consulting expenses relating to fees incurred as part of LaunchPad. The Company also recorded $82.4 for Covance employee equity awards, change in control payments and short-term retention arrangements that were accelerated or triggered by the Acquisition and advisor and legal fees of $33.9.</w:t>
      </w:r>
    </w:p>
    <w:p>
      <w:pPr>
        <w:spacing w:after="0" w:line="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Excluding these charges, selling, general and administrative expenses as a percentage of net revenues were 17.2% and 17.6% during the six months ended June 30, 2016 and 2015, respectively.</w:t>
      </w:r>
    </w:p>
    <w:p>
      <w:pPr>
        <w:sectPr>
          <w:pgSz w:w="11900" w:h="16838" w:orient="portrait"/>
          <w:cols w:equalWidth="0" w:num="1">
            <w:col w:w="11420"/>
          </w:cols>
          <w:pgMar w:left="240" w:top="108"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08"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decrease in selling, general and administrative expenses as a percentage of net revenue, excluding these charges, is primarily due to the Acquisition, which carries lower personnel costs in selling, general and administrative expenses as a percentage of revenue, and the impact of LaunchPad. The decrease in selling, general and administrative expenses as a percentage of revenue was also impacted by a net decrease of 0.1% due to currency fluctuations on a consolidated basis. Bad debt expense for LCD was 4.6% of net revenue for that segment during the six months ended June 30, 2016 as compared to 4.4% during the corresponding period in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2980" w:type="dxa"/>
            <w:vAlign w:val="bottom"/>
            <w:gridSpan w:val="4"/>
          </w:tcPr>
          <w:p>
            <w:pPr>
              <w:jc w:val="right"/>
              <w:ind w:right="90"/>
              <w:spacing w:after="0"/>
              <w:rPr>
                <w:sz w:val="20"/>
                <w:szCs w:val="20"/>
                <w:color w:val="auto"/>
              </w:rPr>
            </w:pPr>
            <w:r>
              <w:rPr>
                <w:rFonts w:ascii="Arial" w:cs="Arial" w:eastAsia="Arial" w:hAnsi="Arial"/>
                <w:sz w:val="18"/>
                <w:szCs w:val="18"/>
                <w:color w:val="auto"/>
              </w:rPr>
              <w:t>Six Months Ended June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CDD</w:t>
            </w: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3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amortization of intangibles and other assets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3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amortization of intangibles and other assets primarily reflects the impact of the Acquisition and tuck-in acquisitions. The decrease in amortization for CDD is due to currency fluctuations.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320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5"/>
          </w:tcPr>
          <w:p>
            <w:pPr>
              <w:ind w:left="400"/>
              <w:spacing w:after="0"/>
              <w:rPr>
                <w:sz w:val="20"/>
                <w:szCs w:val="20"/>
                <w:color w:val="auto"/>
              </w:rPr>
            </w:pPr>
            <w:r>
              <w:rPr>
                <w:rFonts w:ascii="Arial" w:cs="Arial" w:eastAsia="Arial" w:hAnsi="Arial"/>
                <w:sz w:val="18"/>
                <w:szCs w:val="18"/>
                <w:color w:val="auto"/>
              </w:rPr>
              <w:t>Six Months Ended June 30,</w:t>
            </w:r>
          </w:p>
        </w:tc>
        <w:tc>
          <w:tcPr>
            <w:tcW w:w="1600" w:type="dxa"/>
            <w:vAlign w:val="bottom"/>
          </w:tcPr>
          <w:p>
            <w:pPr>
              <w:spacing w:after="0"/>
              <w:rPr>
                <w:sz w:val="24"/>
                <w:szCs w:val="24"/>
                <w:color w:val="auto"/>
              </w:rPr>
            </w:pPr>
          </w:p>
        </w:tc>
      </w:tr>
      <w:tr>
        <w:trPr>
          <w:trHeight w:val="34"/>
        </w:trPr>
        <w:tc>
          <w:tcPr>
            <w:tcW w:w="32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32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320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During the first six months of 2016, the Company recorded net restructuring and other special charges of $25.8; $2.8 within LCD and $23.0 within CDD. The charges were comprised of $9.0 related to severance and other personnel costs along with $21.6 in costs associated with facility closures. A substantial portion of these costs relate to the planned closure of duplicative data center operations and other facilities. The Company reversed previously established reserves of $2.2 in unused facility-related costs and $2.6 in unused severance reserves primarily as the result of selling one of CDD's minimum volume service contract facilities to a third party. In conjunction with certain international legal entity tax structuring, the Company also recorded a one-time tax liability of $1.1.</w:t>
      </w:r>
    </w:p>
    <w:p>
      <w:pPr>
        <w:spacing w:after="0" w:line="22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the first six months of 2015, the Company recorded net restructuring and other special charges of $33.6. The charges were comprised of $9.5 related to severance and other personnel costs along with $24.7 in costs associated with facility closures and general integration initiatives. These charges were offset by the reversal of previously established reserves of $0.6 in unused facility-related costs.</w:t>
      </w:r>
    </w:p>
    <w:p>
      <w:pPr>
        <w:spacing w:after="0" w:line="20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addition, during the six months ended June 30, 2015, the Company recorded $11.9 in consulting expenses (recorded in selling, general and administrative expenses) relating to fees incurred as part of LaunchPad. The Company also recorded $166.0 of deal costs related to the Acquisition, of which $113.4 is included in selling, general and administrative expenses and $52.6 is included in interest expense.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5"/>
          </w:tcPr>
          <w:p>
            <w:pPr>
              <w:ind w:left="420"/>
              <w:spacing w:after="0"/>
              <w:rPr>
                <w:sz w:val="20"/>
                <w:szCs w:val="20"/>
                <w:color w:val="auto"/>
              </w:rPr>
            </w:pPr>
            <w:r>
              <w:rPr>
                <w:rFonts w:ascii="Arial" w:cs="Arial" w:eastAsia="Arial" w:hAnsi="Arial"/>
                <w:sz w:val="18"/>
                <w:szCs w:val="18"/>
                <w:color w:val="auto"/>
              </w:rPr>
              <w:t>Six Months Ended June 30,</w:t>
            </w:r>
          </w:p>
        </w:tc>
        <w:tc>
          <w:tcPr>
            <w:tcW w:w="160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128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128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decrease in interest expense for the six months ended June, 2016 as compared with corresponding period in 2015 is primarily due to the reduction of the term loan balance, the timing of Acquisition-related debt, Acquisition-related expenses including a $37.4 make-whole payment that was required in connection with the prepayment of the $250.0 Covance senior notes and $15.2 of deferred financing costs associated with the Company's previous credit agreement and the bridge financing facilities used to complete the Acquisition. In addition, the Company repaid the 3.125% senior notes in May 2016.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 net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212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5"/>
          </w:tcPr>
          <w:p>
            <w:pPr>
              <w:ind w:left="420"/>
              <w:spacing w:after="0"/>
              <w:rPr>
                <w:sz w:val="20"/>
                <w:szCs w:val="20"/>
                <w:color w:val="auto"/>
              </w:rPr>
            </w:pPr>
            <w:r>
              <w:rPr>
                <w:rFonts w:ascii="Arial" w:cs="Arial" w:eastAsia="Arial" w:hAnsi="Arial"/>
                <w:sz w:val="18"/>
                <w:szCs w:val="18"/>
                <w:color w:val="auto"/>
              </w:rPr>
              <w:t>Six Months Ended June 30,</w:t>
            </w:r>
          </w:p>
        </w:tc>
        <w:tc>
          <w:tcPr>
            <w:tcW w:w="1600" w:type="dxa"/>
            <w:vAlign w:val="bottom"/>
          </w:tcPr>
          <w:p>
            <w:pPr>
              <w:spacing w:after="0"/>
              <w:rPr>
                <w:sz w:val="24"/>
                <w:szCs w:val="24"/>
                <w:color w:val="auto"/>
              </w:rPr>
            </w:pPr>
          </w:p>
        </w:tc>
      </w:tr>
      <w:tr>
        <w:trPr>
          <w:trHeight w:val="34"/>
        </w:trPr>
        <w:tc>
          <w:tcPr>
            <w:tcW w:w="2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1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21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2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All of these partnerships reside within LCD. The decrease in income in 2016 was primarily due to liquidation of the Company's interest in one of the partnerships effective June 30,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jc w:val="center"/>
              <w:ind w:right="5420"/>
              <w:spacing w:after="0"/>
              <w:rPr>
                <w:sz w:val="20"/>
                <w:szCs w:val="20"/>
                <w:color w:val="auto"/>
              </w:rPr>
            </w:pPr>
            <w:r>
              <w:rPr>
                <w:rFonts w:ascii="Arial" w:cs="Arial" w:eastAsia="Arial" w:hAnsi="Arial"/>
                <w:sz w:val="18"/>
                <w:szCs w:val="18"/>
                <w:b w:val="1"/>
                <w:bCs w:val="1"/>
                <w:color w:val="auto"/>
                <w:w w:val="91"/>
              </w:rPr>
              <w:t>Other, net</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5"/>
          </w:tcPr>
          <w:p>
            <w:pPr>
              <w:ind w:left="420"/>
              <w:spacing w:after="0"/>
              <w:rPr>
                <w:sz w:val="20"/>
                <w:szCs w:val="20"/>
                <w:color w:val="auto"/>
              </w:rPr>
            </w:pPr>
            <w:r>
              <w:rPr>
                <w:rFonts w:ascii="Arial" w:cs="Arial" w:eastAsia="Arial" w:hAnsi="Arial"/>
                <w:sz w:val="18"/>
                <w:szCs w:val="18"/>
                <w:color w:val="auto"/>
              </w:rPr>
              <w:t>Six Months Ended June 30,</w:t>
            </w:r>
          </w:p>
        </w:tc>
        <w:tc>
          <w:tcPr>
            <w:tcW w:w="160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7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jc w:val="center"/>
              <w:ind w:right="5420"/>
              <w:spacing w:after="0"/>
              <w:rPr>
                <w:sz w:val="20"/>
                <w:szCs w:val="20"/>
                <w:color w:val="auto"/>
              </w:rPr>
            </w:pPr>
            <w:r>
              <w:rPr>
                <w:rFonts w:ascii="Arial" w:cs="Arial" w:eastAsia="Arial" w:hAnsi="Arial"/>
                <w:sz w:val="18"/>
                <w:szCs w:val="18"/>
                <w:color w:val="auto"/>
                <w:w w:val="87"/>
              </w:rPr>
              <w:t>Other,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r>
      <w:tr>
        <w:trPr>
          <w:trHeight w:val="27"/>
        </w:trPr>
        <w:tc>
          <w:tcPr>
            <w:tcW w:w="78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increase in other, net for the six months ended June 30, 2016, is primarily due to a net gain on the sale of investment securities from the Company's venture fund offset by net realized foreign currency translation losses.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3000" w:type="dxa"/>
            <w:vAlign w:val="bottom"/>
            <w:gridSpan w:val="4"/>
          </w:tcPr>
          <w:p>
            <w:pPr>
              <w:jc w:val="right"/>
              <w:ind w:right="50"/>
              <w:spacing w:after="0"/>
              <w:rPr>
                <w:sz w:val="20"/>
                <w:szCs w:val="20"/>
                <w:color w:val="auto"/>
              </w:rPr>
            </w:pPr>
            <w:r>
              <w:rPr>
                <w:rFonts w:ascii="Arial" w:cs="Arial" w:eastAsia="Arial" w:hAnsi="Arial"/>
                <w:sz w:val="18"/>
                <w:szCs w:val="18"/>
                <w:color w:val="auto"/>
              </w:rPr>
              <w:t>Six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earnings before tax</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tax rate for the six months ended June 30, 2015 was negatively impacted by non-deductible deal costs of approximately $19.6 associated with the Acquisition and one-time tax charges of $12.8 to realign the Company's legal entity structure to facilitate the Acquisition. In 2016 and 2015, the rate was favorably impacted by foreign earnings taxed at lower rates than the U.S. statutory tax rate. The Company considers substantially all of its foreign earnings to be permanently reinvested overseas.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(dollars and shares in millions)</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Unaudited Condensed Consolidated Financial Statements.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w w:val="92"/>
              </w:rPr>
              <w:t>During the first six months of 2016 and 2015, respectively, the Company's cash flows were as follows:</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7760" w:type="dxa"/>
            <w:vAlign w:val="bottom"/>
          </w:tcPr>
          <w:p>
            <w:pPr>
              <w:spacing w:after="0"/>
              <w:rPr>
                <w:sz w:val="24"/>
                <w:szCs w:val="24"/>
                <w:color w:val="auto"/>
              </w:rPr>
            </w:pPr>
          </w:p>
        </w:tc>
        <w:tc>
          <w:tcPr>
            <w:tcW w:w="3620" w:type="dxa"/>
            <w:vAlign w:val="bottom"/>
            <w:gridSpan w:val="6"/>
          </w:tcPr>
          <w:p>
            <w:pPr>
              <w:ind w:left="780"/>
              <w:spacing w:after="0"/>
              <w:rPr>
                <w:sz w:val="20"/>
                <w:szCs w:val="20"/>
                <w:color w:val="auto"/>
              </w:rPr>
            </w:pPr>
            <w:r>
              <w:rPr>
                <w:rFonts w:ascii="Arial" w:cs="Arial" w:eastAsia="Arial" w:hAnsi="Arial"/>
                <w:sz w:val="18"/>
                <w:szCs w:val="18"/>
                <w:color w:val="auto"/>
              </w:rPr>
              <w:t>Six Months Ended June 30,</w:t>
            </w:r>
          </w:p>
        </w:tc>
      </w:tr>
      <w:tr>
        <w:trPr>
          <w:trHeight w:val="34"/>
        </w:trPr>
        <w:tc>
          <w:tcPr>
            <w:tcW w:w="7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2"/>
        </w:trPr>
        <w:tc>
          <w:tcPr>
            <w:tcW w:w="77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7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466.6</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309.8</w:t>
            </w:r>
          </w:p>
        </w:tc>
        <w:tc>
          <w:tcPr>
            <w:tcW w:w="100" w:type="dxa"/>
            <w:vAlign w:val="bottom"/>
            <w:tcBorders>
              <w:top w:val="single" w:sz="8" w:color="CCEEFF"/>
            </w:tcBorders>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for) provided by financing activities</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3,510.9</w:t>
            </w:r>
          </w:p>
        </w:tc>
        <w:tc>
          <w:tcPr>
            <w:tcW w:w="1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on changes in cash and cash equivalents</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77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r>
      <w:tr>
        <w:trPr>
          <w:trHeight w:val="20"/>
        </w:trPr>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Cash and cash equivalents at June 30, 2016 and 2015 totaled $639.6 and $619.0 respectively. Cash and cash equivalents consist of highly liquid instruments, such as commercial paper, time deposits, and other money market investments, substantially all of which have original maturities of three months or less.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the six months ended June 30, 2016 and 2015, the Company's operations provided $466.6 of cash as compared to $309.8 in 2015. The $156.8 increase in cash provided from operations in 2016 as compared with the corresponding 2015 period is primarily due to higher net earnings in 2016. The Company’s 2015 earnings were impacted by $205.6 of restructuring and special items, $153.5 of which represents cash payments in connection with the Acquisition.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cash used in investing activities for the six months ended June 30, 2016 was $258.4 as compared to $3,783.6 for the six months ended June 30, 2015. The $3,525.2 decrease in cash used in investing activities was primarily due to cash paid for the Acquisition in the first quarter of 2015. In addition, the Company had proceeds of $21.3 from the sale of assets during the six months ended June 30, 2016 in comparison to $0.5 for the same period during 2015. Capital expenditures were $138.4 and $102.9 for the six months ended June 30, 2016 and 2015, respectively. The Company expects capital expenditures in 2016 to be</w:t>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approximately 3.0% of net revenues primarily in connection with projects to support growth in the Company's core businesses, projects related to LaunchPad and further Covance integration initiatives. The Company intends to continue to pursue acquisitions to fund growth and make important investments in its business, including in information technology, to improve efficiency and enable the execution of the Company's strategic vision. Such expenditures are expected to be funded by cash flow from operations, as well as borrowings under the Company's revolving credit facility or any successor facility, as needed.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cash used for financing activities for the six months ended June 30, 2016 was $297.9 compared to $3,510.9 provided by financing activities for the six months ended June 30, 2015. This movement in cash within financing activities for the six months ended June 30, 2016, as compared to 2015, was primarily a result of $3,740.0 of net financing proceeds in 2015 compared to 338.7 in debt repayments in 2016.</w:t>
      </w:r>
    </w:p>
    <w:p>
      <w:pPr>
        <w:spacing w:after="0" w:line="19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On December 19, 2014, the Company entered into a five-year term loan credit facility in the principal amount of $1,000.0 for the purpose of financing a portion of the cash consideration and the fees and expenses in connection with the transactions contemplated by the Merger Agreement.</w:t>
      </w:r>
    </w:p>
    <w:p>
      <w:pPr>
        <w:spacing w:after="0" w:line="3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term loan credit facility was advanced in full on February 19, 2015, the date of the Company’s completion of the Acquisition. The term loan credit facility will mature five years after the Acquisition Date and may be prepaid without penalty. The term loan balance at June 30, 2016 was $715.0.</w:t>
      </w:r>
    </w:p>
    <w:p>
      <w:pPr>
        <w:spacing w:after="0" w:line="3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revolving credit facility also provides for a subfacility of up to $100.0 for swing line borrowings and a subfacility of up to $125.0 for issuances of letters of credit. The revolving credit facility is permitted to be used for general corporate purposes, including working capital, capital expenditures, funding of share repurchases and certain other payments, and acquisitions and other investments.</w:t>
      </w:r>
    </w:p>
    <w:p>
      <w:pPr>
        <w:spacing w:after="0" w:line="84"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8"/>
          <w:szCs w:val="18"/>
          <w:color w:val="auto"/>
        </w:rPr>
        <w:t>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Acquisition Notes). Net proceeds from the offering of the Acquisition Notes were $2,870.2 after deducting underwriting discounts and other expenses of the offering. Net proceeds were used to pay a portion of the cash consideration and the fees and expenses in connection with the Acquisition.</w:t>
      </w:r>
    </w:p>
    <w:p>
      <w:pPr>
        <w:spacing w:after="0" w:line="8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transactions contemplated by the Merger Agreement. The 60-day cash bridge term loan credit facility was advanced in full on February 19, 2015, the date of the Company’s completion of the Acquisition. The 60-day cash bridge term loan credit facility was repaid in March 2015.</w:t>
      </w:r>
    </w:p>
    <w:p>
      <w:pPr>
        <w:spacing w:after="0" w:line="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Under the term loan credit facility and the revolving credit facility, the Company is subject to negative covenants limiting subsidiary indebtedness and certain other covenants typical for investment grade-rated borrowers and the Company is required to maintain a leverage ratio that varies. From and after the acquisition closing date, the leverage ratio must not have been greater than 4.75 to 1.00 with respect to the last day of each of the first four fiscal quarters ending on or after the closing date, must be no greater than 4.25 to 1.00 with respect to the last day of each of the fifth through eighth fiscal quarters ending after the closing date, and must be no greater than 3.75 to 1.00 with respect to the last day of each fiscal quarter ending thereafter. The Company was in compliance with all covenants in the Credit Agreement at June 30, 2016. As of June 30, 2016, the ratio of total debt to consolidated trailing 12-month EBITDA was 3.3 to 1.0.</w:t>
      </w:r>
    </w:p>
    <w:p>
      <w:pPr>
        <w:spacing w:after="0" w:line="9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revolving credit facility at a per annum rate equal to the applicable margin for LIBOR loans, and the Company is required to pay a facility fee on the aggregate commitments under the revolving credit facility, at a per annum rate ranging from 0.125% to 0.40%. The interest margin applicable to the credit facilities, and the facility fee and letter of credit fees payable under the revolving credit facility, are based on the Company’s senior credit ratings as determined by Standard &amp; Poor’s and Moody’s, which are currently BBB and Baa2,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was no outstanding balance on the Company's revolving credit facility at June 30, 2016 or December 31, 2015. As of June 30, 2016, the Company provided letters of credit aggregating $55.0, primarily in connection with certain insurance programs. Letters of credit provided by the Company are issued under the Company's revolving credit facility and are renewed annually, around mid-year.</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June 30, 2016, the effective interest rate on the revolving credit facility was 1.56% and the effective interest rate on the term loan was 1.71%.</w:t>
      </w:r>
    </w:p>
    <w:p>
      <w:pPr>
        <w:spacing w:after="0" w:line="14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a result of the Acquisition, the Company assumed privately placed senior notes in an aggregate principal amount of $250.0 issued pursuant to a Note Purchase Agreement dated October 2, 2013. On March 5, 2015, the Company caused Covance to prepay all of the outstanding Senior Notes at 100 percent of the principal amount plus accrued interest, and a total make-whole amount of $37.4 which is included in interest expense. The Note Purchase Agreement terminated effective March 5, 2015 in connection with the prepayment of the Senior Notes.</w:t>
      </w:r>
    </w:p>
    <w:p>
      <w:pPr>
        <w:spacing w:after="0" w:line="7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of June 30, 2016, the Company had outstanding authorization from the Board of Directors to purchase up to $789.5 of Company common stock based on settled trades as of that date. Following the announcement of the Acquisition in the fourth quarter of 2014, the Company suspended its share repurchases. The Company does not anticipate resuming its share repurchase activity until it approaches its targeted leverage ratio of total debt to trailing 12-month EBITDA of 2.5 to 1.0. However, the Company will continue to evaluate all opportunities for strategic deployment of capital in light of market conditions.</w:t>
      </w:r>
    </w:p>
    <w:p>
      <w:pPr>
        <w:spacing w:after="0" w:line="15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had a $37.8 and $36.9 reserve for unrecognized income tax benefits, including interest and penalties as of June 30, 2016 and December 31, 2015, respectively. Substantially all of these tax reserves are classified in other long-term liabilities in the Company's Condensed Consolidated Balance Sheets at June 30, 2016 and December 31, 2015.</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Zero-coupon Subordinated Notes and Senior Notes</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March 11, 2016, the Company announced that for the period of March 12, 2016 to September 11, 2016, the zero-coupon subordinated notes will accrue contingent cash interest at a rate of no less than 0.125% of the average market price of a zero-coupon subordinated note for the five trading days ended March 8, 2016, in addition to the continued accrual of the original issue discount.</w:t>
      </w:r>
    </w:p>
    <w:p>
      <w:pPr>
        <w:spacing w:after="0" w:line="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During the six months ended June 30, 2016, the Company settled notices to convert $15.3 aggregate principal amount at maturity of its zero-coupon subordinated notes with a conversion value of $26.1. The total cash used for these settlements was $13.7 and the Company also issued $0.1 in additional shares of common stock. As a result of these conversions, in 2016 the Company also reversed deferred tax liabilities of $13.8.</w:t>
      </w:r>
    </w:p>
    <w:p>
      <w:pPr>
        <w:spacing w:after="0" w:line="7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July 1, 2016, the Company announced that its zero-coupon subordinated notes may be converted into cash and common stock at the conversion rate of 13.4108 per $1,000 principal amount at maturity of the notes, subject to the terms of the zero-coupon subordinated notes and the Indenture, dated as of October 24, 2006 between the Company and The Bank of New York Mellon, as trustee and conversion agent. In order to exercise the option to convert all or a portion of the zero-coupon subordinated notes, holders are required to validly surrender their zero-coupon subordinated notes at any time during the calendar quarter beginning July 1, 2016, through the close of business on the last business day of the calendar quarter, which is 5:00 p.m., New York City time, on Friday, September 30, 2016. If notices of conversion are received, the Company plans to settle the cash portion of the conversion obligation with cash on hand and/or borrowings under the revolving credit facility.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Credit Ratings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debt ratings of Baa2 from Moody’s and BBB from Standard and Poor’s contribute to its ability to access capital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Financial Accounting Standards Board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(GAAP).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Company beginning January 1, 2018, with early adoption permitted for annual periods beginning after December 16, 2016. The Company is currently evaluating the expected impact of the standard.</w:t>
      </w:r>
    </w:p>
    <w:p>
      <w:pPr>
        <w:spacing w:after="0" w:line="19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20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2015, the FASB issued a new accounting standard that requires deferred tax liabilities and assets to be classified as noncurrent on the consolidated balance sheet. The Company early adopted this standard on a full-retrospective basis as of March 31, 2016. The adoption of this standard did not have a material impact on the consolidated financial statements.</w:t>
      </w:r>
    </w:p>
    <w:p>
      <w:pPr>
        <w:spacing w:after="0" w:line="20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 from the first entity or to exchange other financial instruments on potentially favorable terms with the first entity. The standard will be effective for the Company beginning January 1, 2018, with early adoption permitted. The Company is evaluating the impact that this new standard will have on the consolidated financial statements.</w:t>
      </w:r>
    </w:p>
    <w:p>
      <w:pPr>
        <w:spacing w:after="0" w:line="21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February 2016, the FASB issued a new accounting standard that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based on guidance similar to current guidance for operating leases. The new standard requires lessors to account for leases using an approach that is substantially equivalent to existing guidance for sales-type leases, direct financing leases and operating leases. The standard is effective on January 1, 2019, with early adoption permitted. The Company is evaluating the impact that this new standard will have on the consolidated financial statements.</w:t>
      </w:r>
    </w:p>
    <w:p>
      <w:pPr>
        <w:spacing w:after="0" w:line="20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March 2016, the FASB issued a new accounting standard intended to simplify aspects of share-based payment accounting. The standard changes how companies account for certain aspects of share-based payment awards to employees, including the accounting for income taxes, forfeitures, and statutory tax withholding requirements, as well as the classification of related matters in the statement of cash flows. The update is effective on January 1, 2017, with early adoption permitted. The Company is currently evaluating this new standard and the impact it will have on the consolidated financial statements.</w:t>
      </w:r>
    </w:p>
    <w:p>
      <w:pPr>
        <w:spacing w:after="0" w:line="18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March 2016, the FASB issued a new accounting standard intended to simplify aspects of the equity method of accounting. The standard eliminates the requirement that when an investment qualifies for use of the equity method of accounting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standard requires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update is effective on January 1, 2017, with early adoption permitted. The adoption of this standard is not expected to have a material impact on the Company's consolidated financial statements.</w:t>
      </w:r>
    </w:p>
    <w:p>
      <w:pPr>
        <w:spacing w:after="0" w:line="8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2016, the FASB issued a new accounting standard intended to provide financial statement users with more decision-useful information about expected credit losses and other commitments to extend credit held by the reporting entity. The standard replaces the incurred loss impairment methodology in current GAAP with one that reflects expected credit losses and requires consideration of a broader range of reasonable and supportable information to inform credit loss estimates. The update is effective on January 1, 2020, with early adoption permitted. The Company is currently evaluating this new standard and the impact it will have on the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swap agreements. Although, as set forth below, the Company’s zero-coupon subordinated notes contain features that are considered to be embedded derivative instruments, the Company does not hold or issue derivative financial instruments for trading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21"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Approximately 16.4% and 19.6% of the Company's net revenues for the three and six months ended June 30, 2016 and approximately 19.3% and 16.7% of those for the three and six months ended June 30, 2015 were denominated in currencies other than the U.S. Dollar. The Company's financial statements are reported in U.S. Dollars and, accordingly, fluctuations in exchange rates will affect the translation of revenues and expenses denominated in foreign currencies into U.S. Dollars for purposes of reporting the Company's consolidated financial results. In the first six months of 2016 and the year ended December 31, 2015,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 Dollars would have impacted income before income taxes for the three and six months ended June 30, 2016 by approximately $1.3 and $4.0, respectively. Gross accumulated currency translation adjustments recorded as a separate component of shareholders’ equity were $36.0 and ($137.3) at June 30, 2016 and 2015, respectively. The Company does not have significant operations in countries in which the economy is considered to be highly-inflationary.</w:t>
      </w:r>
    </w:p>
    <w:p>
      <w:pPr>
        <w:spacing w:after="0" w:line="28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June 30, 2016, the Company had four open foreign exchange forward contracts relating to primarily service contracts with various amounts maturing monthly through July 2016 with a notional value totaling approximately $103.2. At December 31, 2015, the Company had four open foreign exchange forward contracts relating to service contracts with various amounts maturing monthly through January 2016 with a notional value totaling approximately $93.1.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2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Some of the Company's debt is subject to interest at variable rates. As a result, fluctuations in interest rates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73"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Borrowings under the Company's term loan credit facility and revolving credit facility are subject to variable interest rates, unless fixed through interest rate swaps or other agreements. As of June 30, 2016, the Company had $715.0 of unhedged variable rate debt from the term loan credit facility. As of June 30, 2016 and December 31, 2015 the Company had no outstanding balance on its revolving credit facility and $715.0 on its term loan facility.</w:t>
      </w:r>
    </w:p>
    <w:p>
      <w:pPr>
        <w:spacing w:after="0" w:line="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w:t>
      </w:r>
    </w:p>
    <w:p>
      <w:pPr>
        <w:spacing w:after="0" w:line="8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62" w:lineRule="exact"/>
        <w:rPr>
          <w:sz w:val="20"/>
          <w:szCs w:val="20"/>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S&amp;P’s Ratings Services is BB- or lower.</w:t>
      </w:r>
    </w:p>
    <w:p>
      <w:pPr>
        <w:spacing w:after="0" w:line="76"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Each quarter-point increase or decrease in the variable rate would result in the Company's interest expense changing by approximately $1.8 per year for the Company's unhedged variable rate debt.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the end of the period covered by this Quarterly Report on Form 10-Q,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Rules13a-15(e) and 15d-15(e) under the Securities Exchange Act of 1934, as amended). Based upon this evaluation, the Company’s principal executive officer and principal financial officer concluded that the Company’s disclosure controls and procedures were effective as of June 30, 2016.</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Rules13a-15(f) and 15d-15(f) under the Securities Exchange Act of 1934, as amended) that occurred during the quarter ended June 30, 2016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40" w:firstLine="243"/>
        <w:spacing w:after="0" w:line="277" w:lineRule="auto"/>
        <w:rPr>
          <w:sz w:val="20"/>
          <w:szCs w:val="20"/>
          <w:color w:val="auto"/>
        </w:rPr>
      </w:pPr>
      <w:r>
        <w:rPr>
          <w:rFonts w:ascii="Arial" w:cs="Arial" w:eastAsia="Arial" w:hAnsi="Arial"/>
          <w:sz w:val="18"/>
          <w:szCs w:val="18"/>
          <w:color w:val="auto"/>
        </w:rPr>
        <w:t>See Note 9 (Commitments and Contingencies) to the Company’s unaudited condensed consolidated financial statements, above,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 factors set forth below revise and supplement the corresponding risk factors set forth in Part I - Item 1A of the Company’s Annual Report on Form 10-K for the year ended December 31, 2015, as amended. With the exception of the following, there have been no material changes in the risk factors that appear in Part I - Item 1A of the Company's Annual Report on Form 10-K for the year ended December 31, 2015, as amended.</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Healthcare reform and related products (e.g., Health Insurance Exchanges), changes in government payment and reimbursement systems, or changes in payer mix, including an increase in capitated reimbursement mechanisms and evolving delivery models, could have an adverse impact on the Company's net revenues, profitability and cash flow.</w:t>
      </w:r>
    </w:p>
    <w:p>
      <w:pPr>
        <w:spacing w:after="0" w:line="20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LCD's testing services are billed to private patients, Medicare, Medicaid, commercial clients, MCOs and other insurance companies. Tests ordered by a physician may be billed to different payers depending on the medical insurance benefits of a particular patient. Most testing services are billed to a party other than the physician or other authorized person who ordered the test. Increases in the percentage of services billed to government and MCOs could have an adverse impact on the Company’s net revenues.</w:t>
      </w:r>
    </w:p>
    <w:p>
      <w:pPr>
        <w:spacing w:after="0" w:line="21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various MCOs have different contracting philosophies, which are influenced by the design of the products they offer to their members. Some MCOs contract with a limited number of clinical laboratories and engage in direct negotiation of the rates reimbursed to participating laboratories. Other MCOs adopt broader networks with a largely uniform fee structure for participating clinical laboratories; in some cases, those fee structures are specific to independent clinical laboratories while the fees paid to hospital-based and physician-office laboratories may be different, and are typically higher. In addition, some MCOs have used capitation in an effort to fix the cost of laboratory testing services for their enrollees. Under a capitated reimbursement arrangement, the MCO makes a per member, per month payment for all covered laboratory tests rendered during the month for the members, regardless of the number or cost of the tests actually performed. Capitation shifts the risk of increased test utilization (and the underlying mix of testing services) to the clinical laboratory provider. The Company makes significant efforts to ensure that its services are adequately compensated in its capitated arrangements. For the year ended December 31, 2015, such capitated contracts accounted for approximately $219.9 million, or 2.6%, of the Company's net revenues.</w:t>
      </w:r>
    </w:p>
    <w:p>
      <w:pPr>
        <w:spacing w:after="0" w:line="1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ability to attract and retain MCOs is critical given the impact of healthcare reform, related products and expanded coverage (e.g., Health Insurance Exchanges and Medicaid Expansion) and evolving delivery models (e.g., ACOs).</w:t>
      </w:r>
    </w:p>
    <w:p>
      <w:pPr>
        <w:spacing w:after="0" w:line="19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 portion of the managed care fee-for-service revenues are collectible from patients in the form of deductibles, copayments and coinsurance. Collectibility may be impacted as patient cost-sharing increases.</w:t>
      </w:r>
    </w:p>
    <w:p>
      <w:pPr>
        <w:spacing w:after="0" w:line="19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Medicare and Medicaid and private insurers have increased their efforts to control the cost, utilization and delivery of healthcare services, including clinical laboratory services. Measures to regulate healthcare delivery in general, and clinical laboratories in particular, have resulted in reduced prices, added costs and decreased test utilization for the clinical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and is expected to continue to increase. Implementation of the ACA, the healthcare reform legislation passed in 2010, also may continue to affect coverage, reimbursement, and utilization of laboratory services, as well as administrative requirements.</w:t>
      </w:r>
    </w:p>
    <w:p>
      <w:pPr>
        <w:spacing w:after="0" w:line="21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Many commercial payers were delayed in becoming aware of the impact of their claim edits and policies, which impeded access to services that previously had been covered and reimbursed. These delays had a negative impact on 2014 revenue, revenue per requisition, margins and cash flows, which were largely sustained throughout 2015. Further, several payers continue to require additional information to process claims or have implemented prior authorization or other restrictive policies which are expected to have a continuing negative impact. Similarly, coding and billing changes related to toxicology and other Clinical Laboratory Fee Schedule (CLFS) procedures were</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implemented in 2015 and 2016. The Company experienced delays in the pricing and implementation of the new codes, however, it largely overcame issues related to price and margins through direct negotiation with the associated payers.</w:t>
      </w:r>
    </w:p>
    <w:p>
      <w:pPr>
        <w:spacing w:after="0" w:line="19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expects efforts to impose reduced reimbursement, more stringent payment policies and utilization and cost controls by government and other payers to continue. If LCD cannot offset additional reductions in the payments it receives for its services by reducing costs, increasing test volume and/or introducing new procedures, it could adversely impact the Company’s net revenues, profitability and cash flows.</w:t>
      </w:r>
    </w:p>
    <w:p>
      <w:pPr>
        <w:spacing w:after="0" w:line="19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2014, Congress passed the Protecting Access to Medicare Act of 2014 (PAMA), requiring Medicare to change the way payment rates are calculated for tests paid under the CLFS, and to base the payment on the weighted median of rates paid by private payers. On June 23, 2016, the Centers for Medicare and Medicaid Services (CMS) published a final rule implementing PAMA, which required establishment of a new Medicare reimbursement system for clinical lab tests paid under the CLFS, based on private payer rates, as reported to CMS. Although the new payment system was supposed to go into effect for tests furnished after January 1, 2017, the CMS rulemaking process was delayed, and the new rates will not be effective until January 1, 2018 pursuant to the final rule. Under the new system the Company must collect data on private payer rates and report the data to CMS every three years for most types of tests. The Company does not expect that the new reporting requirements will have a material impact on its business or results of operations. CMS will use the data reported by all applicable labs to calculate a weighted median of private payer rates for each test performed, and that weighted median will be the new Medicare rate. Rate reductions for existing tests under the new system will be phased in over six years. The Company is still assessing the full impact of the final rule, but has been preparing for it for some time. Medicare reimbursement under the CLFS represents less than 10% of the Company’s consolidated revenue.</w:t>
      </w:r>
    </w:p>
    <w:p>
      <w:pPr>
        <w:spacing w:after="0" w:line="21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an employer, healthcare reform legislation also contains numerous regulations that will require the Company to implement significant process and record keeping changes to be in compliance. These changes increase the cost of providing healthcare coverage to employees and their families. Given the limited release of regulations to guide compliance, the exact impact to employers including the Company is uncertain.</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implementation of healthcare reform legislation that adds costs could limit the profits that can be made from the development of new drugs. This could adversely affect R&amp;D expenditures by pharmaceutical and biotechnology companies, which could in turn decrease the business opportunities available to CDD both in the U.S. and other countries. New laws or regulations may create a risk of liability, increase CDD costs or limit service offerings through CDD.</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Global economic conditions and regulatory changes leading up to and following the United Kingdom’s announced intention to exit from the European Union could adversely impact the Company’s business and results of operations located in, or closely associated with, the United Kingdom.</w:t>
      </w:r>
    </w:p>
    <w:p>
      <w:pPr>
        <w:spacing w:after="0" w:line="20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June 2016, a majority of voters in the United Kingdom elected to withdraw from the European Union (often referred to as Brexit) in a national referendum. The referendum was advisory, and the terms of any withdrawal are subject to a negotiation period that could last at least two years after the government of the United Kingdom formally initiates a withdrawal process. This will be either accompanied or followed by negotiations between the European Union and the United Kingdom concerning the future relations between the parties. Nevertheless, the referendum has created significant uncertainty about the future relationship between the United Kingdom and the European Union. This includes uncertainty with respect to the laws and regulations, including regulations applicable to the Company’s business, that will apply in the United Kingdom in the event of a withdrawal. The referendum has also given rise to calls for the governments of other European Union member states to consider a referendum on withdrawal from the European Union for their territory. These developments, or the perception that any of them could occur, could adversely impact global economic conditions and the stability of global financial markets, and may significantly reduce global market liquidity and restrict the ability of key market participants to operate in certain financial markets. Any of these factors could depress economic activity, which could adversely impact our business, financial condition and results of operations especially those located in, or closely associated with, the United Kingdom. Brexit could lead to long-term volatility in the currency markets and there could be long-term detrimental effects on the value of either the Euro and/or the British Pound and could impact other currencies. The Company uses foreign currency derivative instruments to hedge certain exposures to currency exchange rate risks. The results of the Brexit referendum could increase the Company’s exposure to foreign currency rate exchange risks and reduce its ability to effectively use certain derivative instruments as a way to hedge risks.</w:t>
      </w:r>
    </w:p>
    <w:p>
      <w:pPr>
        <w:spacing w:after="0" w:line="19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operations in the United Kingdom that serve customers in both the United Kingdom and elsewhere, and these operations could be adversely affected by Brexit. However, until the Brexit negotiation process is initiated, it is difficult to anticipate how the clinical trial landscape in the United Kingdom will change in the next several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(Dollars in millions)</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Board of Directors has authorized the repurchase of specified amounts of the Company's common stock since 2007. As of June 30, 2016, the Company had outstanding authorization from the Board of Directors to purchase up to $789.5 of Company common stock based on settled trades as of that date. The repurchase authorization has no expiration date. Following the announcement of the Acquisition, the Company suspended its share repurchases. The Company does not anticipate resuming its share repurchase activity until it approaches its targeted ratio of total debt to consolidated trailing 12-month EBITDA of 2.5 to 1.0. However, the Company will continue to evaluate all opportunities for strategic deployment of capital in light of market conditions.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125" w:right="23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Exhibits</w:t>
      </w:r>
    </w:p>
    <w:p>
      <w:pPr>
        <w:spacing w:after="0" w:line="200"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Ratio of earnings to fixed charges</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by the Chief Executive Officer pursuant to Rule 13a-14(a) or Rule 15d-14(a)</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by the Chief Financial Officer pursuant to Rule 13a-14(a) or Rule 15d-14(a)</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Written Statement of Chief Executive Officer and Chief Financial Officer pursuant to Section 906 of the Sarbanes-Oxley Act of 2002 (18 U.S.C. Section 1350)</w:t>
      </w:r>
    </w:p>
    <w:p>
      <w:pPr>
        <w:spacing w:after="0" w:line="8"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Laboratory Corporation of America Holdings 2016 Omnibus Incentive Plan (incorporated by reference herein to Exhibit 10.1 to the Company's Current Report on Form 8-K filed on May 16, 2016)</w:t>
      </w:r>
    </w:p>
    <w:p>
      <w:pPr>
        <w:spacing w:after="0" w:line="8"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Laboratory Corporation of America Holdings 2016 Employee Stock Purchase Plan (incorporated by reference herein to Exhibit 10.2 to the Company's Current Report on Form 8-K filed on May 16, 2016)</w:t>
      </w:r>
    </w:p>
    <w:p>
      <w:pPr>
        <w:spacing w:after="0" w:line="8"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86"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00"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spacing w:after="0" w:line="21" w:lineRule="exact"/>
        <w:rPr>
          <w:sz w:val="20"/>
          <w:szCs w:val="20"/>
          <w:color w:val="auto"/>
        </w:rPr>
      </w:pPr>
    </w:p>
    <w:p>
      <w:pPr>
        <w:ind w:left="1180" w:hanging="11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Registrant</w:t>
      </w:r>
    </w:p>
    <w:p>
      <w:pPr>
        <w:spacing w:after="0" w:line="356" w:lineRule="exact"/>
        <w:rPr>
          <w:sz w:val="20"/>
          <w:szCs w:val="20"/>
          <w:color w:val="auto"/>
        </w:rPr>
      </w:pPr>
    </w:p>
    <w:tbl>
      <w:tblPr>
        <w:tblLayout w:type="fixed"/>
        <w:tblInd w:w="574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gridSpan w:val="3"/>
          </w:tcPr>
          <w:p>
            <w:pPr>
              <w:spacing w:after="0"/>
              <w:rPr>
                <w:sz w:val="20"/>
                <w:szCs w:val="20"/>
                <w:color w:val="auto"/>
              </w:rPr>
            </w:pPr>
            <w:r>
              <w:rPr>
                <w:rFonts w:ascii="Arial" w:cs="Arial" w:eastAsia="Arial" w:hAnsi="Arial"/>
                <w:sz w:val="18"/>
                <w:szCs w:val="18"/>
                <w:color w:val="auto"/>
              </w:rPr>
              <w:t>/s/ DAVID P. KING</w:t>
            </w:r>
          </w:p>
        </w:tc>
      </w:tr>
      <w:tr>
        <w:trPr>
          <w:trHeight w:val="291"/>
        </w:trPr>
        <w:tc>
          <w:tcPr>
            <w:tcW w:w="80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P. King</w:t>
            </w:r>
          </w:p>
        </w:tc>
        <w:tc>
          <w:tcPr>
            <w:tcW w:w="980" w:type="dxa"/>
            <w:vAlign w:val="bottom"/>
            <w:gridSpan w:val="2"/>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w w:val="89"/>
              </w:rPr>
              <w:t>Chairman of the Board, President</w:t>
            </w:r>
          </w:p>
        </w:tc>
      </w:tr>
      <w:tr>
        <w:trPr>
          <w:trHeight w:val="270"/>
        </w:trPr>
        <w:tc>
          <w:tcPr>
            <w:tcW w:w="80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and Chief Executive Officer</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gridSpan w:val="3"/>
          </w:tcPr>
          <w:p>
            <w:pPr>
              <w:spacing w:after="0"/>
              <w:rPr>
                <w:sz w:val="20"/>
                <w:szCs w:val="20"/>
                <w:color w:val="auto"/>
              </w:rPr>
            </w:pPr>
            <w:r>
              <w:rPr>
                <w:rFonts w:ascii="Arial" w:cs="Arial" w:eastAsia="Arial" w:hAnsi="Arial"/>
                <w:sz w:val="18"/>
                <w:szCs w:val="18"/>
                <w:color w:val="auto"/>
              </w:rPr>
              <w:t>/s/ GLENN A. EISENBERG</w:t>
            </w:r>
          </w:p>
        </w:tc>
      </w:tr>
      <w:tr>
        <w:trPr>
          <w:trHeight w:val="291"/>
        </w:trPr>
        <w:tc>
          <w:tcPr>
            <w:tcW w:w="800" w:type="dxa"/>
            <w:vAlign w:val="bottom"/>
          </w:tcPr>
          <w:p>
            <w:pPr>
              <w:spacing w:after="0"/>
              <w:rPr>
                <w:sz w:val="24"/>
                <w:szCs w:val="24"/>
                <w:color w:val="auto"/>
              </w:rPr>
            </w:pPr>
          </w:p>
        </w:tc>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Glenn A. Eisenberg</w:t>
            </w:r>
          </w:p>
        </w:tc>
        <w:tc>
          <w:tcPr>
            <w:tcW w:w="34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70"/>
        </w:trPr>
        <w:tc>
          <w:tcPr>
            <w:tcW w:w="80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29, 2016</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125" w:right="399" w:bottom="1440" w:gutter="0" w:footer="0" w:header="0"/>
        </w:sectPr>
      </w:pPr>
    </w:p>
    <w:bookmarkStart w:id="40" w:name="page41"/>
    <w:bookmarkEnd w:id="40"/>
    <w:p>
      <w:pPr>
        <w:ind w:left="9560"/>
        <w:spacing w:after="0"/>
        <w:rPr>
          <w:sz w:val="20"/>
          <w:szCs w:val="20"/>
          <w:color w:val="auto"/>
        </w:rPr>
      </w:pPr>
      <w:r>
        <w:rPr>
          <w:rFonts w:ascii="Arial" w:cs="Arial" w:eastAsia="Arial" w:hAnsi="Arial"/>
          <w:sz w:val="16"/>
          <w:szCs w:val="16"/>
          <w:b w:val="1"/>
          <w:bCs w:val="1"/>
          <w:color w:val="auto"/>
        </w:rPr>
        <w:t>EXHIBIT 12.1</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STATEMENT OF COMPUTATION OF RATIOS OF EARNINGS TO FIXED CHARGES</w:t>
      </w: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(dollars in millions, except ratio information)</w:t>
      </w:r>
    </w:p>
    <w:p>
      <w:pPr>
        <w:spacing w:after="0" w:line="356"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8"/>
          </w:tcPr>
          <w:p>
            <w:pPr>
              <w:ind w:left="300"/>
              <w:spacing w:after="0"/>
              <w:rPr>
                <w:sz w:val="20"/>
                <w:szCs w:val="20"/>
                <w:color w:val="auto"/>
              </w:rPr>
            </w:pPr>
            <w:r>
              <w:rPr>
                <w:rFonts w:ascii="Arial" w:cs="Arial" w:eastAsia="Arial" w:hAnsi="Arial"/>
                <w:sz w:val="16"/>
                <w:szCs w:val="16"/>
                <w:b w:val="1"/>
                <w:bCs w:val="1"/>
                <w:color w:val="auto"/>
              </w:rPr>
              <w:t>Fiscal Years Ended December 31,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Six Months Ended</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June 30, 2016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w w:val="98"/>
              </w:rPr>
              <w:t>Income from continuing operations before income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866.1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944.2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826.7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732.1</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Equity in the income of investees</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Cash distributions received from equity investees</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554"/>
        </w:trPr>
        <w:tc>
          <w:tcPr>
            <w:tcW w:w="4180" w:type="dxa"/>
            <w:vAlign w:val="bottom"/>
          </w:tcPr>
          <w:p>
            <w:pPr>
              <w:spacing w:after="0"/>
              <w:rPr>
                <w:sz w:val="20"/>
                <w:szCs w:val="20"/>
                <w:color w:val="auto"/>
              </w:rPr>
            </w:pPr>
            <w:r>
              <w:rPr>
                <w:rFonts w:ascii="Arial" w:cs="Arial" w:eastAsia="Arial" w:hAnsi="Arial"/>
                <w:sz w:val="18"/>
                <w:szCs w:val="18"/>
                <w:color w:val="auto"/>
              </w:rPr>
              <w:t>Fixed Charges: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20"/>
              <w:spacing w:after="0"/>
              <w:rPr>
                <w:sz w:val="20"/>
                <w:szCs w:val="20"/>
                <w:color w:val="auto"/>
              </w:rPr>
            </w:pPr>
            <w:r>
              <w:rPr>
                <w:rFonts w:ascii="Arial" w:cs="Arial" w:eastAsia="Arial" w:hAnsi="Arial"/>
                <w:sz w:val="18"/>
                <w:szCs w:val="18"/>
                <w:color w:val="auto"/>
              </w:rPr>
              <w:t>Interest on long-term and short-term debt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including amortization of debt expense</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554"/>
        </w:trPr>
        <w:tc>
          <w:tcPr>
            <w:tcW w:w="4180" w:type="dxa"/>
            <w:vAlign w:val="bottom"/>
          </w:tcPr>
          <w:p>
            <w:pPr>
              <w:ind w:left="120"/>
              <w:spacing w:after="0"/>
              <w:rPr>
                <w:sz w:val="20"/>
                <w:szCs w:val="20"/>
                <w:color w:val="auto"/>
              </w:rPr>
            </w:pPr>
            <w:r>
              <w:rPr>
                <w:rFonts w:ascii="Arial" w:cs="Arial" w:eastAsia="Arial" w:hAnsi="Arial"/>
                <w:sz w:val="18"/>
                <w:szCs w:val="18"/>
                <w:color w:val="auto"/>
              </w:rPr>
              <w:t>Portion of rental expense as can be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demonstrated to be representative</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of the interest factor (a)</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18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2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color w:val="auto"/>
              </w:rPr>
              <w:t>Earnings before income taxes and</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20"/>
              <w:spacing w:after="0"/>
              <w:rPr>
                <w:sz w:val="20"/>
                <w:szCs w:val="20"/>
                <w:color w:val="auto"/>
              </w:rPr>
            </w:pPr>
            <w:r>
              <w:rPr>
                <w:rFonts w:ascii="Arial" w:cs="Arial" w:eastAsia="Arial" w:hAnsi="Arial"/>
                <w:sz w:val="18"/>
                <w:szCs w:val="18"/>
                <w:color w:val="auto"/>
              </w:rPr>
              <w:t>fixed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1,028.4</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1,086.5</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1,010.1</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23"/>
                <w:szCs w:val="23"/>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726.9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41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 Rental expense for the period ended December 31, 2015 has been revised.</w:t>
      </w:r>
    </w:p>
    <w:p>
      <w:pPr>
        <w:sectPr>
          <w:pgSz w:w="11900" w:h="16838" w:orient="portrait"/>
          <w:cols w:equalWidth="0" w:num="1">
            <w:col w:w="11320"/>
          </w:cols>
          <w:pgMar w:left="240" w:top="76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8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 w:hanging="10"/>
        <w:spacing w:after="0" w:line="277" w:lineRule="auto"/>
        <w:tabs>
          <w:tab w:leader="none" w:pos="376"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80" w:hanging="10"/>
        <w:spacing w:after="0" w:line="264" w:lineRule="auto"/>
        <w:tabs>
          <w:tab w:leader="none" w:pos="3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80" w:hanging="10"/>
        <w:spacing w:after="0" w:line="277" w:lineRule="auto"/>
        <w:tabs>
          <w:tab w:leader="none" w:pos="3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80" w:hanging="10"/>
        <w:spacing w:after="0" w:line="277" w:lineRule="auto"/>
        <w:tabs>
          <w:tab w:leader="none" w:pos="3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July 29, 2016</w:t>
      </w:r>
    </w:p>
    <w:p>
      <w:pPr>
        <w:spacing w:after="0" w:line="63"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8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 w:hanging="10"/>
        <w:spacing w:after="0" w:line="277" w:lineRule="auto"/>
        <w:tabs>
          <w:tab w:leader="none" w:pos="3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80" w:hanging="10"/>
        <w:spacing w:after="0" w:line="264" w:lineRule="auto"/>
        <w:tabs>
          <w:tab w:leader="none" w:pos="3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80" w:hanging="10"/>
        <w:spacing w:after="0" w:line="277" w:lineRule="auto"/>
        <w:tabs>
          <w:tab w:leader="none" w:pos="3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80" w:hanging="10"/>
        <w:spacing w:after="0" w:line="277" w:lineRule="auto"/>
        <w:tabs>
          <w:tab w:leader="none" w:pos="3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July 29, 2016</w:t>
      </w:r>
    </w:p>
    <w:p>
      <w:pPr>
        <w:spacing w:after="0" w:line="63"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Exhibit 32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170" w:lineRule="exact"/>
        <w:rPr>
          <w:sz w:val="20"/>
          <w:szCs w:val="20"/>
          <w:color w:val="auto"/>
        </w:rPr>
      </w:pPr>
    </w:p>
    <w:p>
      <w:pPr>
        <w:ind w:firstLine="8"/>
        <w:spacing w:after="0" w:line="277"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Form 10-Q of the Company for the Period Ended June 30, 2016 filed on the date hereof with the Securities and Exchange Commission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July 29,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1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July 29, 2016</w:t>
      </w:r>
    </w:p>
    <w:p>
      <w:pPr>
        <w:sectPr>
          <w:pgSz w:w="11900" w:h="16838" w:orient="portrait"/>
          <w:cols w:equalWidth="0" w:num="1">
            <w:col w:w="11420"/>
          </w:cols>
          <w:pgMar w:left="240" w:top="580" w:right="239" w:bottom="1440" w:gutter="0" w:footer="0" w:header="0"/>
        </w:sectPr>
      </w:pPr>
    </w:p>
    <w:bookmarkStart w:id="44" w:name="page45"/>
    <w:bookmarkEnd w:id="44"/>
    <w:p>
      <w:pPr>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380"/>
      </w:cols>
      <w:pgMar w:left="240" w:top="5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1"/>
    </w:lvl>
    <w:lvl w:ilvl="1">
      <w:lvlJc w:val="left"/>
      <w:lvlText w:val="(%2)"/>
      <w:numFmt w:val="lowerLetter"/>
      <w:start w:val="1"/>
    </w:lvl>
  </w:abstractNum>
  <w:abstractNum w:abstractNumId="9">
    <w:nsid w:val="1BEFD79F"/>
    <w:multiLevelType w:val="hybridMultilevel"/>
    <w:lvl w:ilvl="0">
      <w:lvlJc w:val="left"/>
      <w:lvlText w:val="%1."/>
      <w:numFmt w:val="decimal"/>
      <w:start w:val="8"/>
    </w:lvl>
    <w:lvl w:ilvl="1">
      <w:lvlJc w:val="left"/>
      <w:lvlText w:val="%2"/>
      <w:numFmt w:val="lowerLetter"/>
      <w:start w:val="1"/>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3"/>
    </w:lvl>
  </w:abstractNum>
  <w:abstractNum w:abstractNumId="14">
    <w:nsid w:val="519B500D"/>
    <w:multiLevelType w:val="hybridMultilevel"/>
    <w:lvl w:ilvl="0">
      <w:lvlJc w:val="left"/>
      <w:lvlText w:val="%1."/>
      <w:numFmt w:val="decimal"/>
      <w:start w:val="37"/>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2019-12-29T11:26:49Z</dcterms:created>
  <dcterms:modified xsi:type="dcterms:W3CDTF">2019-12-29T11:26:49Z</dcterms:modified>
</cp:coreProperties>
</file>