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December 20, 2018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earliest event reported)</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LABORATORY CORPORATION OF</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AMERICA HOLDINGS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150"/>
              <w:spacing w:after="0"/>
              <w:rPr>
                <w:sz w:val="20"/>
                <w:szCs w:val="20"/>
                <w:color w:val="auto"/>
              </w:rPr>
            </w:pPr>
            <w:r>
              <w:rPr>
                <w:rFonts w:ascii="Arial" w:cs="Arial" w:eastAsia="Arial" w:hAnsi="Arial"/>
                <w:sz w:val="18"/>
                <w:szCs w:val="18"/>
                <w:b w:val="1"/>
                <w:bCs w:val="1"/>
                <w:color w:val="auto"/>
              </w:rPr>
              <w:t>1-11353</w:t>
            </w:r>
          </w:p>
        </w:tc>
        <w:tc>
          <w:tcPr>
            <w:tcW w:w="100" w:type="dxa"/>
            <w:vAlign w:val="bottom"/>
          </w:tcPr>
          <w:p>
            <w:pPr>
              <w:spacing w:after="0"/>
              <w:rPr>
                <w:sz w:val="20"/>
                <w:szCs w:val="20"/>
                <w:color w:val="auto"/>
              </w:rPr>
            </w:pPr>
          </w:p>
        </w:tc>
        <w:tc>
          <w:tcPr>
            <w:tcW w:w="3760" w:type="dxa"/>
            <w:vAlign w:val="bottom"/>
          </w:tcPr>
          <w:p>
            <w:pPr>
              <w:jc w:val="right"/>
              <w:ind w:right="1350"/>
              <w:spacing w:after="0"/>
              <w:rPr>
                <w:sz w:val="20"/>
                <w:szCs w:val="20"/>
                <w:color w:val="auto"/>
              </w:rPr>
            </w:pPr>
            <w:r>
              <w:rPr>
                <w:rFonts w:ascii="Arial" w:cs="Arial" w:eastAsia="Arial" w:hAnsi="Arial"/>
                <w:sz w:val="18"/>
                <w:szCs w:val="18"/>
                <w:b w:val="1"/>
                <w:bCs w:val="1"/>
                <w:color w:val="auto"/>
              </w:rPr>
              <w:t>13-3757370</w:t>
            </w:r>
          </w:p>
        </w:tc>
      </w:tr>
      <w:tr>
        <w:trPr>
          <w:trHeight w:val="34"/>
        </w:trPr>
        <w:tc>
          <w:tcPr>
            <w:tcW w:w="4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3"/>
        </w:trPr>
        <w:tc>
          <w:tcPr>
            <w:tcW w:w="4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(Commission File Number)</w:t>
            </w: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621"/>
        </w:trPr>
        <w:tc>
          <w:tcPr>
            <w:tcW w:w="4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358 South Main Street,</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70"/>
        </w:trPr>
        <w:tc>
          <w:tcPr>
            <w:tcW w:w="4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Burlington, North Carolina</w:t>
            </w:r>
          </w:p>
        </w:tc>
        <w:tc>
          <w:tcPr>
            <w:tcW w:w="3080" w:type="dxa"/>
            <w:vAlign w:val="bottom"/>
          </w:tcPr>
          <w:p>
            <w:pPr>
              <w:jc w:val="right"/>
              <w:ind w:right="1230"/>
              <w:spacing w:after="0"/>
              <w:rPr>
                <w:sz w:val="20"/>
                <w:szCs w:val="20"/>
                <w:color w:val="auto"/>
              </w:rPr>
            </w:pPr>
            <w:r>
              <w:rPr>
                <w:rFonts w:ascii="Arial" w:cs="Arial" w:eastAsia="Arial" w:hAnsi="Arial"/>
                <w:sz w:val="18"/>
                <w:szCs w:val="18"/>
                <w:b w:val="1"/>
                <w:bCs w:val="1"/>
                <w:color w:val="auto"/>
              </w:rPr>
              <w:t>27215</w:t>
            </w:r>
          </w:p>
        </w:tc>
        <w:tc>
          <w:tcPr>
            <w:tcW w:w="100" w:type="dxa"/>
            <w:vAlign w:val="bottom"/>
          </w:tcPr>
          <w:p>
            <w:pPr>
              <w:spacing w:after="0"/>
              <w:rPr>
                <w:sz w:val="23"/>
                <w:szCs w:val="23"/>
                <w:color w:val="auto"/>
              </w:rPr>
            </w:pPr>
          </w:p>
        </w:tc>
        <w:tc>
          <w:tcPr>
            <w:tcW w:w="3760" w:type="dxa"/>
            <w:vAlign w:val="bottom"/>
          </w:tcPr>
          <w:p>
            <w:pPr>
              <w:jc w:val="right"/>
              <w:ind w:right="1290"/>
              <w:spacing w:after="0"/>
              <w:rPr>
                <w:sz w:val="20"/>
                <w:szCs w:val="20"/>
                <w:color w:val="auto"/>
              </w:rPr>
            </w:pPr>
            <w:r>
              <w:rPr>
                <w:rFonts w:ascii="Arial" w:cs="Arial" w:eastAsia="Arial" w:hAnsi="Arial"/>
                <w:sz w:val="18"/>
                <w:szCs w:val="18"/>
                <w:b w:val="1"/>
                <w:bCs w:val="1"/>
                <w:color w:val="auto"/>
              </w:rPr>
              <w:t>336-229-1127</w:t>
            </w:r>
          </w:p>
        </w:tc>
      </w:tr>
      <w:tr>
        <w:trPr>
          <w:trHeight w:val="34"/>
        </w:trPr>
        <w:tc>
          <w:tcPr>
            <w:tcW w:w="4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29"/>
        </w:trPr>
        <w:tc>
          <w:tcPr>
            <w:tcW w:w="4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31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(Zip Code)</w:t>
            </w:r>
          </w:p>
        </w:tc>
        <w:tc>
          <w:tcPr>
            <w:tcW w:w="3760" w:type="dxa"/>
            <w:vAlign w:val="bottom"/>
          </w:tcPr>
          <w:p>
            <w:pPr>
              <w:jc w:val="center"/>
              <w:spacing w:after="0"/>
              <w:rPr>
                <w:sz w:val="20"/>
                <w:szCs w:val="20"/>
                <w:color w:val="auto"/>
              </w:rPr>
            </w:pPr>
            <w:r>
              <w:rPr>
                <w:rFonts w:ascii="Arial" w:cs="Arial" w:eastAsia="Arial" w:hAnsi="Arial"/>
                <w:sz w:val="18"/>
                <w:szCs w:val="18"/>
                <w:color w:val="auto"/>
                <w:w w:val="90"/>
              </w:rPr>
              <w:t>(Registrant’s telephone number including area</w:t>
            </w:r>
          </w:p>
        </w:tc>
      </w:tr>
      <w:tr>
        <w:trPr>
          <w:trHeight w:val="230"/>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8"/>
              </w:rPr>
              <w:t>code)</w:t>
            </w:r>
          </w:p>
        </w:tc>
      </w:tr>
    </w:tbl>
    <w:p>
      <w:pPr>
        <w:spacing w:after="0" w:line="22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140" w:hanging="105"/>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 pursuant to Rule 425 under the Securities Act (17 CFR 230.425)</w:t>
      </w:r>
    </w:p>
    <w:p>
      <w:pPr>
        <w:spacing w:after="0" w:line="63" w:lineRule="exact"/>
        <w:rPr>
          <w:rFonts w:ascii="Arial" w:cs="Arial" w:eastAsia="Arial" w:hAnsi="Arial"/>
          <w:sz w:val="18"/>
          <w:szCs w:val="18"/>
          <w:color w:val="auto"/>
        </w:rPr>
      </w:pPr>
    </w:p>
    <w:p>
      <w:pPr>
        <w:ind w:left="140" w:hanging="105"/>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63" w:lineRule="exact"/>
        <w:rPr>
          <w:rFonts w:ascii="Arial" w:cs="Arial" w:eastAsia="Arial" w:hAnsi="Arial"/>
          <w:sz w:val="18"/>
          <w:szCs w:val="18"/>
          <w:color w:val="auto"/>
        </w:rPr>
      </w:pPr>
    </w:p>
    <w:p>
      <w:pPr>
        <w:ind w:left="140" w:hanging="105"/>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140" w:hanging="105"/>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20, 2018, Laboratory Corporation of America Holdings (“LabCorp” or the “Company”) announced that Edward T. Dodson, the Company’s Senior Vice President and Chief Accounting Officer (“CAO”), will retire from the Company effective April 1, 2019.</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LabCorp has also announced that Peter Wilkinson will join the Company on January 2, 2019 (the “Start Date”), as Senior Vice President, Accounting.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Wilkinson will assume the role of CAO upon Mr. Dodson’s retirement.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this appointment, Mr. Wilkinson, age 48, served as Executive Vice President and Chief Financial Officer of Syneos Health, Inc.’s Clinical Division, a biopharmaceuticals services organization, from August 2017 to July 2018 and as Senior Vice President and Chief Accounting Officer of INC Research Holdings, Inc., a publicly traded predecessor to Syneos Health, from February 2016 to August 2017. Mr. Wilkinson previously served as Senior Vice President in the INC Research Finance Department from July 2014 to February 2016. Prior to his position with INC Research, Mr. Wilkinson worked as a self-employed financial consultant following an earlier career as a financial and accounting officer at Pharmaceutical Product Development, LLC, a clinical research organization.</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his appointment, Mr. Wilkinson will receive an annual base salary of $360,000 and will be eligible to participate in the Company’s annual cash incentive plan, initially at a target level of 50 percent of his base salary. Mr. Wilkinson will also receive a sign-on bonus of $100,000 (“Signing Bonus”), which Mr. Wilkinson will be required to repay on a pro-rated basis should he voluntarily terminate his employment with the Company prior to the one-year anniversary date of the Start Date.</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subject to future Compensation Committee approval, Mr. Wilkinson is expected to receive an equity grant consisting of a combination of Restricted Stock Units, Stock Options, and Performance Shares with an aggregate value of $400,000, as well as a one-time special grant of Restricted Stock Units with a value of $300,000.</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is no arrangement or understanding with any person pursuant to which Mr. Wilkinson was appointed Senior Vice President or CAO. There are no family relationships between Mr. Wilkinson and any director or executive officer of the Company, and he is not a party to any transaction requiring disclosure under Item 404(a) of Regulation S-K.</w:t>
      </w:r>
    </w:p>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u w:val="single" w:color="auto"/>
          <w:color w:val="auto"/>
        </w:rPr>
        <w:t>LABORATORY CORPORATION OF AMERICA HOLDINGS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A.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Glenn A. Eisenberg</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2018</w:t>
      </w:r>
    </w:p>
    <w:sectPr>
      <w:pgSz w:w="11900" w:h="16838" w:orient="portrait"/>
      <w:cols w:equalWidth="0" w:num="1">
        <w:col w:w="11220"/>
      </w:cols>
      <w:pgMar w:left="240" w:top="5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2019-12-06T02:43:17Z</dcterms:created>
  <dcterms:modified xsi:type="dcterms:W3CDTF">2019-12-06T02:43:17Z</dcterms:modified>
</cp:coreProperties>
</file>