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460" w:hanging="305"/>
        <w:spacing w:after="0"/>
        <w:tabs>
          <w:tab w:leader="none" w:pos="3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w:t>
      </w:r>
    </w:p>
    <w:p>
      <w:pPr>
        <w:spacing w:after="0" w:line="23"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3320" w:hanging="154"/>
        <w:spacing w:after="0"/>
        <w:tabs>
          <w:tab w:leader="none" w:pos="3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w:t>
      </w:r>
    </w:p>
    <w:p>
      <w:pPr>
        <w:spacing w:after="0" w:line="9"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For the transition period from ______ to 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1-11353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LABORATORY CORPORATION OF</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AMERICA HOLDINGS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right"/>
              <w:ind w:right="2330"/>
              <w:spacing w:after="0"/>
              <w:rPr>
                <w:sz w:val="20"/>
                <w:szCs w:val="20"/>
                <w:color w:val="auto"/>
              </w:rPr>
            </w:pPr>
            <w:r>
              <w:rPr>
                <w:rFonts w:ascii="Arial" w:cs="Arial" w:eastAsia="Arial" w:hAnsi="Arial"/>
                <w:sz w:val="18"/>
                <w:szCs w:val="18"/>
                <w:b w:val="1"/>
                <w:bCs w:val="1"/>
                <w:color w:val="auto"/>
              </w:rPr>
              <w:t>13-3757370</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358 South Main Street,</w:t>
            </w:r>
          </w:p>
        </w:tc>
        <w:tc>
          <w:tcPr>
            <w:tcW w:w="5700" w:type="dxa"/>
            <w:vAlign w:val="bottom"/>
          </w:tcPr>
          <w:p>
            <w:pPr>
              <w:spacing w:after="0"/>
              <w:rPr>
                <w:sz w:val="24"/>
                <w:szCs w:val="24"/>
                <w:color w:val="auto"/>
              </w:rPr>
            </w:pPr>
          </w:p>
        </w:tc>
      </w:tr>
      <w:tr>
        <w:trPr>
          <w:trHeight w:val="270"/>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Burlington, North Carolina</w:t>
            </w:r>
          </w:p>
        </w:tc>
        <w:tc>
          <w:tcPr>
            <w:tcW w:w="5700" w:type="dxa"/>
            <w:vAlign w:val="bottom"/>
          </w:tcPr>
          <w:p>
            <w:pPr>
              <w:jc w:val="right"/>
              <w:ind w:right="2530"/>
              <w:spacing w:after="0"/>
              <w:rPr>
                <w:sz w:val="20"/>
                <w:szCs w:val="20"/>
                <w:color w:val="auto"/>
              </w:rPr>
            </w:pPr>
            <w:r>
              <w:rPr>
                <w:rFonts w:ascii="Arial" w:cs="Arial" w:eastAsia="Arial" w:hAnsi="Arial"/>
                <w:sz w:val="18"/>
                <w:szCs w:val="18"/>
                <w:b w:val="1"/>
                <w:bCs w:val="1"/>
                <w:color w:val="auto"/>
              </w:rPr>
              <w:t>27215</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336-229-1127</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(paragraph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4180"/>
        <w:spacing w:after="0"/>
        <w:rPr>
          <w:sz w:val="20"/>
          <w:szCs w:val="20"/>
          <w:color w:val="auto"/>
        </w:rPr>
      </w:pPr>
      <w:r>
        <w:rPr>
          <w:rFonts w:ascii="Arial" w:cs="Arial" w:eastAsia="Arial" w:hAnsi="Arial"/>
          <w:sz w:val="17"/>
          <w:szCs w:val="17"/>
          <w:color w:val="auto"/>
        </w:rPr>
        <w:t>Accelerated Filer [ ]</w:t>
      </w:r>
    </w:p>
    <w:p>
      <w:pPr>
        <w:spacing w:after="0" w:line="75" w:lineRule="exact"/>
        <w:rPr>
          <w:sz w:val="24"/>
          <w:szCs w:val="24"/>
          <w:color w:val="auto"/>
        </w:rPr>
      </w:pPr>
    </w:p>
    <w:p>
      <w:pPr>
        <w:sectPr>
          <w:pgSz w:w="11900" w:h="16838" w:orient="portrait"/>
          <w:cols w:equalWidth="0" w:num="2">
            <w:col w:w="5020" w:space="720"/>
            <w:col w:w="568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4"/>
          <w:szCs w:val="24"/>
          <w:color w:val="auto"/>
        </w:rPr>
      </w:pPr>
    </w:p>
    <w:p>
      <w:pPr>
        <w:sectPr>
          <w:pgSz w:w="11900" w:h="16838" w:orient="portrait"/>
          <w:cols w:equalWidth="0" w:num="2">
            <w:col w:w="5200" w:space="540"/>
            <w:col w:w="5680"/>
          </w:cols>
          <w:pgMar w:left="240" w:top="220"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is 103.0 million shares, net of treasury stock as of October 26, 2016.</w:t>
      </w:r>
    </w:p>
    <w:p>
      <w:pPr>
        <w:sectPr>
          <w:pgSz w:w="11900" w:h="16838" w:orient="portrait"/>
          <w:cols w:equalWidth="0" w:num="1">
            <w:col w:w="11420"/>
          </w:cols>
          <w:pgMar w:left="240" w:top="22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12"/>
        </w:trPr>
        <w:tc>
          <w:tcPr>
            <w:tcW w:w="5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INDEX</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rPr>
              <w:t>PART I. FINANCIAL INFORMATION</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8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September 30, 2016 and December 31, 2015</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2800" w:type="dxa"/>
            <w:vAlign w:val="bottom"/>
            <w:gridSpan w:val="7"/>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and nine months ended September 30, 2016 and 2015</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Earnings</w:t>
              </w:r>
            </w:hyperlink>
          </w:p>
        </w:tc>
        <w:tc>
          <w:tcPr>
            <w:tcW w:w="1780" w:type="dxa"/>
            <w:vAlign w:val="bottom"/>
            <w:gridSpan w:val="3"/>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and nine months ended September 30, 2016 and 2015</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Shareholders’ Equity</w:t>
              </w:r>
            </w:hyperlink>
          </w:p>
        </w:tc>
        <w:tc>
          <w:tcPr>
            <w:tcW w:w="1220" w:type="dxa"/>
            <w:vAlign w:val="bottom"/>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Nine months ended September 30, 2016 and 2015</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38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w w:val="91"/>
              </w:rPr>
              <w:t>Nine months ended September 30, 2016 and 2015</w:t>
            </w:r>
          </w:p>
        </w:tc>
        <w:tc>
          <w:tcPr>
            <w:tcW w:w="2760" w:type="dxa"/>
            <w:vAlign w:val="bottom"/>
            <w:gridSpan w:val="6"/>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38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8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8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2160" w:type="dxa"/>
            <w:vAlign w:val="bottom"/>
            <w:gridSpan w:val="5"/>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48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rPr>
              <w:t>PART II. OTHER INFORMATION</w:t>
            </w: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38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420" w:type="dxa"/>
            <w:vAlign w:val="bottom"/>
          </w:tcPr>
          <w:p>
            <w:pPr>
              <w:spacing w:after="0"/>
              <w:rPr>
                <w:sz w:val="24"/>
                <w:szCs w:val="24"/>
                <w:color w:val="auto"/>
              </w:rPr>
            </w:pPr>
          </w:p>
        </w:tc>
        <w:tc>
          <w:tcPr>
            <w:tcW w:w="5140" w:type="dxa"/>
            <w:vAlign w:val="bottom"/>
            <w:gridSpan w:val="11"/>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386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3740" w:type="dxa"/>
            <w:vAlign w:val="bottom"/>
            <w:gridSpan w:val="9"/>
          </w:tcPr>
          <w:p>
            <w:pPr>
              <w:spacing w:after="0"/>
              <w:rPr>
                <w:sz w:val="24"/>
                <w:szCs w:val="24"/>
                <w:color w:val="auto"/>
              </w:rPr>
            </w:pPr>
          </w:p>
        </w:tc>
        <w:tc>
          <w:tcPr>
            <w:tcW w:w="2120" w:type="dxa"/>
            <w:vAlign w:val="bottom"/>
            <w:gridSpan w:val="4"/>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723"/>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80" w:type="dxa"/>
            <w:vAlign w:val="bottom"/>
            <w:gridSpan w:val="10"/>
          </w:tcPr>
          <w:p>
            <w:pPr>
              <w:jc w:val="center"/>
              <w:ind w:left="389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34"/>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716.4</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0"/>
              </w:rPr>
              <w:t>Accounts receivable, net of allowance for doubtful accounts of $250.8 and $217.0 at September 30, 2016</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and December 31, 2015, respectively</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1,217.9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Supplies inventories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191.0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2,654.9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2,621.2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6,389.0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6,166.3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Joint venture partnerships and equity method investments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14,483.0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14,077.8</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633.1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698.2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423.9</w:t>
            </w: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5,473.2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5,940.3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1,235.0</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323.1</w:t>
            </w: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8,944.0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9,198.9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Common stock, 102.8 and 101.3 shares outstanding at September 30, 2016 and December 31, 2015,</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2,130.3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1,974.5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Less common stock held in treasury</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(978.1)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5,523.4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4,864.0</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14,483.0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14,077.8</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7"/>
        </w:trPr>
        <w:tc>
          <w:tcPr>
            <w:tcW w:w="560" w:type="dxa"/>
            <w:vAlign w:val="bottom"/>
            <w:tcBorders>
              <w:top w:val="single" w:sz="8" w:color="0000EE"/>
            </w:tcBorders>
          </w:tcPr>
          <w:p>
            <w:pPr>
              <w:spacing w:after="0"/>
              <w:rPr>
                <w:sz w:val="24"/>
                <w:szCs w:val="24"/>
                <w:color w:val="auto"/>
              </w:rPr>
            </w:pPr>
          </w:p>
        </w:tc>
        <w:tc>
          <w:tcPr>
            <w:tcW w:w="866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420" w:type="dxa"/>
            <w:vAlign w:val="bottom"/>
            <w:gridSpan w:val="7"/>
          </w:tcPr>
          <w:p>
            <w:pPr>
              <w:jc w:val="center"/>
              <w:ind w:left="17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7180" w:type="dxa"/>
            <w:vAlign w:val="bottom"/>
            <w:gridSpan w:val="4"/>
          </w:tcPr>
          <w:p>
            <w:pPr>
              <w:jc w:val="center"/>
              <w:ind w:left="3030"/>
              <w:spacing w:after="0"/>
              <w:rPr>
                <w:sz w:val="20"/>
                <w:szCs w:val="20"/>
                <w:color w:val="auto"/>
              </w:rPr>
            </w:pPr>
            <w:r>
              <w:rPr>
                <w:rFonts w:ascii="Arial" w:cs="Arial" w:eastAsia="Arial" w:hAnsi="Arial"/>
                <w:sz w:val="18"/>
                <w:szCs w:val="18"/>
                <w:b w:val="1"/>
                <w:bCs w:val="1"/>
                <w:color w:val="auto"/>
                <w:w w:val="89"/>
              </w:rPr>
              <w:t>(in millions, except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5920" w:type="dxa"/>
            <w:vAlign w:val="bottom"/>
          </w:tcPr>
          <w:p>
            <w:pPr>
              <w:jc w:val="center"/>
              <w:ind w:left="429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6"/>
        </w:trPr>
        <w:tc>
          <w:tcPr>
            <w:tcW w:w="5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1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34"/>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34"/>
        </w:trPr>
        <w:tc>
          <w:tcPr>
            <w:tcW w:w="56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6,260.9</w:t>
            </w:r>
          </w:p>
        </w:tc>
      </w:tr>
      <w:tr>
        <w:trPr>
          <w:trHeight w:val="284"/>
        </w:trPr>
        <w:tc>
          <w:tcPr>
            <w:tcW w:w="6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118.7</w:t>
            </w:r>
          </w:p>
        </w:tc>
      </w:tr>
      <w:tr>
        <w:trPr>
          <w:trHeight w:val="244"/>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6,379.6</w:t>
            </w:r>
          </w:p>
        </w:tc>
      </w:tr>
      <w:tr>
        <w:trPr>
          <w:trHeight w:val="270"/>
        </w:trPr>
        <w:tc>
          <w:tcPr>
            <w:tcW w:w="56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4,098.2</w:t>
            </w:r>
          </w:p>
        </w:tc>
      </w:tr>
      <w:tr>
        <w:trPr>
          <w:trHeight w:val="284"/>
        </w:trPr>
        <w:tc>
          <w:tcPr>
            <w:tcW w:w="6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118.7</w:t>
            </w:r>
          </w:p>
        </w:tc>
      </w:tr>
      <w:tr>
        <w:trPr>
          <w:trHeight w:val="271"/>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4,216.9</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2,392.5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2,162.7</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1,221.9</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intangibles and other assets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120.6</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59.9</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760.3</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(218.1)</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method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6480" w:type="dxa"/>
            <w:vAlign w:val="bottom"/>
            <w:gridSpan w:val="2"/>
          </w:tcPr>
          <w:p>
            <w:pPr>
              <w:ind w:left="28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6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546.8</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218.3</w:t>
            </w: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328.5</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6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304"/>
        </w:trPr>
        <w:tc>
          <w:tcPr>
            <w:tcW w:w="6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327.6</w:t>
            </w:r>
          </w:p>
        </w:tc>
      </w:tr>
      <w:tr>
        <w:trPr>
          <w:trHeight w:val="257"/>
        </w:trPr>
        <w:tc>
          <w:tcPr>
            <w:tcW w:w="560" w:type="dxa"/>
            <w:vAlign w:val="bottom"/>
            <w:shd w:val="clear" w:color="auto" w:fill="CCEEFF"/>
          </w:tcPr>
          <w:p>
            <w:pPr>
              <w:spacing w:after="0"/>
              <w:rPr>
                <w:sz w:val="22"/>
                <w:szCs w:val="22"/>
                <w:color w:val="auto"/>
              </w:rPr>
            </w:pPr>
          </w:p>
        </w:tc>
        <w:tc>
          <w:tcPr>
            <w:tcW w:w="5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3.35</w:t>
            </w:r>
          </w:p>
        </w:tc>
      </w:tr>
      <w:tr>
        <w:trPr>
          <w:trHeight w:val="27"/>
        </w:trPr>
        <w:tc>
          <w:tcPr>
            <w:tcW w:w="5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r>
      <w:tr>
        <w:trPr>
          <w:trHeight w:val="27"/>
        </w:trPr>
        <w:tc>
          <w:tcPr>
            <w:tcW w:w="56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08"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4"/>
        </w:trPr>
        <w:tc>
          <w:tcPr>
            <w:tcW w:w="560" w:type="dxa"/>
            <w:vAlign w:val="bottom"/>
            <w:tcBorders>
              <w:top w:val="single" w:sz="8" w:color="0000EE"/>
            </w:tcBorders>
          </w:tcPr>
          <w:p>
            <w:pPr>
              <w:spacing w:after="0"/>
              <w:rPr>
                <w:sz w:val="24"/>
                <w:szCs w:val="24"/>
                <w:color w:val="auto"/>
              </w:rPr>
            </w:pPr>
          </w:p>
        </w:tc>
        <w:tc>
          <w:tcPr>
            <w:tcW w:w="8480" w:type="dxa"/>
            <w:vAlign w:val="bottom"/>
            <w:gridSpan w:val="7"/>
          </w:tcPr>
          <w:p>
            <w:pPr>
              <w:jc w:val="center"/>
              <w:ind w:left="173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740" w:type="dxa"/>
            <w:vAlign w:val="bottom"/>
            <w:gridSpan w:val="8"/>
          </w:tcPr>
          <w:p>
            <w:pPr>
              <w:jc w:val="center"/>
              <w:ind w:left="1470"/>
              <w:spacing w:after="0"/>
              <w:rPr>
                <w:sz w:val="20"/>
                <w:szCs w:val="20"/>
                <w:color w:val="auto"/>
              </w:rPr>
            </w:pPr>
            <w:r>
              <w:rPr>
                <w:rFonts w:ascii="Arial" w:cs="Arial" w:eastAsia="Arial" w:hAnsi="Arial"/>
                <w:sz w:val="18"/>
                <w:szCs w:val="18"/>
                <w:b w:val="1"/>
                <w:bCs w:val="1"/>
                <w:color w:val="auto"/>
                <w:w w:val="99"/>
              </w:rPr>
              <w:t>CONDENSED CONSOLIDATED STATEMENTS OF COMPREHENSIVE EARNINGS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960" w:type="dxa"/>
            <w:vAlign w:val="bottom"/>
          </w:tcPr>
          <w:p>
            <w:pPr>
              <w:jc w:val="center"/>
              <w:ind w:left="4270"/>
              <w:spacing w:after="0"/>
              <w:rPr>
                <w:sz w:val="20"/>
                <w:szCs w:val="20"/>
                <w:color w:val="auto"/>
              </w:rPr>
            </w:pPr>
            <w:r>
              <w:rPr>
                <w:rFonts w:ascii="Arial" w:cs="Arial" w:eastAsia="Arial" w:hAnsi="Arial"/>
                <w:sz w:val="18"/>
                <w:szCs w:val="18"/>
                <w:b w:val="1"/>
                <w:bCs w:val="1"/>
                <w:color w:val="auto"/>
                <w:w w:val="91"/>
              </w:rPr>
              <w:t>(in millions)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5960" w:type="dxa"/>
            <w:vAlign w:val="bottom"/>
          </w:tcPr>
          <w:p>
            <w:pPr>
              <w:jc w:val="center"/>
              <w:ind w:left="425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56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34"/>
        </w:trPr>
        <w:tc>
          <w:tcPr>
            <w:tcW w:w="5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4"/>
        </w:trPr>
        <w:tc>
          <w:tcPr>
            <w:tcW w:w="56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benefit plan adjustments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520" w:type="dxa"/>
            <w:vAlign w:val="bottom"/>
            <w:tcBorders>
              <w:top w:val="single" w:sz="8" w:color="CCEEFF"/>
            </w:tcBorders>
            <w:gridSpan w:val="2"/>
          </w:tcPr>
          <w:p>
            <w:pPr>
              <w:ind w:left="280"/>
              <w:spacing w:after="0"/>
              <w:rPr>
                <w:sz w:val="20"/>
                <w:szCs w:val="20"/>
                <w:color w:val="auto"/>
              </w:rPr>
            </w:pPr>
            <w:r>
              <w:rPr>
                <w:rFonts w:ascii="Arial" w:cs="Arial" w:eastAsia="Arial" w:hAnsi="Arial"/>
                <w:sz w:val="18"/>
                <w:szCs w:val="18"/>
                <w:color w:val="auto"/>
              </w:rPr>
              <w:t>Other comprehensive (loss) income before tax</w:t>
            </w: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 related to items of other comprehensive earnings</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earnings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Comprehensive earnings (loss) attributable to Laboratory Corporation of America</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537.1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Holdings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Accumulated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Additional</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Other</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5"/>
              </w:rPr>
              <w:t>Total</w:t>
            </w:r>
          </w:p>
        </w:tc>
      </w:tr>
      <w:tr>
        <w:trPr>
          <w:trHeight w:val="203"/>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Common</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Paid-in</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Retained</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Treasury</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Comprehensive</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1"/>
              </w:rPr>
              <w:t>Shareholders’</w:t>
            </w:r>
          </w:p>
        </w:tc>
      </w:tr>
      <w:tr>
        <w:trPr>
          <w:trHeight w:val="206"/>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Stock</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Stock</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Loss</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94"/>
              </w:rPr>
              <w:t>Equity</w:t>
            </w:r>
          </w:p>
        </w:tc>
      </w:tr>
      <w:tr>
        <w:trPr>
          <w:trHeight w:val="40"/>
        </w:trPr>
        <w:tc>
          <w:tcPr>
            <w:tcW w:w="42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7"/>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2,820.5</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w w:val="97"/>
              </w:rPr>
              <w:t>Net earnings attributable to Laboratory Corporation of</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20" w:type="dxa"/>
            <w:vAlign w:val="bottom"/>
          </w:tcPr>
          <w:p>
            <w:pPr>
              <w:ind w:left="40"/>
              <w:spacing w:after="0"/>
              <w:rPr>
                <w:sz w:val="20"/>
                <w:szCs w:val="20"/>
                <w:color w:val="auto"/>
              </w:rPr>
            </w:pPr>
            <w:r>
              <w:rPr>
                <w:rFonts w:ascii="Arial" w:cs="Arial" w:eastAsia="Arial" w:hAnsi="Arial"/>
                <w:sz w:val="18"/>
                <w:szCs w:val="18"/>
                <w:color w:val="auto"/>
              </w:rPr>
              <w:t>America Holdings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327.6</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(269.3)</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w w:val="94"/>
              </w:rPr>
              <w:t>Issuance of common stock for acquisition consideration</w:t>
            </w:r>
          </w:p>
        </w:tc>
        <w:tc>
          <w:tcPr>
            <w:tcW w:w="14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1,761.0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1,762.5</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 stock plans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w w:val="99"/>
              </w:rPr>
              <w:t>Surrender of restricted stock and performance share</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20" w:type="dxa"/>
            <w:vAlign w:val="bottom"/>
          </w:tcPr>
          <w:p>
            <w:pPr>
              <w:ind w:left="4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Income tax benefit from stock options exercised</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10.1</w:t>
            </w:r>
          </w:p>
        </w:tc>
      </w:tr>
      <w:tr>
        <w:trPr>
          <w:trHeight w:val="244"/>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4,807.2</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4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4,864.0</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w w:val="97"/>
              </w:rPr>
              <w:t>Net earnings attributable to Laboratory Corporation of</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20" w:type="dxa"/>
            <w:vAlign w:val="bottom"/>
          </w:tcPr>
          <w:p>
            <w:pPr>
              <w:ind w:left="40"/>
              <w:spacing w:after="0"/>
              <w:rPr>
                <w:sz w:val="20"/>
                <w:szCs w:val="20"/>
                <w:color w:val="auto"/>
              </w:rPr>
            </w:pPr>
            <w:r>
              <w:rPr>
                <w:rFonts w:ascii="Arial" w:cs="Arial" w:eastAsia="Arial" w:hAnsi="Arial"/>
                <w:sz w:val="18"/>
                <w:szCs w:val="18"/>
                <w:color w:val="auto"/>
              </w:rPr>
              <w:t>America Holdings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547.7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547.7</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 stock plans</w:t>
            </w:r>
          </w:p>
        </w:tc>
        <w:tc>
          <w:tcPr>
            <w:tcW w:w="14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67.4</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Surrender of restricted stock and performance share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Conversion of zero-coupon convertible debt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r>
      <w:tr>
        <w:trPr>
          <w:trHeight w:val="244"/>
        </w:trPr>
        <w:tc>
          <w:tcPr>
            <w:tcW w:w="42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AT SEPTEMBER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2,130.3</w:t>
            </w: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4,770.7</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(1,011.7)</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(378.0)</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5,523.4</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77"/>
        </w:trPr>
        <w:tc>
          <w:tcPr>
            <w:tcW w:w="560" w:type="dxa"/>
            <w:vAlign w:val="bottom"/>
            <w:tcBorders>
              <w:top w:val="single" w:sz="8" w:color="0000EE"/>
            </w:tcBorders>
          </w:tcPr>
          <w:p>
            <w:pPr>
              <w:spacing w:after="0"/>
              <w:rPr>
                <w:sz w:val="24"/>
                <w:szCs w:val="24"/>
                <w:color w:val="auto"/>
              </w:rPr>
            </w:pPr>
          </w:p>
        </w:tc>
        <w:tc>
          <w:tcPr>
            <w:tcW w:w="9500" w:type="dxa"/>
            <w:vAlign w:val="bottom"/>
            <w:gridSpan w:val="4"/>
          </w:tcPr>
          <w:p>
            <w:pPr>
              <w:jc w:val="center"/>
              <w:ind w:left="71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802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5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34"/>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34"/>
        </w:trPr>
        <w:tc>
          <w:tcPr>
            <w:tcW w:w="5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328.5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339.5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(Gain)/loss on sale of assets</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interest on zero-coupon subordinated notes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Cumulative earnings less than (in excess of) distributions from equity method investments</w:t>
            </w:r>
          </w:p>
        </w:tc>
        <w:tc>
          <w:tcPr>
            <w:tcW w:w="1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assets and liabilities (net of effects of acquisitions):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Increase in accounts receivable (net)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unbilled services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(Increase) decrease in supplies inventories</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prepaid expenses and other</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Decrease in accounts payable</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unearned revenue</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84"/>
        </w:trPr>
        <w:tc>
          <w:tcPr>
            <w:tcW w:w="85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Decrease in accrued expenses and other</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597.8</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Investments in equity affiliates</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(3,692.7)</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(3,866.3)</w:t>
            </w: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senior note offerings</w:t>
            </w: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2,900.0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term loan</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term loan</w:t>
            </w: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revolving credit facilities</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revolving credit facilities</w:t>
            </w: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bridge loan</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bridge loan</w:t>
            </w: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senior notes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zero-coupon subordinated notes</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 of debt issuance costs</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Noncontrolling interest distributions</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acquisition costs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long-term lease obligations</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benefits from stock 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proceeds from issuance of stock to employees</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89.2</w:t>
            </w:r>
          </w:p>
        </w:tc>
      </w:tr>
      <w:tr>
        <w:trPr>
          <w:trHeight w:val="27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for) provided by financing activities</w:t>
            </w: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3,424.2</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580.0</w:t>
            </w: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713.0</w:t>
            </w:r>
          </w:p>
        </w:tc>
      </w:tr>
      <w:tr>
        <w:trPr>
          <w:trHeight w:val="20"/>
        </w:trPr>
        <w:tc>
          <w:tcPr>
            <w:tcW w:w="5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08" w:right="239" w:bottom="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57"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FINANCIAL STATEMENT PRESENTATION</w:t>
      </w:r>
    </w:p>
    <w:p>
      <w:pPr>
        <w:spacing w:after="0" w:line="135"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Laboratory Corporation of America Holdings together with its subsidiaries (the Company) is the world’s leading healthcare diagnostics company, providing comprehensive clinical laboratory services and end-to-end drug development support. The Company’s strategic vision is to improve health and improve lives by delivering world class diagnostic solutions, bringing innovative medicines to patients faster, and changing the way care is provided through the deployment of technology-enabled solutions. The Company serves managed care organizations (MCOs), biopharmaceutical companies, governmental agencies, physicians, hospitals and health systems, employers, patients and consumers, food and nutritional companies and independent clinical laboratories. The Company believes that it generated more revenue from laboratory testing than any other company in the world in 2015.</w:t>
      </w:r>
    </w:p>
    <w:p>
      <w:pPr>
        <w:spacing w:after="0" w:line="7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reports its business in two segments, LabCorp Diagnostics (LCD) and Covance Drug Development (CDD). For further financial information about these segments, see Note 14 (Business Segment Information). During the three months ended September 30, 2016, LCD and CDD contributed 70.5% and 29.5%, respectively, of net revenues to the Company. During the nine months ended September 30, 2016, LCD and CDD contributed 69.8% and 30.2%, respectively, of net revenues to the Company.</w:t>
      </w:r>
    </w:p>
    <w:p>
      <w:pPr>
        <w:spacing w:after="0" w:line="9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condensed consolidated financial statements.</w:t>
      </w:r>
    </w:p>
    <w:p>
      <w:pPr>
        <w:spacing w:after="0" w:line="9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w:t>
      </w:r>
    </w:p>
    <w:p>
      <w:pPr>
        <w:spacing w:after="0" w:line="8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 (GAAP).</w:t>
      </w:r>
    </w:p>
    <w:p>
      <w:pPr>
        <w:spacing w:after="0" w:line="60"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condensed consolidated financial statements and notes are presented in accordance with the rules and regulations of the Securities and Exchange Commission and do not contain certain information included in the Company’s 2015 Annual Report on Form 10-K, as amended. Therefore, the interim statements should be read in conjunction with the consolidated financial statements and notes thereto contained in the Company’s Annual Report.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Financial Accounting Standards Board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GAAP.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 The Company plans to adopt using the full retrospective method and is currently evaluating the expected impact of the standard.</w:t>
      </w:r>
    </w:p>
    <w:p>
      <w:pPr>
        <w:spacing w:after="0" w:line="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interim periods within annual periods ending after December 15, 2016, with early adoption permitted. The adoption of this standard is not expected to have a material impact on the consolidated financial statements.</w:t>
      </w:r>
    </w:p>
    <w:p>
      <w:pPr>
        <w:spacing w:after="0" w:line="21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2015, the FASB issued a new accounting standard that requires deferred tax liabilities and assets to be classified as noncurrent on the consolidated balance sheet. The Company early adopted this standard on a full-retrospective basis as of March 31, 2016. The adoption of this standard did not have a material impact on the consolidated financial statements.</w:t>
      </w:r>
    </w:p>
    <w:p>
      <w:pPr>
        <w:spacing w:after="0" w:line="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 from the first entity or to exchange other financial instruments on potentially favorable terms with the first entity. The standard will be effective for the Company beginning January 1, 2018, with early adoption permitted. The Company is evaluating the impact that this new standard will have on the consolidated financial statements.</w:t>
      </w:r>
    </w:p>
    <w:p>
      <w:pPr>
        <w:spacing w:after="0" w:line="21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February 2016, the FASB issued a new accounting standard that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based on guidance similar to current guidance for operating leases. The new standard requires lessors to account for leases using an approach that is substantially equivalent to existing guidance for sales-type leases, direct financing leases and operating leases. The standard is effective on January 1, 2019, with early adoption permitted. The Company is evaluating the impact that this new standard will have on the consolidated financial statements.</w:t>
      </w:r>
    </w:p>
    <w:p>
      <w:pPr>
        <w:spacing w:after="0" w:line="20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March 2016, the FASB issued a new accounting standard intended to simplify aspects of share-based payment accounting. The standard changes how companies account for certain aspects of share-based payment awards to employees, including the accounting for income taxes, forfeitures, and statutory tax withholding requirements, as well as the classification of related matters in the statement of cash flows. The update is effective on January 1, 2017, with early adoption permitted. The Company early adopted this standard in the quarter ended September 30, 2016. As a result of the adoption, a tax benefit of $13.4 was recorded for the nine months ended September 30, 2016, $3.6 of which related to the three months ended September 30, 2016. In addition, excess income tax benefits from share-based payment awards are classified as an operating activity under this standard. Excess tax benefits related to the settlement of share-based payments of $10.5 have been reclassified from financing activities to operating activities for the six months ended June 30, 2016. Weighted average diluted shares for the three months ended March 31, 2016 and June 30, 2016 increased by 0.2 and 0.3, respectively, due to the adoption of this standard.</w:t>
      </w:r>
    </w:p>
    <w:p>
      <w:pPr>
        <w:spacing w:after="0" w:line="19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March 2016, the FASB issued a new accounting standard intended to simplify aspects of the equity method of accounting. The standard eliminates the requirement that when an investment qualifies for use of the equity method of accounting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standard requires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update is effective on January 1, 2017, with early adoption permitted. The adoption of this standard is not expected to have a material impact on the consolidated financial statements.</w:t>
      </w:r>
    </w:p>
    <w:p>
      <w:pPr>
        <w:spacing w:after="0" w:line="20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2016, the FASB issued a new accounting standard intended to provide financial statement users with more decision-useful information about expected credit losses and other commitments to extend credit held by the reporting entity. The standard replaces the incurred loss impairment methodology in current GAAP with one that reflects expected credit losses and requires consideration of a broader range of reasonable and supportable information to inform credit loss estimates. The update is effective on January 1, 2020, with early adoption permitted. The Company is currently evaluating this new standard and the impact it will have on the consolidated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August 2016, the FASB issued a new accounting standard that will make eight targeted changes to how cash receipts and cash payments are presented and classified in the statement of cash flows. This update is effective on January 1, 2018, and will require adoption on a retrospective basis. The Company is currently evaluating the impact the application of this new standard will have on the Company’s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reclassified debt issuance costs from prepaid expenses and other assets, net to direct deductions from the associated debt liability in the December 31, 2015 consolidated balance sheet in accordance with the implementation of an FASB standard update that the company adopted as of January 1, 2016.</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the Company has reclassified short-term deferred tax assets and short-term deferred tax liabilities to net long-term deferred tax assets and net long-term deferred tax liabilities by jurisdiction, respectively, in the December 31, 2015 consolidated balance sheet in accordance with the implementation of an FASB standard update that the Company adopted as of January 1, 2016.</w:t>
      </w:r>
    </w:p>
    <w:p>
      <w:pPr>
        <w:spacing w:after="0" w:line="8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During the quarter, the Company changed its financial statement classification for certain gross receipts taxes, removing these taxes from its provision for income taxes and moving this expense into selling, general and administrative expenses. This change in presentation has been made for all periods presented.</w:t>
      </w:r>
    </w:p>
    <w:p>
      <w:pPr>
        <w:spacing w:after="0" w:line="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a result of the early adoption of the accounting standard update associated with simplifying several aspects of share-based compensation, certain reclassifications have been made to prior period financial statements to conform with the current period presentation. For further details regarding the impact of the new standard, see New Accounting Pronouncements.</w:t>
      </w:r>
    </w:p>
    <w:p>
      <w:pPr>
        <w:spacing w:after="0" w:line="8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1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completed the acquisition of Sequenom, Inc., a market leader in non-invasive prenatal testing, women's health and reproductive genetics on September 7, 2016 through a cash tender offer for $2.40 per share, or a transaction price of $249.1, net of cash received, and acquired $130.0 of debt. The allocation of purchase price for Sequenom, Inc. is preliminary and subject to change. The primary areas of the purchase price that are not yet finalized are related to certain income tax items, intangible assets, working capital adjustments, amortization lives and residual goodwill. This acquisition is not considered material for purposes of the disclosure of proforma information. During the nine months ended September 30, 2016, the Company acquired various other laboratories and related assets for approximately $147.7 in cash (net of cash acquired).</w:t>
      </w:r>
    </w:p>
    <w:p>
      <w:pPr>
        <w:spacing w:after="0" w:line="20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purchase consideration for these acquisitions has been allocated to the estimated fair market value of the net assets acquired, including approximately $212.4 in identifiable intangible assets (primarily customer relationships, technology and trade names) and a residual amount of goodwill of approximately $292.2. These acquisitions extend the Company's geographic reach in important market areas and/or enhance the Company's scientific differentiation and testing capabilities.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6, 2016, the Company also completed the acquisition of Center for Disease Detection for total consideration of $115.0.</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The Company completed the acquisition of Covance Inc. (Acquisition) for $6,150.7 on February 19, 2015 (Acquisition Date). The Company finalized its purchase price allocation during the measurement period. The facts and circumstances that existed at the date of the Acquisition, if known, would have affected the measurement of the amounts recognized at that date.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measurement period adjustments are not included in current earnings, but recognized as of the date of the acquisition with a corresponding adjustment to goodwill resulting from the change in preliminary amounts. As a result, the Company adjusted the preliminary allocation of the purchase price initially recorded at the Acquisition Date to reflect these measurement period adjustments.</w:t>
      </w:r>
    </w:p>
    <w:p>
      <w:pPr>
        <w:spacing w:after="0" w:line="22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the quarter ended September 30, 2016, the Company revised the final purchase price allocation for Covance Inc. as disclosed in the first quarter. As a result, an out of period adjustment of $25.6 was recorded to reduce goodwill and increase a deferred tax asset, which is included in the deferred taxes and other tax liabilities line item. The Company concluded that the impact was not material to the current or prior periods.</w:t>
      </w:r>
    </w:p>
    <w:p>
      <w:pPr>
        <w:spacing w:after="0" w:line="6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3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dilutive common shares result primarily from the Company’s outstanding stock options, restricted stock awards, restricted stock units, performance share awards, and shares issuable upon conversion of zero-coupon subordinated notes.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color w:val="auto"/>
                <w:w w:val="85"/>
              </w:rPr>
              <w:t>Three Months Ended September 30,</w:t>
            </w: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82"/>
              </w:rPr>
              <w:t>Per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82"/>
              </w:rPr>
              <w:t>Per</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82"/>
              </w:rPr>
              <w:t>Per</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2"/>
              <w:spacing w:after="0"/>
              <w:rPr>
                <w:sz w:val="20"/>
                <w:szCs w:val="20"/>
                <w:color w:val="auto"/>
              </w:rPr>
            </w:pPr>
            <w:r>
              <w:rPr>
                <w:rFonts w:ascii="Arial" w:cs="Arial" w:eastAsia="Arial" w:hAnsi="Arial"/>
                <w:sz w:val="14"/>
                <w:szCs w:val="14"/>
                <w:color w:val="auto"/>
                <w:w w:val="82"/>
              </w:rPr>
              <w:t>Per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0"/>
              </w:rPr>
              <w:t>Share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Share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0"/>
              </w:rPr>
              <w:t>Share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0"/>
              </w:rPr>
              <w:t>Share</w:t>
            </w:r>
          </w:p>
        </w:tc>
        <w:tc>
          <w:tcPr>
            <w:tcW w:w="0" w:type="dxa"/>
            <w:vAlign w:val="bottom"/>
          </w:tcPr>
          <w:p>
            <w:pPr>
              <w:spacing w:after="0"/>
              <w:rPr>
                <w:sz w:val="1"/>
                <w:szCs w:val="1"/>
                <w:color w:val="auto"/>
              </w:rPr>
            </w:pPr>
          </w:p>
        </w:tc>
      </w:tr>
      <w:tr>
        <w:trPr>
          <w:trHeight w:val="200"/>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Earnings</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w w:val="99"/>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Earnings</w:t>
            </w:r>
          </w:p>
        </w:tc>
        <w:tc>
          <w:tcPr>
            <w:tcW w:w="600" w:type="dxa"/>
            <w:vAlign w:val="bottom"/>
            <w:gridSpan w:val="2"/>
          </w:tcPr>
          <w:p>
            <w:pPr>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Amount</w:t>
            </w:r>
          </w:p>
        </w:tc>
        <w:tc>
          <w:tcPr>
            <w:tcW w:w="780" w:type="dxa"/>
            <w:vAlign w:val="bottom"/>
            <w:gridSpan w:val="3"/>
          </w:tcPr>
          <w:p>
            <w:pPr>
              <w:ind w:left="100"/>
              <w:spacing w:after="0"/>
              <w:rPr>
                <w:sz w:val="20"/>
                <w:szCs w:val="20"/>
                <w:color w:val="auto"/>
              </w:rPr>
            </w:pPr>
            <w:r>
              <w:rPr>
                <w:rFonts w:ascii="Arial" w:cs="Arial" w:eastAsia="Arial" w:hAnsi="Arial"/>
                <w:sz w:val="14"/>
                <w:szCs w:val="14"/>
                <w:color w:val="auto"/>
              </w:rPr>
              <w:t>Earnings</w:t>
            </w:r>
          </w:p>
        </w:tc>
        <w:tc>
          <w:tcPr>
            <w:tcW w:w="540" w:type="dxa"/>
            <w:vAlign w:val="bottom"/>
          </w:tcPr>
          <w:p>
            <w:pPr>
              <w:jc w:val="right"/>
              <w:ind w:right="32"/>
              <w:spacing w:after="0"/>
              <w:rPr>
                <w:sz w:val="20"/>
                <w:szCs w:val="20"/>
                <w:color w:val="auto"/>
              </w:rPr>
            </w:pPr>
            <w:r>
              <w:rPr>
                <w:rFonts w:ascii="Arial" w:cs="Arial" w:eastAsia="Arial" w:hAnsi="Arial"/>
                <w:sz w:val="14"/>
                <w:szCs w:val="14"/>
                <w:color w:val="auto"/>
                <w:w w:val="94"/>
              </w:rPr>
              <w:t>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Amount</w:t>
            </w:r>
          </w:p>
        </w:tc>
        <w:tc>
          <w:tcPr>
            <w:tcW w:w="780" w:type="dxa"/>
            <w:vAlign w:val="bottom"/>
            <w:gridSpan w:val="3"/>
          </w:tcPr>
          <w:p>
            <w:pPr>
              <w:ind w:left="100"/>
              <w:spacing w:after="0"/>
              <w:rPr>
                <w:sz w:val="20"/>
                <w:szCs w:val="20"/>
                <w:color w:val="auto"/>
              </w:rPr>
            </w:pPr>
            <w:r>
              <w:rPr>
                <w:rFonts w:ascii="Arial" w:cs="Arial" w:eastAsia="Arial" w:hAnsi="Arial"/>
                <w:sz w:val="14"/>
                <w:szCs w:val="14"/>
                <w:color w:val="auto"/>
              </w:rPr>
              <w:t>Earnings</w:t>
            </w: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660" w:type="dxa"/>
            <w:vAlign w:val="bottom"/>
          </w:tcPr>
          <w:p>
            <w:pPr>
              <w:jc w:val="center"/>
              <w:ind w:right="72"/>
              <w:spacing w:after="0"/>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6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179.5</w:t>
            </w:r>
          </w:p>
        </w:tc>
        <w:tc>
          <w:tcPr>
            <w:tcW w:w="12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102.9</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154.7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w w:val="91"/>
              </w:rPr>
              <w:t>101.1</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2"/>
                <w:szCs w:val="22"/>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547.7</w:t>
            </w: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102.3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22"/>
                <w:szCs w:val="22"/>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327.6</w:t>
            </w: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72"/>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employee stock options and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Effect of convertible debt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960" w:type="dxa"/>
            <w:vAlign w:val="bottom"/>
          </w:tcPr>
          <w:p>
            <w:pPr>
              <w:ind w:left="180"/>
              <w:spacing w:after="0"/>
              <w:rPr>
                <w:sz w:val="20"/>
                <w:szCs w:val="20"/>
                <w:color w:val="auto"/>
              </w:rPr>
            </w:pPr>
            <w:r>
              <w:rPr>
                <w:rFonts w:ascii="Arial" w:cs="Arial" w:eastAsia="Arial" w:hAnsi="Arial"/>
                <w:sz w:val="14"/>
                <w:szCs w:val="14"/>
                <w:color w:val="auto"/>
                <w:w w:val="95"/>
              </w:rPr>
              <w:t>Net earnings including impact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color w:val="auto"/>
              </w:rPr>
              <w:t>179.5</w:t>
            </w:r>
          </w:p>
        </w:tc>
        <w:tc>
          <w:tcPr>
            <w:tcW w:w="120" w:type="dxa"/>
            <w:vAlign w:val="bottom"/>
          </w:tcPr>
          <w:p>
            <w:pPr>
              <w:spacing w:after="0"/>
              <w:rPr>
                <w:sz w:val="14"/>
                <w:szCs w:val="14"/>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color w:val="auto"/>
              </w:rPr>
              <w:t>104.9</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color w:val="auto"/>
              </w:rPr>
              <w:t>154.7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52"/>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color w:val="auto"/>
              </w:rPr>
              <w:t>547.7</w:t>
            </w:r>
          </w:p>
        </w:tc>
        <w:tc>
          <w:tcPr>
            <w:tcW w:w="120" w:type="dxa"/>
            <w:vAlign w:val="bottom"/>
          </w:tcPr>
          <w:p>
            <w:pPr>
              <w:spacing w:after="0"/>
              <w:rPr>
                <w:sz w:val="14"/>
                <w:szCs w:val="14"/>
                <w:color w:val="auto"/>
              </w:rPr>
            </w:pPr>
          </w:p>
        </w:tc>
        <w:tc>
          <w:tcPr>
            <w:tcW w:w="540" w:type="dxa"/>
            <w:vAlign w:val="bottom"/>
            <w:vMerge w:val="restart"/>
          </w:tcPr>
          <w:p>
            <w:pPr>
              <w:jc w:val="right"/>
              <w:ind w:right="32"/>
              <w:spacing w:after="0"/>
              <w:rPr>
                <w:sz w:val="20"/>
                <w:szCs w:val="20"/>
                <w:color w:val="auto"/>
              </w:rPr>
            </w:pPr>
            <w:r>
              <w:rPr>
                <w:rFonts w:ascii="Arial" w:cs="Arial" w:eastAsia="Arial" w:hAnsi="Arial"/>
                <w:sz w:val="14"/>
                <w:szCs w:val="14"/>
                <w:color w:val="auto"/>
              </w:rPr>
              <w:t>104.2</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4"/>
                <w:szCs w:val="14"/>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color w:val="auto"/>
              </w:rPr>
              <w:t>327.6</w:t>
            </w:r>
          </w:p>
        </w:tc>
        <w:tc>
          <w:tcPr>
            <w:tcW w:w="120" w:type="dxa"/>
            <w:vAlign w:val="bottom"/>
          </w:tcPr>
          <w:p>
            <w:pPr>
              <w:spacing w:after="0"/>
              <w:rPr>
                <w:sz w:val="14"/>
                <w:szCs w:val="14"/>
                <w:color w:val="auto"/>
              </w:rPr>
            </w:pPr>
          </w:p>
        </w:tc>
        <w:tc>
          <w:tcPr>
            <w:tcW w:w="540" w:type="dxa"/>
            <w:vAlign w:val="bottom"/>
            <w:vMerge w:val="restart"/>
          </w:tcPr>
          <w:p>
            <w:pPr>
              <w:jc w:val="right"/>
              <w:ind w:right="32"/>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73"/>
        </w:trPr>
        <w:tc>
          <w:tcPr>
            <w:tcW w:w="1960" w:type="dxa"/>
            <w:vAlign w:val="bottom"/>
          </w:tcPr>
          <w:p>
            <w:pPr>
              <w:ind w:left="180"/>
              <w:spacing w:after="0"/>
              <w:rPr>
                <w:sz w:val="20"/>
                <w:szCs w:val="20"/>
                <w:color w:val="auto"/>
              </w:rPr>
            </w:pPr>
            <w:r>
              <w:rPr>
                <w:rFonts w:ascii="Arial" w:cs="Arial" w:eastAsia="Arial" w:hAnsi="Arial"/>
                <w:sz w:val="14"/>
                <w:szCs w:val="14"/>
                <w:color w:val="auto"/>
              </w:rPr>
              <w:t>of dilutive adjustments</w:t>
            </w:r>
          </w:p>
        </w:tc>
        <w:tc>
          <w:tcPr>
            <w:tcW w:w="1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w w:val="91"/>
              </w:rPr>
              <w:t>102.9</w:t>
            </w:r>
          </w:p>
        </w:tc>
        <w:tc>
          <w:tcPr>
            <w:tcW w:w="1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960" w:type="dxa"/>
            <w:vAlign w:val="bottom"/>
            <w:gridSpan w:val="4"/>
          </w:tcPr>
          <w:p>
            <w:pPr>
              <w:jc w:val="center"/>
              <w:ind w:left="31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right"/>
              <w:ind w:right="230"/>
              <w:spacing w:after="0"/>
              <w:rPr>
                <w:sz w:val="20"/>
                <w:szCs w:val="20"/>
                <w:color w:val="auto"/>
              </w:rPr>
            </w:pPr>
            <w:r>
              <w:rPr>
                <w:rFonts w:ascii="Arial" w:cs="Arial" w:eastAsia="Arial" w:hAnsi="Arial"/>
                <w:sz w:val="18"/>
                <w:szCs w:val="18"/>
                <w:color w:val="auto"/>
              </w:rPr>
              <w:t>Nine Months Ended</w:t>
            </w:r>
          </w:p>
        </w:tc>
      </w:tr>
      <w:tr>
        <w:trPr>
          <w:trHeight w:val="230"/>
        </w:trPr>
        <w:tc>
          <w:tcPr>
            <w:tcW w:w="6860" w:type="dxa"/>
            <w:vAlign w:val="bottom"/>
          </w:tcPr>
          <w:p>
            <w:pPr>
              <w:spacing w:after="0"/>
              <w:rPr>
                <w:sz w:val="20"/>
                <w:szCs w:val="20"/>
                <w:color w:val="auto"/>
              </w:rPr>
            </w:pPr>
          </w:p>
        </w:tc>
        <w:tc>
          <w:tcPr>
            <w:tcW w:w="196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September 30,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450"/>
              <w:spacing w:after="0"/>
              <w:rPr>
                <w:sz w:val="20"/>
                <w:szCs w:val="20"/>
                <w:color w:val="auto"/>
              </w:rPr>
            </w:pPr>
            <w:r>
              <w:rPr>
                <w:rFonts w:ascii="Arial" w:cs="Arial" w:eastAsia="Arial" w:hAnsi="Arial"/>
                <w:sz w:val="18"/>
                <w:szCs w:val="18"/>
                <w:color w:val="auto"/>
              </w:rPr>
              <w:t>September 30,</w:t>
            </w:r>
          </w:p>
        </w:tc>
      </w:tr>
      <w:tr>
        <w:trPr>
          <w:trHeight w:val="34"/>
        </w:trPr>
        <w:tc>
          <w:tcPr>
            <w:tcW w:w="6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58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600" w:type="dxa"/>
            <w:vAlign w:val="bottom"/>
            <w:gridSpan w:val="4"/>
          </w:tcPr>
          <w:p>
            <w:pPr>
              <w:jc w:val="right"/>
              <w:ind w:right="2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2015</w:t>
            </w:r>
          </w:p>
        </w:tc>
      </w:tr>
      <w:tr>
        <w:trPr>
          <w:trHeight w:val="34"/>
        </w:trPr>
        <w:tc>
          <w:tcPr>
            <w:tcW w:w="68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580" w:type="dxa"/>
            <w:vAlign w:val="bottom"/>
            <w:gridSpan w:val="2"/>
            <w:shd w:val="clear" w:color="auto" w:fill="CCEEFF"/>
          </w:tcPr>
          <w:p>
            <w:pPr>
              <w:jc w:val="right"/>
              <w:ind w:right="6470"/>
              <w:spacing w:after="0"/>
              <w:rPr>
                <w:sz w:val="20"/>
                <w:szCs w:val="20"/>
                <w:color w:val="auto"/>
              </w:rPr>
            </w:pPr>
            <w:r>
              <w:rPr>
                <w:rFonts w:ascii="Arial" w:cs="Arial" w:eastAsia="Arial" w:hAnsi="Arial"/>
                <w:sz w:val="18"/>
                <w:szCs w:val="18"/>
                <w:color w:val="auto"/>
                <w:w w:val="92"/>
              </w:rPr>
              <w:t>Stock options</w:t>
            </w:r>
          </w:p>
        </w:tc>
        <w:tc>
          <w:tcPr>
            <w:tcW w:w="1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8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SPECIAL CHARGES</w:t>
      </w:r>
    </w:p>
    <w:p>
      <w:pPr>
        <w:spacing w:after="0" w:line="135"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During the first nine months of 2016, the Company recorded net restructuring and other special charges of $48.6; $9.7 within LCD and $38.9 within CDD. The charges were comprised of $23.1 related to severance and other personnel costs along with $30.7 in costs associated with facility closures. A substantial portion of these costs relate to the planned closure of duplicative data center operations and other facilities. The Company reversed previously established reserves of $2.4 in unused severance reserves primarily as the result of selling one of its minimum volume service contract facilities to a third party and $2.8 for costs related to unused facilities. The Company incurred additional legal and other costs of $4.0 relating to the wind down of its minimum volume service contract operations and incurred $7.4 in acquisition fees and expenses. The Company also recorded $5.5 in consulting expenses relating to fees incurred as part of its Acquisition integration costs and compensation analysis, along with $2.3 in short-term equity retention arrangements relating to the Acquisition and $7.4 of accelerated equity compensation and other final compensation relating to executive transition (all recorded in selling, general and administrative expenses). In addition, the Company incurred $8.1 of non-capitalized costs associated with the implementation of a major system as part of its LaunchPad business process improvement initiative. In conjunction with certain international legal entity tax structuring, the Company recorded a one-time tax liability of $1.1. The Company also incurred $5.6 of interest expense relating to the early retirement of subsidiary indebtedness assumed as part of its recent acquisition of Sequenom.</w:t>
      </w:r>
    </w:p>
    <w:p>
      <w:pPr>
        <w:spacing w:after="0" w:line="20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23, 2016, the Company entered into agreements to sell a site and certain moveable assets associated with the wind down of its minimum volume service contract operations subject to certain conditions. The sale is expected to be completed in the fourth quarter. The assets involved had previously been fully written down upon the closure of the site and the anticipated gain is not significant.</w:t>
      </w:r>
    </w:p>
    <w:p>
      <w:pPr>
        <w:spacing w:after="0" w:line="20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During the first nine months of 2015, the Company recorded net restructuring and other special charges of $59.9. The charges were comprised of $33.8 related to severance and other personnel costs along with $27.1 in costs associated with facility closures and impairment of certain technology assets. These charges were partially offset by the reversal of previously established reserves of $1.0 in unused facility-related costs.</w:t>
      </w:r>
    </w:p>
    <w:p>
      <w:pPr>
        <w:spacing w:after="0" w:line="193"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In addition, during the nine months ended September 30, 2015, the Company recorded $17.0 in consulting expenses (recorded in selling, general and administrative expenses) relating to fees incurred as part of LaunchPad. The Company also recorded $166.0 of deal costs related to the Acquisition, of which $113.4 is included in selling, general and administrative expenses and $52.6 is included in interest expense. During the third quarter of 2015, the Company also recorded a non-cash loss of $2.3, upon the dissolution of one of its equity investments, which is included in other, net expenses. The Company also recorded $15.1 in consulting expenses relating to fees as part of its LaunchPad business process improvement initiative as well as Covance integration costs,</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along with $4.3 in short-term equity retention arrangements relating to the Acquisition (all recorded in selling, general and administrative expenses).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Company’s restructuring reserve activities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LCD</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CDD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7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w w:val="89"/>
              </w:rPr>
              <w:t>Severance and Other</w:t>
            </w:r>
          </w:p>
        </w:tc>
        <w:tc>
          <w:tcPr>
            <w:tcW w:w="20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Lease and Other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2"/>
              </w:rPr>
              <w:t>Severance and Other</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Lease and Other</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w w:val="93"/>
              </w:rPr>
              <w:t>Employee Costs</w:t>
            </w:r>
          </w:p>
        </w:tc>
        <w:tc>
          <w:tcPr>
            <w:tcW w:w="20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Facility Costs</w:t>
            </w:r>
          </w:p>
        </w:tc>
        <w:tc>
          <w:tcPr>
            <w:tcW w:w="18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4"/>
              </w:rPr>
              <w:t>Employee Costs</w:t>
            </w:r>
          </w:p>
        </w:tc>
        <w:tc>
          <w:tcPr>
            <w:tcW w:w="16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Facility Costs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restructuring accruals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59.9</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95.6</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changes in the carrying amount of goodwill for the nine-month period ended September 30, 2016 and for the year ended December 31, 2015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LCD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CDD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0"/>
                <w:szCs w:val="20"/>
                <w:color w:val="auto"/>
              </w:rPr>
            </w:pPr>
          </w:p>
        </w:tc>
      </w:tr>
      <w:tr>
        <w:trPr>
          <w:trHeight w:val="34"/>
        </w:trPr>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9"/>
        </w:trPr>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w w:val="88"/>
              </w:rPr>
              <w:t>December 31,</w:t>
            </w:r>
          </w:p>
        </w:tc>
      </w:tr>
      <w:tr>
        <w:trPr>
          <w:trHeight w:val="230"/>
        </w:trPr>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2015</w:t>
            </w:r>
          </w:p>
        </w:tc>
      </w:tr>
      <w:tr>
        <w:trPr>
          <w:trHeight w:val="34"/>
        </w:trPr>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r>
      <w:tr>
        <w:trPr>
          <w:trHeight w:val="229"/>
        </w:trPr>
        <w:tc>
          <w:tcPr>
            <w:tcW w:w="2280" w:type="dxa"/>
            <w:vAlign w:val="bottom"/>
          </w:tcPr>
          <w:p>
            <w:pPr>
              <w:ind w:left="40"/>
              <w:spacing w:after="0"/>
              <w:rPr>
                <w:sz w:val="20"/>
                <w:szCs w:val="20"/>
                <w:color w:val="auto"/>
              </w:rPr>
            </w:pPr>
            <w:r>
              <w:rPr>
                <w:rFonts w:ascii="Arial" w:cs="Arial" w:eastAsia="Arial" w:hAnsi="Arial"/>
                <w:sz w:val="18"/>
                <w:szCs w:val="18"/>
                <w:color w:val="auto"/>
              </w:rPr>
              <w:t>Goodwill  acquired  during</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the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280" w:type="dxa"/>
            <w:vAlign w:val="bottom"/>
          </w:tcPr>
          <w:p>
            <w:pPr>
              <w:ind w:left="40"/>
              <w:spacing w:after="0"/>
              <w:rPr>
                <w:sz w:val="20"/>
                <w:szCs w:val="20"/>
                <w:color w:val="auto"/>
              </w:rPr>
            </w:pPr>
            <w:r>
              <w:rPr>
                <w:rFonts w:ascii="Arial" w:cs="Arial" w:eastAsia="Arial" w:hAnsi="Arial"/>
                <w:sz w:val="18"/>
                <w:szCs w:val="18"/>
                <w:color w:val="auto"/>
              </w:rPr>
              <w:t>period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2,969.0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3,194.6</w:t>
            </w:r>
          </w:p>
        </w:tc>
      </w:tr>
      <w:tr>
        <w:trPr>
          <w:trHeight w:val="27"/>
        </w:trPr>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goodwill</w:t>
            </w: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64"/>
        </w:trPr>
        <w:tc>
          <w:tcPr>
            <w:tcW w:w="22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3,541.9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3,201.7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2,847.1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2,964.6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6,389.0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6,166.3</w:t>
            </w:r>
          </w:p>
        </w:tc>
      </w:tr>
      <w:tr>
        <w:trPr>
          <w:trHeight w:val="20"/>
        </w:trPr>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8"/>
                <w:szCs w:val="18"/>
                <w:color w:val="auto"/>
                <w:w w:val="88"/>
              </w:rPr>
              <w:t>September 30, 2016</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2015</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9"/>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3,257.9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3,137.8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164.9</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285.4</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use right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Canadian licenses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451.0</w:t>
            </w: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4,617.5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4,356.0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Amortization of intangible assets for the three-month and nine-month periods ended September 30, 2016 was $41.1 and $130.7, respectively; and $44.9 and $120.6 for the three-month and nine-month periods ended September 30, 2015, respectively. Amortization expense for the net carrying amount of intangible assets is estimated to be $39.2 for the remainder of fiscal 2016, $172.3 in fiscal 2017, $159.4 in fiscal 2018, $151.9 in fiscal 2019, $145.4 in fiscal 2020 and $2,053.8 thereafter.</w:t>
      </w:r>
    </w:p>
    <w:p>
      <w:pPr>
        <w:spacing w:after="0" w:line="30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the current portion of long-term debt at September 30, 2016 and December 31, 2015 consisted of the following:</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ind w:left="140"/>
              <w:spacing w:after="0"/>
              <w:rPr>
                <w:sz w:val="20"/>
                <w:szCs w:val="20"/>
                <w:color w:val="auto"/>
              </w:rPr>
            </w:pPr>
            <w:r>
              <w:rPr>
                <w:rFonts w:ascii="Arial" w:cs="Arial" w:eastAsia="Arial" w:hAnsi="Arial"/>
                <w:sz w:val="18"/>
                <w:szCs w:val="18"/>
                <w:color w:val="auto"/>
              </w:rPr>
              <w:t>September 30, 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color w:val="auto"/>
              </w:rPr>
              <w:t>December 31, 2015</w:t>
            </w:r>
          </w:p>
        </w:tc>
        <w:tc>
          <w:tcPr>
            <w:tcW w:w="0" w:type="dxa"/>
            <w:vAlign w:val="bottom"/>
          </w:tcPr>
          <w:p>
            <w:pPr>
              <w:spacing w:after="0"/>
              <w:rPr>
                <w:sz w:val="1"/>
                <w:szCs w:val="1"/>
                <w:color w:val="auto"/>
              </w:rPr>
            </w:pPr>
          </w:p>
        </w:tc>
      </w:tr>
      <w:tr>
        <w:trPr>
          <w:trHeight w:val="34"/>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Zero-coupon convertible subordinated notes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3.125% senior notes due 2016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325.0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2.20% senior notes due 2017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5.00% senior notes due 2017 and 2018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capital leases</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 and current portion of long-term debt</w:t>
            </w: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698.2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280"/>
              <w:spacing w:after="0"/>
              <w:rPr>
                <w:sz w:val="20"/>
                <w:szCs w:val="20"/>
                <w:color w:val="auto"/>
              </w:rPr>
            </w:pPr>
            <w:r>
              <w:rPr>
                <w:rFonts w:ascii="Arial" w:cs="Arial" w:eastAsia="Arial" w:hAnsi="Arial"/>
                <w:sz w:val="18"/>
                <w:szCs w:val="18"/>
                <w:color w:val="auto"/>
                <w:w w:val="94"/>
              </w:rPr>
              <w:t>Long-term debt at September 30, 2016 and December 31, 2015 consisted of the following:</w:t>
            </w: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3"/>
          </w:tcPr>
          <w:p>
            <w:pPr>
              <w:ind w:left="240"/>
              <w:spacing w:after="0"/>
              <w:rPr>
                <w:sz w:val="20"/>
                <w:szCs w:val="20"/>
                <w:color w:val="auto"/>
              </w:rPr>
            </w:pPr>
            <w:r>
              <w:rPr>
                <w:rFonts w:ascii="Arial" w:cs="Arial" w:eastAsia="Arial" w:hAnsi="Arial"/>
                <w:sz w:val="18"/>
                <w:szCs w:val="18"/>
                <w:color w:val="auto"/>
                <w:w w:val="94"/>
              </w:rPr>
              <w:t>September 30, 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December 31, 2015</w:t>
            </w:r>
          </w:p>
        </w:tc>
        <w:tc>
          <w:tcPr>
            <w:tcW w:w="0" w:type="dxa"/>
            <w:vAlign w:val="bottom"/>
          </w:tcPr>
          <w:p>
            <w:pPr>
              <w:spacing w:after="0"/>
              <w:rPr>
                <w:sz w:val="1"/>
                <w:szCs w:val="1"/>
                <w:color w:val="auto"/>
              </w:rPr>
            </w:pPr>
          </w:p>
        </w:tc>
      </w:tr>
      <w:tr>
        <w:trPr>
          <w:trHeight w:val="34"/>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2.20% senior notes due 2017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2.50% senior notes due 2018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4.625% senior notes due 2020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2.625% senior notes due 2020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3.75% senior notes due 2022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3.20% senior notes due 2022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4.00% senior notes due 2023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3.60% senior notes due 2025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4.70% senior notes due 2045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Capital leases</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3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a result of the Acquisition, the Company assumed privately placed senior notes in an aggregate principal amount of $250.0 issued by Covance pursuant to a Note Purchase Agreement dated October 2, 2013. On March 5, 2015, the Company caused Covance to prepay all of the outstanding Senior Notes at 100% of the principal amount plus accrued interest, and a total make-whole amount of $37.4, which was expensed. The Note Purchase Agreement terminated effective March 5, 2015 in connection with the prepayment of the Senior Notes.</w:t>
      </w:r>
    </w:p>
    <w:p>
      <w:pPr>
        <w:spacing w:after="0" w:line="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September 30, 2016, the Company announced the successful completion of the consent solicitations for the 5.00% convertible senior notes due 2017 and 2018, totaling $130.0, assumed as part of the recent acquisition of Sequenom. On October 20, 2016, the Company retired $129.9 of these outstanding notes, and paid an additional $5.6 relating to the early retirement of the subsidiary indebtedness (recorded as interest expense in the Condensed Consolidated Statement of Operations).</w:t>
      </w:r>
    </w:p>
    <w:p>
      <w:pPr>
        <w:spacing w:after="0" w:line="9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long-term debt. These derivative financial instruments are accounted for as fair value hedges of the senior notes due 2020. These interest rate swaps are included in other long-term assets and added to the value of the senior notes, with an aggregate fair value of $40.5 at September 30, 2016 and $21.6 at December 31,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Subordinated Notes</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September 12, 2016, the Company announced that for the period from September 12, 2016 to March 10, 2017, the zero-coupon subordinated notes will accrue contingent cash interest at a rate of no less than 0.125% of the average market price of a zero-coupon subordinated note for the five trading days ended September 9, 2016, in addition to the continued accrual of the original issue discount.</w:t>
      </w:r>
    </w:p>
    <w:p>
      <w:pPr>
        <w:spacing w:after="0" w:line="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During the nine months ended September 30, 2016, the Company settled notices to convert $34.9 aggregate principal amount at maturity of its zero-coupon subordinated notes with a conversion value of $62.9. The total cash used for these settlements was $31.5 and the Company also issued 0.2 in additional shares of common stock. As a result of these conversions, the Company also reversed deferred tax liabilities of $6.6.</w:t>
      </w:r>
    </w:p>
    <w:p>
      <w:pPr>
        <w:spacing w:after="0" w:line="7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On October 3, 2016, the Company announced that its zero-coupon subordinated notes may be converted into cash and common stock at the conversion rate of 13.4108 per $1,000.0 principal amount at maturity of the notes, subject to the terms of the zero-</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October 1, 2016 through the close of business on the last business day of the calendar quarter, which is 5:00 p.m., New York City time, on Friday, December 30, 2016. If notices of conversion are received, the Company plans to settle the cash portion of the conversion obligation with cash on hand and/or borrowings under the revolving credit facility.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part of its financing of the Acquisition, the Company entered into a $1,000.0 term loan. The term loan credit facility, amended on July 13, 2016, will mature five years after the closing date of the Acquisition and may be prepaid without penalty. The term loan balance at September 30, 2016 was $715.0 and at December 31, 2015 was $715.0.</w:t>
      </w:r>
    </w:p>
    <w:p>
      <w:pPr>
        <w:spacing w:after="0" w:line="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December 19, 2014, the Company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revolving credit facility also provides for a subfacility of up to $100.0 for swing line borrowings and a subfacility of up to $125.0 for issuances of letters of credit. The revolving credit facility is permitted to be used for general corporate purposes, including working capital, capital expenditures, funding of share repurchases and certain other payments, and acquisitions and other investments. There was no outstanding balance on the Company's revolving credit facility at September 30, 2016 or December 31, 2015.</w:t>
      </w:r>
    </w:p>
    <w:p>
      <w:pPr>
        <w:spacing w:after="0" w:line="8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the Acquisition Notes). Net proceeds from the offering of the Acquisition Notes were $2,870.2 after deducting underwriting discounts and other expenses of the offering. Net proceeds were used to pay a portion of the cash consideration and the fees and expenses in connection with the Acquisition.</w:t>
      </w:r>
    </w:p>
    <w:p>
      <w:pPr>
        <w:spacing w:after="0" w:line="21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advanced in full on February 19, 2015, the date of the Company’s completion of the Acquisition. On March 16, 2015, the Company elected to prepay the bridge facility without penalty.</w:t>
      </w:r>
    </w:p>
    <w:p>
      <w:pPr>
        <w:spacing w:after="0" w:line="21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Under the term loan facility and the revolving credit facility, the Company is subject to negative covenants limiting subsidiary indebtedness and certain other covenants typical for investment grade-rated borrowers, and the Company is required to maintain a leverage ratio that declines over time. From and after the Acquisition Date, the leverage ratio must not have been greater than 4.75 to 1.0 with respect to the last day of each of the first four fiscal quarters ending on or after the closing date, must be no greater than 4.25 to 1.0 with respect to the last day of each of the fifth through eighth fiscal quarters ending after the closing date, and must be no greater than 3.75 to 1.0 with respect to the last day of each fiscal quarter ending thereafter. The Company was in compliance with all covenants in the term loan facility and the revolving credit facility at September 30, 2016. As of September 30, 2016, the ratio of total debt to consolidated trailing 12-month EBITDA was 3.3 to 1.0.</w:t>
      </w:r>
    </w:p>
    <w:p>
      <w:pPr>
        <w:spacing w:after="0" w:line="9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revolving credit facility at a per annum rate equal to the applicable margin for LIBOR loans, and the Company is required to pay a facility fee on the aggregate commitments under the revolving credit facility, at a per annum rate ranging from 0.125% to 0.40%. The interest margin applicable to the credit facilities, and the facility fee and letter of credit fees payable under the revolving credit facility, are based on the Company’s senior credit ratings as determined by Standard &amp; Poor’s and Moody’s, which are currently BBB and Baa2, respectively.</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of September 30, 2016, the effective interest rate on the revolving credit facility was 1.63% and the effective interest rate on the term loan was 1.77%.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 AND COMMON SHAREHOLDERS’ EQUITY</w:t>
      </w:r>
    </w:p>
    <w:p>
      <w:pPr>
        <w:spacing w:after="0" w:line="1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is authorized to issue up to 265.0 shares of common stock, par value $0.10 per share. The Company’s treasury shares are recorded at aggregate cost. The Company is authorized to issue up to 30.0 shares of preferred stock, par value $0.10 per share. There were no preferred shares outstanding as of September 30, 2016 or December 31, 2015.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w w:val="96"/>
              </w:rPr>
              <w:t>The changes in common shares issued and held in treasury are summarized below:</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1500" w:type="dxa"/>
            <w:vAlign w:val="bottom"/>
            <w:gridSpan w:val="2"/>
          </w:tcPr>
          <w:p>
            <w:pPr>
              <w:ind w:left="460"/>
              <w:spacing w:after="0"/>
              <w:rPr>
                <w:sz w:val="20"/>
                <w:szCs w:val="20"/>
                <w:color w:val="auto"/>
              </w:rPr>
            </w:pPr>
            <w:r>
              <w:rPr>
                <w:rFonts w:ascii="Arial" w:cs="Arial" w:eastAsia="Arial" w:hAnsi="Arial"/>
                <w:sz w:val="18"/>
                <w:szCs w:val="18"/>
                <w:color w:val="auto"/>
              </w:rPr>
              <w:t>Issued</w:t>
            </w:r>
          </w:p>
        </w:tc>
        <w:tc>
          <w:tcPr>
            <w:tcW w:w="1820" w:type="dxa"/>
            <w:vAlign w:val="bottom"/>
            <w:gridSpan w:val="2"/>
          </w:tcPr>
          <w:p>
            <w:pPr>
              <w:ind w:left="260"/>
              <w:spacing w:after="0"/>
              <w:rPr>
                <w:sz w:val="20"/>
                <w:szCs w:val="20"/>
                <w:color w:val="auto"/>
              </w:rPr>
            </w:pPr>
            <w:r>
              <w:rPr>
                <w:rFonts w:ascii="Arial" w:cs="Arial" w:eastAsia="Arial" w:hAnsi="Arial"/>
                <w:sz w:val="18"/>
                <w:szCs w:val="18"/>
                <w:color w:val="auto"/>
              </w:rPr>
              <w:t>Held in Treasury</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Outstanding</w:t>
            </w:r>
          </w:p>
        </w:tc>
      </w:tr>
      <w:tr>
        <w:trPr>
          <w:trHeight w:val="34"/>
        </w:trPr>
        <w:tc>
          <w:tcPr>
            <w:tcW w:w="6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at December 31, 2015</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Common stock issued under employee stock plans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upon conversion of zero-coupon subordinated notes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84"/>
        </w:trPr>
        <w:tc>
          <w:tcPr>
            <w:tcW w:w="6740" w:type="dxa"/>
            <w:vAlign w:val="bottom"/>
          </w:tcPr>
          <w:p>
            <w:pPr>
              <w:ind w:left="40"/>
              <w:spacing w:after="0"/>
              <w:rPr>
                <w:sz w:val="20"/>
                <w:szCs w:val="20"/>
                <w:color w:val="auto"/>
              </w:rPr>
            </w:pPr>
            <w:r>
              <w:rPr>
                <w:rFonts w:ascii="Arial" w:cs="Arial" w:eastAsia="Arial" w:hAnsi="Arial"/>
                <w:sz w:val="18"/>
                <w:szCs w:val="18"/>
                <w:color w:val="auto"/>
              </w:rPr>
              <w:t>Surrender of restricted stock and performance share awards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at September 30, 2016</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r>
      <w:tr>
        <w:trPr>
          <w:trHeight w:val="20"/>
        </w:trPr>
        <w:tc>
          <w:tcPr>
            <w:tcW w:w="6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Share Repurchase Program</w:t>
      </w:r>
    </w:p>
    <w:p>
      <w:pPr>
        <w:spacing w:after="0" w:line="13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September 30, 2016, the Company had outstanding authorization from the Board of Directors to purchase up to $789.5 of Company common stock based on settled trades as of these respective dates. The repurchase authorization has no expiration date. Following the announcement of the Acquisition, the Company suspended its share repurchases. The Company does not anticipate resuming its share repurchase activity until it approaches its targeted ratio of total debt to consolidated trailing 12-month EBITDA of 2.5 to 1.0. However, the Company will continue to evaluate all opportunities for strategic deployment of capital in light of market conditions.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Earnings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8"/>
        </w:trPr>
        <w:tc>
          <w:tcPr>
            <w:tcW w:w="6240" w:type="dxa"/>
            <w:vAlign w:val="bottom"/>
          </w:tcPr>
          <w:p>
            <w:pPr>
              <w:ind w:left="240"/>
              <w:spacing w:after="0"/>
              <w:rPr>
                <w:sz w:val="20"/>
                <w:szCs w:val="20"/>
                <w:color w:val="auto"/>
              </w:rPr>
            </w:pPr>
            <w:r>
              <w:rPr>
                <w:rFonts w:ascii="Arial" w:cs="Arial" w:eastAsia="Arial" w:hAnsi="Arial"/>
                <w:sz w:val="18"/>
                <w:szCs w:val="18"/>
                <w:color w:val="auto"/>
                <w:w w:val="95"/>
              </w:rPr>
              <w:t>The components of accumulated other comprehensive earnings are as follows: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4"/>
        </w:trPr>
        <w:tc>
          <w:tcPr>
            <w:tcW w:w="6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Net</w:t>
            </w:r>
          </w:p>
        </w:tc>
        <w:tc>
          <w:tcPr>
            <w:tcW w:w="20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Accumulated</w:t>
            </w:r>
          </w:p>
        </w:tc>
      </w:tr>
      <w:tr>
        <w:trPr>
          <w:trHeight w:val="216"/>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Currency</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Benefit</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3"/>
              </w:rPr>
              <w:t>Other</w:t>
            </w:r>
          </w:p>
        </w:tc>
      </w:tr>
      <w:tr>
        <w:trPr>
          <w:trHeight w:val="216"/>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Translation</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Plan</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0"/>
              </w:rPr>
              <w:t>Comprehensive</w:t>
            </w:r>
          </w:p>
        </w:tc>
      </w:tr>
      <w:tr>
        <w:trPr>
          <w:trHeight w:val="230"/>
        </w:trPr>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Adjustments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Adjustments</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0"/>
              </w:rPr>
              <w:t>Earnings (Loss)</w:t>
            </w:r>
          </w:p>
        </w:tc>
      </w:tr>
      <w:tr>
        <w:trPr>
          <w:trHeight w:val="34"/>
        </w:trPr>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December 31, 2015 </w:t>
            </w:r>
            <w:r>
              <w:rPr>
                <w:rFonts w:ascii="Arial" w:cs="Arial" w:eastAsia="Arial" w:hAnsi="Arial"/>
                <w:sz w:val="14"/>
                <w:szCs w:val="14"/>
                <w:i w:val="1"/>
                <w:iCs w:val="1"/>
                <w:color w:val="auto"/>
              </w:rPr>
              <w:t>(a)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Other comprehensive earnings before reclassifications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Amounts reclassified from accumulated other comprehensive earnings to the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Condensed Consolidated Statement of Operations </w:t>
            </w:r>
            <w:r>
              <w:rPr>
                <w:rFonts w:ascii="Arial" w:cs="Arial" w:eastAsia="Arial" w:hAnsi="Arial"/>
                <w:sz w:val="14"/>
                <w:szCs w:val="14"/>
                <w:i w:val="1"/>
                <w:iCs w:val="1"/>
                <w:color w:val="auto"/>
              </w:rPr>
              <w:t>(b)</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84"/>
        </w:trPr>
        <w:tc>
          <w:tcPr>
            <w:tcW w:w="6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Tax effect of adjustments</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5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right="180" w:firstLine="251"/>
        <w:spacing w:after="0" w:line="264" w:lineRule="auto"/>
        <w:tabs>
          <w:tab w:leader="none" w:pos="447" w:val="left"/>
        </w:tabs>
        <w:numPr>
          <w:ilvl w:val="1"/>
          <w:numId w:val="9"/>
        </w:numPr>
        <w:rPr>
          <w:rFonts w:ascii="Arial" w:cs="Arial" w:eastAsia="Arial" w:hAnsi="Arial"/>
          <w:sz w:val="14"/>
          <w:szCs w:val="14"/>
          <w:i w:val="1"/>
          <w:iCs w:val="1"/>
          <w:color w:val="auto"/>
        </w:rPr>
      </w:pPr>
      <w:r>
        <w:rPr>
          <w:rFonts w:ascii="Arial" w:cs="Arial" w:eastAsia="Arial" w:hAnsi="Arial"/>
          <w:sz w:val="16"/>
          <w:szCs w:val="16"/>
          <w:color w:val="auto"/>
        </w:rPr>
        <w:t>The December 31, 2015 foreign currency translation adjustment reflects the changes recorded due to the cumulative translation adjustment of allocating the intangible assets associated with the Acquisition</w:t>
      </w:r>
    </w:p>
    <w:p>
      <w:pPr>
        <w:ind w:right="140" w:firstLine="251"/>
        <w:spacing w:after="0" w:line="275" w:lineRule="auto"/>
        <w:tabs>
          <w:tab w:leader="none" w:pos="447" w:val="left"/>
        </w:tabs>
        <w:numPr>
          <w:ilvl w:val="1"/>
          <w:numId w:val="9"/>
        </w:numPr>
        <w:rPr>
          <w:rFonts w:ascii="Arial" w:cs="Arial" w:eastAsia="Arial" w:hAnsi="Arial"/>
          <w:sz w:val="14"/>
          <w:szCs w:val="14"/>
          <w:i w:val="1"/>
          <w:iCs w:val="1"/>
          <w:color w:val="auto"/>
        </w:rPr>
      </w:pPr>
      <w:r>
        <w:rPr>
          <w:rFonts w:ascii="Arial" w:cs="Arial" w:eastAsia="Arial" w:hAnsi="Arial"/>
          <w:sz w:val="16"/>
          <w:szCs w:val="16"/>
          <w:color w:val="auto"/>
        </w:rPr>
        <w:t>The amortization of prior service cost is included in the computation of net periodic benefit cost. See Note 10 (Pension and Post-retirement Plans) below for additional information regarding the Company's net periodic benefit cost.</w:t>
      </w:r>
    </w:p>
    <w:p>
      <w:pPr>
        <w:spacing w:after="0" w:line="69" w:lineRule="exact"/>
        <w:rPr>
          <w:rFonts w:ascii="Arial" w:cs="Arial" w:eastAsia="Arial" w:hAnsi="Arial"/>
          <w:sz w:val="14"/>
          <w:szCs w:val="14"/>
          <w:i w:val="1"/>
          <w:i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gross unrecognized income tax benefits were $17.8 and $24.2 at September 30, 2016 and December 31, 2015, respectively. It is anticipated that the amount of the unrecognized income tax benefits will change within the next 12 months; however, these changes are not expected to have a significant impact on the results of operations, cash flows or the financial position of the Company.</w:t>
      </w:r>
    </w:p>
    <w:p>
      <w:pPr>
        <w:spacing w:after="0" w:line="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September 30, 2016 and December 31, 2015, $17.8 and $24.2, respectively, were the approximate amount of gross unrecognized income tax benefits that, if recognized, would favorably affect the effective income tax rate in future periods.</w:t>
      </w:r>
    </w:p>
    <w:p>
      <w:pPr>
        <w:spacing w:after="0" w:line="19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recognizes interest and penalties related to unrecognized income tax benefits in income tax expense. Accrued interest and penalties related to uncertain tax positions totaled $10.1 and $12.7 as of September 30, 2016 and December 31, 2015, respectively.</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The valuation allowance provided as a reserve against certain deferred tax assets is $15.1 as of September 30, 2016 and was $15.1 as of December 31, 2015.</w:t>
      </w:r>
    </w:p>
    <w:p>
      <w:pPr>
        <w:spacing w:after="0" w:line="19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IRS concluded the examination of the Company's 2014 federal consolidated income tax return in the third quarter. The Company's 2014 return did not include Covance Inc. In the third quarter the IRS notified the Company that Covance Inc.'s 2013 federal consolidated income tax return was under examination. The Canada Revenue Agency is currently examining the Company's 2013 and 2014 tax returns.</w:t>
      </w:r>
    </w:p>
    <w:p>
      <w:pPr>
        <w:spacing w:after="0" w:line="2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has various state and international income tax examinations ongoing throughout the year. Management believes that adequate provisions have been recorded related to all open tax years.</w:t>
      </w:r>
    </w:p>
    <w:p>
      <w:pPr>
        <w:spacing w:after="0" w:line="19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2012. Substantially all material state and local and foreign income tax matters have been concluded through 2011 and 2005, respectively.</w:t>
      </w:r>
    </w:p>
    <w:p>
      <w:pPr>
        <w:spacing w:after="0" w:line="19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As a result of the early adoption of the accounting standard update associated with simplifying several aspects of share-based compensation, a tax benefit of $13.4 was recorded for the nine months ended September 30, 2016, $3.6 of which related to the three months ended September 30, 2016. In addition, during the quarter, the Company changed its financial statement classification for certain gross receipts taxes, removing these taxes from its provision for income taxes and moving this expense into selling, general and administrative expenses. This change in presentation has been made for all periods presented.</w:t>
      </w:r>
    </w:p>
    <w:p>
      <w:pPr>
        <w:spacing w:after="0" w:line="5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employee-related matters and inquiries, including subpoenas and other civil investigative demands, from governmental agencies and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healthcare providers. The Company works cooperatively to respond to appropriate requests for information.</w:t>
      </w:r>
    </w:p>
    <w:p>
      <w:pPr>
        <w:spacing w:after="0" w:line="7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9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clinical laboratory operations and drug development support services. The healthcare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pacing w:after="0" w:line="22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Many of the current claims and legal actions against the Company are in preliminary stages, and many of these cases seek an indeterminate amount of damages. The Company records an aggregate legal reserve, which is determined using actuarial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22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Company is unable to estimate a range of reasonably probable losses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condition, though the outcomes could be material to the Company's operating results for any particular period, depending, in part, upon the operating results for such period.</w:t>
      </w:r>
    </w:p>
    <w:p>
      <w:pPr>
        <w:spacing w:after="0" w:line="197"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 xml:space="preserve">As reported, the Company reached a settlement in the previously disclosed lawsuit, </w:t>
      </w:r>
      <w:r>
        <w:rPr>
          <w:rFonts w:ascii="Arial" w:cs="Arial" w:eastAsia="Arial" w:hAnsi="Arial"/>
          <w:sz w:val="17"/>
          <w:szCs w:val="17"/>
          <w:i w:val="1"/>
          <w:iCs w:val="1"/>
          <w:color w:val="auto"/>
        </w:rPr>
        <w:t>California ex rel. Hunter Laboratories, LLC et al. v. Quest Diagnostics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Incorporated, et al. </w:t>
      </w:r>
      <w:r>
        <w:rPr>
          <w:rFonts w:ascii="Arial" w:cs="Arial" w:eastAsia="Arial" w:hAnsi="Arial"/>
          <w:sz w:val="17"/>
          <w:szCs w:val="17"/>
          <w:color w:val="auto"/>
        </w:rPr>
        <w:t>(Hunter Labs Settlement Agreement), to avoid the uncertainty and costs associated with prolonged litigation. Pursuant to the executed</w:t>
      </w:r>
      <w:r>
        <w:rPr>
          <w:rFonts w:ascii="Arial" w:cs="Arial" w:eastAsia="Arial" w:hAnsi="Arial"/>
          <w:sz w:val="17"/>
          <w:szCs w:val="17"/>
          <w:i w:val="1"/>
          <w:iCs w:val="1"/>
          <w:color w:val="auto"/>
        </w:rPr>
        <w:t xml:space="preserve"> </w:t>
      </w:r>
      <w:r>
        <w:rPr>
          <w:rFonts w:ascii="Arial" w:cs="Arial" w:eastAsia="Arial" w:hAnsi="Arial"/>
          <w:sz w:val="17"/>
          <w:szCs w:val="17"/>
          <w:color w:val="auto"/>
        </w:rPr>
        <w:t>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2011, the California legislature enacted Assembly Bill No. 97, which imposed a 10.0% Medi-Cal payment cut on most providers, including clinical laboratories. This 10.0% cut is currently being applied to the rates that would otherwise be applicable. In 2012, the California legislature enacted Assembly Bill No. 1494, which directed the Department of Healthcare Services (DHCS) to establish new reimbursement rates for Medi-Cal clinical laboratory services based on payments made to California clinical laboratories for similar services by other third-party payers, and provided that until the new rates are set through this process, Medi-Cal payments for clinical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Medicare program. Under the terms of the Hunter Labs Settlement Agreement, the enactment of this California legislation terminates the Company's reporting obligations (or obligation to provide a discount in lieu of reporting) under that agreement. In April 2015, CMS approved a 10.0% payment reduction under Assembly Bill No. 1494. The new rate methodology established new rates that were effective July 1, 2015, but these new rates were not entered into the state computer system until February 2016. Based on reported 2015 payment data, new rates were established to be effective July 1, 2016, but due to computer system delays, these rates will not be implemented before November 2016. DHCS has indicated that recoupments associated with these changes will not begin until after November 2016. Taken together, these changes are not expected to have a material impact on the Company's consolidated revenues or results of operations.</w:t>
      </w:r>
    </w:p>
    <w:p>
      <w:pPr>
        <w:spacing w:after="0" w:line="217"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United States District Court for the Southern District of New York unsealed a False Claims Act lawsuit, </w:t>
      </w:r>
      <w:r>
        <w:rPr>
          <w:rFonts w:ascii="Arial" w:cs="Arial" w:eastAsia="Arial" w:hAnsi="Arial"/>
          <w:sz w:val="17"/>
          <w:szCs w:val="17"/>
          <w:i w:val="1"/>
          <w:iCs w:val="1"/>
          <w:color w:val="auto"/>
        </w:rPr>
        <w:t>United States of America ex rel. NPT Associates v. Laboratory Corporation of America Holdings</w:t>
      </w:r>
      <w:r>
        <w:rPr>
          <w:rFonts w:ascii="Arial" w:cs="Arial" w:eastAsia="Arial" w:hAnsi="Arial"/>
          <w:sz w:val="17"/>
          <w:szCs w:val="17"/>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20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21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November 4, 2013, the State of Florida through the Office of the Attorney General filed an Intervention Complaint in a False Claims Act lawsuit, </w:t>
      </w:r>
      <w:r>
        <w:rPr>
          <w:rFonts w:ascii="Arial" w:cs="Arial" w:eastAsia="Arial" w:hAnsi="Arial"/>
          <w:sz w:val="18"/>
          <w:szCs w:val="18"/>
          <w:i w:val="1"/>
          <w:iCs w:val="1"/>
          <w:color w:val="auto"/>
        </w:rPr>
        <w:t>State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Florida ex rel. Hunter Laboratories, LLC and Chris Riedel v. Quest Diagnostics Incorporated, et al. </w:t>
      </w:r>
      <w:r>
        <w:rPr>
          <w:rFonts w:ascii="Arial" w:cs="Arial" w:eastAsia="Arial" w:hAnsi="Arial"/>
          <w:sz w:val="18"/>
          <w:szCs w:val="18"/>
          <w:color w:val="auto"/>
        </w:rPr>
        <w:t>in the Circuit Court for the Second Judicial Circuit for</w:t>
      </w:r>
      <w:r>
        <w:rPr>
          <w:rFonts w:ascii="Arial" w:cs="Arial" w:eastAsia="Arial" w:hAnsi="Arial"/>
          <w:sz w:val="18"/>
          <w:szCs w:val="18"/>
          <w:i w:val="1"/>
          <w:iCs w:val="1"/>
          <w:color w:val="auto"/>
        </w:rPr>
        <w:t xml:space="preserve"> </w:t>
      </w:r>
      <w:r>
        <w:rPr>
          <w:rFonts w:ascii="Arial" w:cs="Arial" w:eastAsia="Arial" w:hAnsi="Arial"/>
          <w:sz w:val="18"/>
          <w:szCs w:val="18"/>
          <w:color w:val="auto"/>
        </w:rPr>
        <w:t>Leon County. The lawsuit, originally filed by a competitor laboratory, alleges that the Company overcharged Florida’s Medicaid program. The lawsuit seeks actual and treble damages and civil penalties for each alleged false claim, as well as recovery of costs, attorney’s fees, and legal expenses. The Company's Motion to Dismiss was denied in February 2015. On September 19, 2016, the Company filed a Motion for Partial Summary Judgment. The Company will vigorously defend the lawsuit.</w:t>
      </w:r>
    </w:p>
    <w:p>
      <w:pPr>
        <w:spacing w:after="0" w:line="22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 xml:space="preserve">On May 2, 2013, the Company was served with a False Claims Act lawsuit, </w:t>
      </w:r>
      <w:r>
        <w:rPr>
          <w:rFonts w:ascii="Arial" w:cs="Arial" w:eastAsia="Arial" w:hAnsi="Arial"/>
          <w:sz w:val="18"/>
          <w:szCs w:val="18"/>
          <w:i w:val="1"/>
          <w:iCs w:val="1"/>
          <w:color w:val="auto"/>
        </w:rPr>
        <w:t>State of Georgia ex rel. Hunter Laboratories, LLC</w:t>
      </w:r>
      <w:r>
        <w:rPr>
          <w:rFonts w:ascii="Arial" w:cs="Arial" w:eastAsia="Arial" w:hAnsi="Arial"/>
          <w:sz w:val="18"/>
          <w:szCs w:val="18"/>
          <w:color w:val="auto"/>
        </w:rPr>
        <w:t xml:space="preserve"> and </w:t>
      </w:r>
      <w:r>
        <w:rPr>
          <w:rFonts w:ascii="Arial" w:cs="Arial" w:eastAsia="Arial" w:hAnsi="Arial"/>
          <w:sz w:val="18"/>
          <w:szCs w:val="18"/>
          <w:i w:val="1"/>
          <w:iCs w:val="1"/>
          <w:color w:val="auto"/>
        </w:rPr>
        <w:t>Chris Riedel v. Quest</w:t>
      </w:r>
      <w:r>
        <w:rPr>
          <w:rFonts w:ascii="Arial" w:cs="Arial" w:eastAsia="Arial" w:hAnsi="Arial"/>
          <w:sz w:val="18"/>
          <w:szCs w:val="18"/>
          <w:color w:val="auto"/>
        </w:rPr>
        <w:t xml:space="preserve"> </w:t>
      </w:r>
      <w:r>
        <w:rPr>
          <w:rFonts w:ascii="Arial" w:cs="Arial" w:eastAsia="Arial" w:hAnsi="Arial"/>
          <w:sz w:val="18"/>
          <w:szCs w:val="18"/>
          <w:i w:val="1"/>
          <w:iCs w:val="1"/>
          <w:color w:val="auto"/>
        </w:rPr>
        <w:t>Diagnostics Incorporated, et al.</w:t>
      </w:r>
      <w:r>
        <w:rPr>
          <w:rFonts w:ascii="Arial" w:cs="Arial" w:eastAsia="Arial" w:hAnsi="Arial"/>
          <w:sz w:val="18"/>
          <w:szCs w:val="18"/>
          <w:color w:val="auto"/>
        </w:rPr>
        <w:t>, filed in the State Court of Fulton County, Georgia. The lawsuit, filed by a competitor laboratory, alleges that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overcharged Georgia's Medicaid program. The State of Georgia filed a Notice of Declination on August 13, 2012, before the Company was served with the Complaint. The case was removed to the United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Company will vigorously defend the lawsuit.</w:t>
      </w:r>
    </w:p>
    <w:p>
      <w:pPr>
        <w:spacing w:after="0" w:line="220"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 xml:space="preserve">On June 7, 2012, the Company was served with a putative class action lawsuit, </w:t>
      </w:r>
      <w:r>
        <w:rPr>
          <w:rFonts w:ascii="Arial" w:cs="Arial" w:eastAsia="Arial" w:hAnsi="Arial"/>
          <w:sz w:val="17"/>
          <w:szCs w:val="17"/>
          <w:i w:val="1"/>
          <w:iCs w:val="1"/>
          <w:color w:val="auto"/>
        </w:rPr>
        <w:t>Yvonne Jansky v. Laboratory Corporation of America, et al.</w:t>
      </w:r>
      <w:r>
        <w:rPr>
          <w:rFonts w:ascii="Arial" w:cs="Arial" w:eastAsia="Arial" w:hAnsi="Arial"/>
          <w:sz w:val="17"/>
          <w:szCs w:val="17"/>
          <w:color w:val="auto"/>
        </w:rPr>
        <w:t>, filed in the Superior Court of the State of California, County of San Francisco. The lawsuit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The Plaintiff has appealed the denial of class certification, and the trial court has stayed the case pending resolution of the appeal. The Company will vigorously defend the lawsuit.</w:t>
      </w:r>
    </w:p>
    <w:p>
      <w:pPr>
        <w:spacing w:after="0" w:line="205"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 xml:space="preserve">On August 24, 2012, the Company was served with a putative class action lawsuit, </w:t>
      </w:r>
      <w:r>
        <w:rPr>
          <w:rFonts w:ascii="Arial" w:cs="Arial" w:eastAsia="Arial" w:hAnsi="Arial"/>
          <w:sz w:val="17"/>
          <w:szCs w:val="17"/>
          <w:i w:val="1"/>
          <w:iCs w:val="1"/>
          <w:color w:val="auto"/>
        </w:rPr>
        <w:t>Sandusky Wellness Center, LLC, et al. v. MEDTOX Scientific, Inc., et</w:t>
      </w:r>
      <w:r>
        <w:rPr>
          <w:rFonts w:ascii="Arial" w:cs="Arial" w:eastAsia="Arial" w:hAnsi="Arial"/>
          <w:sz w:val="17"/>
          <w:szCs w:val="17"/>
          <w:color w:val="auto"/>
        </w:rPr>
        <w:t xml:space="preserve"> </w:t>
      </w:r>
      <w:r>
        <w:rPr>
          <w:rFonts w:ascii="Arial" w:cs="Arial" w:eastAsia="Arial" w:hAnsi="Arial"/>
          <w:sz w:val="17"/>
          <w:szCs w:val="17"/>
          <w:i w:val="1"/>
          <w:iCs w:val="1"/>
          <w:color w:val="auto"/>
        </w:rPr>
        <w:t>al.</w:t>
      </w:r>
      <w:r>
        <w:rPr>
          <w:rFonts w:ascii="Arial" w:cs="Arial" w:eastAsia="Arial" w:hAnsi="Arial"/>
          <w:sz w:val="17"/>
          <w:szCs w:val="17"/>
          <w:color w:val="auto"/>
        </w:rPr>
        <w:t>, filed in the United States District Court for the District of Minnesota. The lawsuit alleges that on or about February 21, 2012, the Defendants violated the</w:t>
      </w:r>
      <w:r>
        <w:rPr>
          <w:rFonts w:ascii="Arial" w:cs="Arial" w:eastAsia="Arial" w:hAnsi="Arial"/>
          <w:sz w:val="17"/>
          <w:szCs w:val="17"/>
          <w:i w:val="1"/>
          <w:iCs w:val="1"/>
          <w:color w:val="auto"/>
        </w:rPr>
        <w:t xml:space="preserve"> </w:t>
      </w:r>
      <w:r>
        <w:rPr>
          <w:rFonts w:ascii="Arial" w:cs="Arial" w:eastAsia="Arial" w:hAnsi="Arial"/>
          <w:sz w:val="17"/>
          <w:szCs w:val="17"/>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filed a notice of appeal. On May 3, 2016, the United States Court of Appeals for the Eighth Circuit issued its decision and order reversing the District Court's decision which denied class certification. The Eighth Circuit remanded the matter for further proceedings. The Company will vigorously defend the lawsuit.</w:t>
      </w:r>
    </w:p>
    <w:p>
      <w:pPr>
        <w:spacing w:after="0" w:line="20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On August 31, 2015, the Company was served with a putative class action lawsuit, </w:t>
      </w:r>
      <w:r>
        <w:rPr>
          <w:rFonts w:ascii="Arial" w:cs="Arial" w:eastAsia="Arial" w:hAnsi="Arial"/>
          <w:sz w:val="16"/>
          <w:szCs w:val="16"/>
          <w:i w:val="1"/>
          <w:iCs w:val="1"/>
          <w:color w:val="auto"/>
        </w:rPr>
        <w:t>Patty Davis v. Laboratory Corporation of America, et al.,</w:t>
      </w:r>
      <w:r>
        <w:rPr>
          <w:rFonts w:ascii="Arial" w:cs="Arial" w:eastAsia="Arial" w:hAnsi="Arial"/>
          <w:sz w:val="16"/>
          <w:szCs w:val="16"/>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The Company will vigorously defend the lawsuit.</w:t>
      </w:r>
    </w:p>
    <w:p>
      <w:pPr>
        <w:spacing w:after="0" w:line="18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17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August 3, 2016, the Company was served with a putative class action lawsuit, </w:t>
      </w:r>
      <w:r>
        <w:rPr>
          <w:rFonts w:ascii="Arial" w:cs="Arial" w:eastAsia="Arial" w:hAnsi="Arial"/>
          <w:sz w:val="18"/>
          <w:szCs w:val="18"/>
          <w:i w:val="1"/>
          <w:iCs w:val="1"/>
          <w:color w:val="auto"/>
        </w:rPr>
        <w:t>Daniel L. Bloomquist v. Covance Inc., et al.</w:t>
      </w:r>
      <w:r>
        <w:rPr>
          <w:rFonts w:ascii="Arial" w:cs="Arial" w:eastAsia="Arial" w:hAnsi="Arial"/>
          <w:sz w:val="18"/>
          <w:szCs w:val="18"/>
          <w:color w:val="auto"/>
        </w:rPr>
        <w:t>, filed in the Superior Court of California, County of San Diego. The complaint alleges that the Company violated the California Labor Code and California Business &amp; Professions Code by failing to provide overtime wages, failing to provide meal and rest periods, failing to pay for all hours worked, failing to pay for all wages owed upon termination, and failing to provide accurate itemized wage statements. The lawsuit seeks monetary damages, civil penalties, injunctive relief, as well as recovery of attorney's fees and costs. The Company will vigorously defend the lawsuit.</w:t>
      </w:r>
    </w:p>
    <w:p>
      <w:pPr>
        <w:spacing w:after="0" w:line="215"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The Company holds an investment in a joint venture partnership located in Alberta, Canada. The Canadian partnership has a license to conduct diagnostic testing services in the province of Alberta. Substantially all of its revenue is received as reimbursement from the Alberta government's healthcare programs.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In August 2016, AHS and the Canadian partnership reached an agreement to extend the contract through March 2022, with the intent to have the services provided pursuant to the contract transferred to AHS at the end of the five-year period. In August 2016, AHS and the Canadian partnership reached an agreement to extend the contract through March 2022, with the intent to have the services provided pursuant to the contract transferred to AHS at the end of the five-year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period. In consideration of AHS acquiring the assets and assuming liabilities in accordance with the parties’ agreement, AHS will pay C$50.0 when the transfer is effective, subject to a working capital adjustment.</w:t>
      </w:r>
    </w:p>
    <w:p>
      <w:pPr>
        <w:spacing w:after="0" w:line="7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On June 23, 2016, the Centers for Medicare and Medicaid Services (CMS) published a final rule implementing the Protecting Access to Medicare Act of 2014 (PAMA), which required establishment of a new Medicare reimbursement system for clinical lab tests paid under the Clinical Laboratory Fee Schedule (CLFS), based on private payer rates, as reported to CMS. Although the new payment system was supposed to go into effect for tests furnished after January 1, 2017, the CMS rulemaking process was delayed, and the new rates will not be effective until January 1, 2018 pursuant to the final rule. Under the new system, the Company must collect data on private payer rates and report the data to CMS every three years for most types of tests. The Company does not expect that the new reporting requirements will have a material impact on its business or results of operations. CMS will use the data reported by all applicable labs to calculate a weighted median of private payer rates for each test performed, and that weighted median will be the new Medicare rate. Rate reductions for existing tests under the new system will be phased in over six years. The full impact of the final rule will not be known until CMS releases rates for 2018. Medicare reimbursement under the CLFS represents less than 10% of the Company’s consolidated revenue.</w:t>
      </w:r>
    </w:p>
    <w:p>
      <w:pPr>
        <w:spacing w:after="0" w:line="7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 xml:space="preserve">Prior to the Company’s acquisition of Sequenom, between August 15, 2016, and August 24, 2016, six putative class-action lawsuits were filed on behalf of purported Sequenom stockholders (captioned </w:t>
      </w:r>
      <w:r>
        <w:rPr>
          <w:rFonts w:ascii="Arial" w:cs="Arial" w:eastAsia="Arial" w:hAnsi="Arial"/>
          <w:sz w:val="16"/>
          <w:szCs w:val="16"/>
          <w:i w:val="1"/>
          <w:iCs w:val="1"/>
          <w:color w:val="auto"/>
        </w:rPr>
        <w:t>Malkoff v. Sequenom, Inc., et al.</w:t>
      </w:r>
      <w:r>
        <w:rPr>
          <w:rFonts w:ascii="Arial" w:cs="Arial" w:eastAsia="Arial" w:hAnsi="Arial"/>
          <w:sz w:val="16"/>
          <w:szCs w:val="16"/>
          <w:color w:val="auto"/>
        </w:rPr>
        <w:t xml:space="preserve">, No. 16-cv-02054-JAH-BLM, </w:t>
      </w:r>
      <w:r>
        <w:rPr>
          <w:rFonts w:ascii="Arial" w:cs="Arial" w:eastAsia="Arial" w:hAnsi="Arial"/>
          <w:sz w:val="16"/>
          <w:szCs w:val="16"/>
          <w:i w:val="1"/>
          <w:iCs w:val="1"/>
          <w:color w:val="auto"/>
        </w:rPr>
        <w:t>Gupta v. Sequenom, Inc., et al.</w:t>
      </w:r>
      <w:r>
        <w:rPr>
          <w:rFonts w:ascii="Arial" w:cs="Arial" w:eastAsia="Arial" w:hAnsi="Arial"/>
          <w:sz w:val="16"/>
          <w:szCs w:val="16"/>
          <w:color w:val="auto"/>
        </w:rPr>
        <w:t xml:space="preserve">, No. 16-cv-02084-JAH-KSC, </w:t>
      </w:r>
      <w:r>
        <w:rPr>
          <w:rFonts w:ascii="Arial" w:cs="Arial" w:eastAsia="Arial" w:hAnsi="Arial"/>
          <w:sz w:val="16"/>
          <w:szCs w:val="16"/>
          <w:i w:val="1"/>
          <w:iCs w:val="1"/>
          <w:color w:val="auto"/>
        </w:rPr>
        <w:t>Fruchter v. Sequenom, Inc., et al.</w:t>
      </w:r>
      <w:r>
        <w:rPr>
          <w:rFonts w:ascii="Arial" w:cs="Arial" w:eastAsia="Arial" w:hAnsi="Arial"/>
          <w:sz w:val="16"/>
          <w:szCs w:val="16"/>
          <w:color w:val="auto"/>
        </w:rPr>
        <w:t xml:space="preserve">, No. 16-cv-02101-WQH-KSC, </w:t>
      </w:r>
      <w:r>
        <w:rPr>
          <w:rFonts w:ascii="Arial" w:cs="Arial" w:eastAsia="Arial" w:hAnsi="Arial"/>
          <w:sz w:val="16"/>
          <w:szCs w:val="16"/>
          <w:i w:val="1"/>
          <w:iCs w:val="1"/>
          <w:color w:val="auto"/>
        </w:rPr>
        <w:t>Asiatrade Development Ltd. v. Sequenom, Inc., et al.</w:t>
      </w:r>
      <w:r>
        <w:rPr>
          <w:rFonts w:ascii="Arial" w:cs="Arial" w:eastAsia="Arial" w:hAnsi="Arial"/>
          <w:sz w:val="16"/>
          <w:szCs w:val="16"/>
          <w:color w:val="auto"/>
        </w:rPr>
        <w:t xml:space="preserve">, No. 16-cv-02113-AJB-JMA, </w:t>
      </w:r>
      <w:r>
        <w:rPr>
          <w:rFonts w:ascii="Arial" w:cs="Arial" w:eastAsia="Arial" w:hAnsi="Arial"/>
          <w:sz w:val="16"/>
          <w:szCs w:val="16"/>
          <w:i w:val="1"/>
          <w:iCs w:val="1"/>
          <w:color w:val="auto"/>
        </w:rPr>
        <w:t>Nunes v. Sequenom, Inc., et al.</w:t>
      </w:r>
      <w:r>
        <w:rPr>
          <w:rFonts w:ascii="Arial" w:cs="Arial" w:eastAsia="Arial" w:hAnsi="Arial"/>
          <w:sz w:val="16"/>
          <w:szCs w:val="16"/>
          <w:color w:val="auto"/>
        </w:rPr>
        <w:t xml:space="preserve">, No. 16-cv-02128-AJB-MDD, and </w:t>
      </w:r>
      <w:r>
        <w:rPr>
          <w:rFonts w:ascii="Arial" w:cs="Arial" w:eastAsia="Arial" w:hAnsi="Arial"/>
          <w:sz w:val="16"/>
          <w:szCs w:val="16"/>
          <w:i w:val="1"/>
          <w:iCs w:val="1"/>
          <w:color w:val="auto"/>
        </w:rPr>
        <w:t>Cusumano v. Sequenom, Inc., et al.</w:t>
      </w:r>
      <w:r>
        <w:rPr>
          <w:rFonts w:ascii="Arial" w:cs="Arial" w:eastAsia="Arial" w:hAnsi="Arial"/>
          <w:sz w:val="16"/>
          <w:szCs w:val="16"/>
          <w:color w:val="auto"/>
        </w:rPr>
        <w:t xml:space="preserve">, No. 16-cv-02134-LAB-JMA) in the United States District Court for the Southern District of California challenging the acquisition transaction. The complaints asserted claims against Sequenom and members of its Board of Directors (the Individual Defendants). The </w:t>
      </w:r>
      <w:r>
        <w:rPr>
          <w:rFonts w:ascii="Arial" w:cs="Arial" w:eastAsia="Arial" w:hAnsi="Arial"/>
          <w:sz w:val="16"/>
          <w:szCs w:val="16"/>
          <w:i w:val="1"/>
          <w:iCs w:val="1"/>
          <w:color w:val="auto"/>
        </w:rPr>
        <w:t>Nunes</w:t>
      </w:r>
      <w:r>
        <w:rPr>
          <w:rFonts w:ascii="Arial" w:cs="Arial" w:eastAsia="Arial" w:hAnsi="Arial"/>
          <w:sz w:val="16"/>
          <w:szCs w:val="16"/>
          <w:color w:val="auto"/>
        </w:rPr>
        <w:t xml:space="preserve"> action also named the Company and Savoy Acquisition Corp. (Savoy), a wholly owned subsidiary of the Company, as defendants. The complaints alleged that the defendants violated Sections 14(e), 14(d)(4) and 20 of the Securities Exchange Act of 1934 by failing to disclose certain allegedly material information. In addition, the complaints in the </w:t>
      </w:r>
      <w:r>
        <w:rPr>
          <w:rFonts w:ascii="Arial" w:cs="Arial" w:eastAsia="Arial" w:hAnsi="Arial"/>
          <w:sz w:val="16"/>
          <w:szCs w:val="16"/>
          <w:i w:val="1"/>
          <w:iCs w:val="1"/>
          <w:color w:val="auto"/>
        </w:rPr>
        <w:t>Malkoff</w:t>
      </w:r>
      <w:r>
        <w:rPr>
          <w:rFonts w:ascii="Arial" w:cs="Arial" w:eastAsia="Arial" w:hAnsi="Arial"/>
          <w:sz w:val="16"/>
          <w:szCs w:val="16"/>
          <w:color w:val="auto"/>
        </w:rPr>
        <w:t xml:space="preserve"> action, </w:t>
      </w:r>
      <w:r>
        <w:rPr>
          <w:rFonts w:ascii="Arial" w:cs="Arial" w:eastAsia="Arial" w:hAnsi="Arial"/>
          <w:sz w:val="16"/>
          <w:szCs w:val="16"/>
          <w:i w:val="1"/>
          <w:iCs w:val="1"/>
          <w:color w:val="auto"/>
        </w:rPr>
        <w:t>Asiatrade</w:t>
      </w:r>
      <w:r>
        <w:rPr>
          <w:rFonts w:ascii="Arial" w:cs="Arial" w:eastAsia="Arial" w:hAnsi="Arial"/>
          <w:sz w:val="16"/>
          <w:szCs w:val="16"/>
          <w:color w:val="auto"/>
        </w:rPr>
        <w:t xml:space="preserve"> action, and </w:t>
      </w:r>
      <w:r>
        <w:rPr>
          <w:rFonts w:ascii="Arial" w:cs="Arial" w:eastAsia="Arial" w:hAnsi="Arial"/>
          <w:sz w:val="16"/>
          <w:szCs w:val="16"/>
          <w:i w:val="1"/>
          <w:iCs w:val="1"/>
          <w:color w:val="auto"/>
        </w:rPr>
        <w:t xml:space="preserve">Cusumano </w:t>
      </w:r>
      <w:r>
        <w:rPr>
          <w:rFonts w:ascii="Arial" w:cs="Arial" w:eastAsia="Arial" w:hAnsi="Arial"/>
          <w:sz w:val="16"/>
          <w:szCs w:val="16"/>
          <w:color w:val="auto"/>
        </w:rPr>
        <w:t>action alleged that the Individual Defendants breached their fiduciary duties to Sequenom shareholders. The actions sought, among other things,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injunctive relief enjoining the merger. On August 30, 2016, the parties entered into a Memorandum of Understanding in each of the above-referenced actions. In connection with the settlement, Sequenom agreed to make certain additional disclosures to its stockholders. The settlement is subject to the entry by the parties into a stipulation of settlement and customary conditions, including court approval. On September 6, 2016, the Court entered an order consolidating for all pre-trial purposes the six individual actions described above under the caption </w:t>
      </w:r>
      <w:r>
        <w:rPr>
          <w:rFonts w:ascii="Arial" w:cs="Arial" w:eastAsia="Arial" w:hAnsi="Arial"/>
          <w:sz w:val="16"/>
          <w:szCs w:val="16"/>
          <w:i w:val="1"/>
          <w:iCs w:val="1"/>
          <w:color w:val="auto"/>
        </w:rPr>
        <w:t>In re Sequenom, Inc. Shareholder Litig.</w:t>
      </w:r>
      <w:r>
        <w:rPr>
          <w:rFonts w:ascii="Arial" w:cs="Arial" w:eastAsia="Arial" w:hAnsi="Arial"/>
          <w:sz w:val="16"/>
          <w:szCs w:val="16"/>
          <w:color w:val="auto"/>
        </w:rPr>
        <w:t xml:space="preserve">, Lead Case No. 16-cv-02054-JAH-BLM, and designating the complaint from the </w:t>
      </w:r>
      <w:r>
        <w:rPr>
          <w:rFonts w:ascii="Arial" w:cs="Arial" w:eastAsia="Arial" w:hAnsi="Arial"/>
          <w:sz w:val="16"/>
          <w:szCs w:val="16"/>
          <w:i w:val="1"/>
          <w:iCs w:val="1"/>
          <w:color w:val="auto"/>
        </w:rPr>
        <w:t>Malkoff</w:t>
      </w:r>
      <w:r>
        <w:rPr>
          <w:rFonts w:ascii="Arial" w:cs="Arial" w:eastAsia="Arial" w:hAnsi="Arial"/>
          <w:sz w:val="16"/>
          <w:szCs w:val="16"/>
          <w:color w:val="auto"/>
        </w:rPr>
        <w:t xml:space="preserve"> action as the operative complaint for the consolidated action.</w:t>
      </w:r>
    </w:p>
    <w:p>
      <w:pPr>
        <w:spacing w:after="0" w:line="77"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As of September 30, 2016, the Company had provided letters of credit aggregating approximately $54.7, primarily in connection with certain insurance programs. The Company’s availability under its revolving credit facility is reduced by the amount of these letters of credit.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PLANS</w:t>
      </w:r>
    </w:p>
    <w:p>
      <w:pPr>
        <w:spacing w:after="0" w:line="135"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Company’s defined contribution retirement plan (401K Plan) covers substantially all pre-Acquisition employees. All employees eligible for the 401K Plan receive a minimum 3% non-elective contribution concurrent with each payroll period. The 401K Plan also permits discretionary contributions by the Company of up to 1% and up to 3% of pay for eligible employees based on years of service with the Company. The cost of this plan was $13.0 and $13.2 for the three months ended September 30, 2016 and 2015, respectively, and was $40.2 and $39.4 for the nine months ended September 30, 2016 and 2015, respectively. The Company also incurred expense of $12.6 and $11.4 for the Covance 401K plan assumed as a result of the Acquisition during the three months ended September 30, 2016 and 2015, respectively, and $39.1 and $27.1 during the nine months ended September 30, 2016 and 2015, respectively. All of the Covance U.S. employees are eligible to participate in the discretionary Covance 401K plan, which features a maximum 4.5% Company match, based upon a percentage of the employee’s contributions.</w:t>
      </w:r>
    </w:p>
    <w:p>
      <w:pPr>
        <w:spacing w:after="0" w:line="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also maintains a frozen defined benefit retirement plan (Company Plan), which as of December 31, 2009, covered substantially all employees. The benefits to be paid under the Company Plan are based on years of credited service through December 31, 2009 and ongoing interest credits. Effective January 1, 2010, the Company Plan was closed to new participants. The Company’s policy is to fund the Company Plan with at least the minimum amount required by applicable regulations.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maintains a second unfunded, non-contributory, non-qualified defined benefit retirement plan (PEP), which as of December 31, 2009, covered substantially all of its senior management group. The PEP supplements the Company Plan and was also closed to new participants effective January 1, 2010.</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w w:val="97"/>
              </w:rPr>
              <w:t>The effect on operations for the Company Plan and the PEP is summarized as follows: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4"/>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1940" w:type="dxa"/>
            <w:vAlign w:val="bottom"/>
            <w:gridSpan w:val="4"/>
          </w:tcPr>
          <w:p>
            <w:pPr>
              <w:jc w:val="right"/>
              <w:ind w:right="25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1940" w:type="dxa"/>
            <w:vAlign w:val="bottom"/>
            <w:gridSpan w:val="4"/>
          </w:tcPr>
          <w:p>
            <w:pPr>
              <w:jc w:val="right"/>
              <w:ind w:right="450"/>
              <w:spacing w:after="0"/>
              <w:rPr>
                <w:sz w:val="20"/>
                <w:szCs w:val="20"/>
                <w:color w:val="auto"/>
              </w:rPr>
            </w:pPr>
            <w:r>
              <w:rPr>
                <w:rFonts w:ascii="Arial" w:cs="Arial" w:eastAsia="Arial" w:hAnsi="Arial"/>
                <w:sz w:val="18"/>
                <w:szCs w:val="18"/>
                <w:color w:val="auto"/>
              </w:rPr>
              <w:t>September 30,</w:t>
            </w:r>
          </w:p>
        </w:tc>
      </w:tr>
      <w:tr>
        <w:trPr>
          <w:trHeight w:val="34"/>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2015</w:t>
            </w:r>
          </w:p>
        </w:tc>
      </w:tr>
      <w:tr>
        <w:trPr>
          <w:trHeight w:val="34"/>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8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amortization and deferral</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the three and nine months ended September 30, 2016, the Company contributed $3.9 and $8.6, respectively, to the Company Plan.</w:t>
      </w:r>
    </w:p>
    <w:p>
      <w:pPr>
        <w:spacing w:after="0" w:line="11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assumed the obligations under a subsidiary’s post-retirement medical plan. Coverage under this plan is restricted to a limited number of existing employees of the subsidiary. The Company funds the plan through monthly contributions to a Health Reimbursement Arrangement, which can be used by eligible participants to purchase health care insurance through insurance exchanges. Effective January 1, 2017, Health Reimbursement Arrangement contributions for Medicare eligible participants will cease. The effect on operations of the post-retirement medical plan is shown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960" w:type="dxa"/>
            <w:vAlign w:val="bottom"/>
            <w:gridSpan w:val="6"/>
          </w:tcPr>
          <w:p>
            <w:pPr>
              <w:jc w:val="center"/>
              <w:ind w:right="80"/>
              <w:spacing w:after="0"/>
              <w:rPr>
                <w:sz w:val="20"/>
                <w:szCs w:val="20"/>
                <w:color w:val="auto"/>
              </w:rPr>
            </w:pPr>
            <w:r>
              <w:rPr>
                <w:rFonts w:ascii="Arial" w:cs="Arial" w:eastAsia="Arial" w:hAnsi="Arial"/>
                <w:sz w:val="18"/>
                <w:szCs w:val="18"/>
                <w:color w:val="auto"/>
                <w:w w:val="89"/>
              </w:rPr>
              <w:t>Three Months Ended September 30,</w:t>
            </w:r>
          </w:p>
        </w:tc>
        <w:tc>
          <w:tcPr>
            <w:tcW w:w="180" w:type="dxa"/>
            <w:vAlign w:val="bottom"/>
          </w:tcPr>
          <w:p>
            <w:pPr>
              <w:spacing w:after="0"/>
              <w:rPr>
                <w:sz w:val="20"/>
                <w:szCs w:val="20"/>
                <w:color w:val="auto"/>
              </w:rPr>
            </w:pPr>
          </w:p>
        </w:tc>
        <w:tc>
          <w:tcPr>
            <w:tcW w:w="2780" w:type="dxa"/>
            <w:vAlign w:val="bottom"/>
            <w:gridSpan w:val="4"/>
          </w:tcPr>
          <w:p>
            <w:pPr>
              <w:jc w:val="right"/>
              <w:ind w:right="90"/>
              <w:spacing w:after="0"/>
              <w:rPr>
                <w:sz w:val="20"/>
                <w:szCs w:val="20"/>
                <w:color w:val="auto"/>
              </w:rPr>
            </w:pPr>
            <w:r>
              <w:rPr>
                <w:rFonts w:ascii="Arial" w:cs="Arial" w:eastAsia="Arial" w:hAnsi="Arial"/>
                <w:sz w:val="18"/>
                <w:szCs w:val="18"/>
                <w:color w:val="auto"/>
                <w:w w:val="91"/>
              </w:rPr>
              <w:t>Nine Months Ended September 30,</w:t>
            </w:r>
          </w:p>
        </w:tc>
      </w:tr>
      <w:tr>
        <w:trPr>
          <w:trHeight w:val="34"/>
        </w:trPr>
        <w:tc>
          <w:tcPr>
            <w:tcW w:w="5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34"/>
        </w:trPr>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8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8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64"/>
        </w:trPr>
        <w:tc>
          <w:tcPr>
            <w:tcW w:w="5500" w:type="dxa"/>
            <w:vAlign w:val="bottom"/>
          </w:tcPr>
          <w:p>
            <w:pPr>
              <w:ind w:left="40"/>
              <w:spacing w:after="0"/>
              <w:rPr>
                <w:sz w:val="20"/>
                <w:szCs w:val="20"/>
                <w:color w:val="auto"/>
              </w:rPr>
            </w:pPr>
            <w:r>
              <w:rPr>
                <w:rFonts w:ascii="Arial" w:cs="Arial" w:eastAsia="Arial" w:hAnsi="Arial"/>
                <w:sz w:val="18"/>
                <w:szCs w:val="18"/>
                <w:color w:val="auto"/>
              </w:rPr>
              <w:t>Post-retirement medical plan benefits</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addition to the PEP, as a result of the Acquisition, the Company also has a frozen non-qualified Supplemental Executive Retirement Plan (SERP). The SERP, which is not funded, is intended to provide retirement benefits for certain executive officers of the Company. Benefit amounts are based upon years of service and compensation of the participating employees. The pension benefit obligation as of the Acquisition Date was $32.8. The components of the net periodic pension cost for the three and nine months ended September 30, 2016 and 2015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8"/>
                <w:szCs w:val="18"/>
                <w:color w:val="auto"/>
                <w:w w:val="96"/>
              </w:rPr>
              <w:t>Three Months Ended September 30,</w:t>
            </w:r>
          </w:p>
        </w:tc>
        <w:tc>
          <w:tcPr>
            <w:tcW w:w="140" w:type="dxa"/>
            <w:vAlign w:val="bottom"/>
          </w:tcPr>
          <w:p>
            <w:pPr>
              <w:spacing w:after="0"/>
              <w:rPr>
                <w:sz w:val="20"/>
                <w:szCs w:val="20"/>
                <w:color w:val="auto"/>
              </w:rPr>
            </w:pPr>
          </w:p>
        </w:tc>
        <w:tc>
          <w:tcPr>
            <w:tcW w:w="2700" w:type="dxa"/>
            <w:vAlign w:val="bottom"/>
            <w:gridSpan w:val="4"/>
          </w:tcPr>
          <w:p>
            <w:pPr>
              <w:jc w:val="right"/>
              <w:ind w:right="50"/>
              <w:spacing w:after="0"/>
              <w:rPr>
                <w:sz w:val="20"/>
                <w:szCs w:val="20"/>
                <w:color w:val="auto"/>
              </w:rPr>
            </w:pPr>
            <w:r>
              <w:rPr>
                <w:rFonts w:ascii="Arial" w:cs="Arial" w:eastAsia="Arial" w:hAnsi="Arial"/>
                <w:sz w:val="18"/>
                <w:szCs w:val="18"/>
                <w:color w:val="auto"/>
                <w:w w:val="90"/>
              </w:rPr>
              <w:t>Nine Months Ended September 30,</w:t>
            </w:r>
          </w:p>
        </w:tc>
      </w:tr>
      <w:tr>
        <w:trPr>
          <w:trHeight w:val="34"/>
        </w:trPr>
        <w:tc>
          <w:tcPr>
            <w:tcW w:w="5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r>
      <w:tr>
        <w:trPr>
          <w:trHeight w:val="34"/>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9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64"/>
        </w:trPr>
        <w:tc>
          <w:tcPr>
            <w:tcW w:w="56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periodic pension cost</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SERP was frozen effective August 1, 2015, which resulted in a curtailment gain of $0.7.</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Also as a result of the Acquisition, the Company sponsors a post-employment retiree health and welfare plan for the benefit of eligible employees at certain U.S. subsidiaries who retire after satisfying service and age requirements. Effective January 1, 2017, this Plan will cease directly providing medical, prescription drug and dental coverage options currently available to eligible participants. Instead, the Company will fund the plan through monthly contributions to a Health Reimbursement Arrangement, which can be used by non-Medicare eligible participants to purchase health care insurance through insurance exchanges. The net periodic post-retirement benefit cost for the three months ended September 30, 2016 and 2015 was $0.4 and $0.1, respectively, and was $1.2 and $0.2 for the nine months ended September 30, 2016 and 2015, respectively. The pension benefit obligation as of the Acquisition Date was $6.3.</w:t>
      </w:r>
    </w:p>
    <w:p>
      <w:pPr>
        <w:spacing w:after="0" w:line="21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a result of the Acquisition, the Company sponsors two defined benefit pension plans for the benefit of its employees at two United Kingdom subsidiaries and one defined benefit pension plan for the benefit of its employees at a German subsidiary, all of which are legacy plans of previously acquired companies. Benefit amounts for all three plans are based upon years of service and</w:t>
      </w:r>
    </w:p>
    <w:p>
      <w:pPr>
        <w:sectPr>
          <w:pgSz w:w="11900" w:h="16838" w:orient="portrait"/>
          <w:cols w:equalWidth="0" w:num="1">
            <w:col w:w="11420"/>
          </w:cols>
          <w:pgMar w:left="240" w:top="125"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compensation. The German plan is unfunded while the United Kingdom pension plans are funded. The Company’s funding policy has been to contribute annually a fixed percentage of each eligible employee's salary at least equal to the local statutory funding requirements.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8"/>
                <w:szCs w:val="18"/>
                <w:color w:val="auto"/>
                <w:w w:val="92"/>
              </w:rPr>
              <w:t>United Kingdom Plans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4"/>
        </w:trPr>
        <w:tc>
          <w:tcPr>
            <w:tcW w:w="542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43"/>
        </w:trPr>
        <w:tc>
          <w:tcPr>
            <w:tcW w:w="5420" w:type="dxa"/>
            <w:vAlign w:val="bottom"/>
          </w:tcPr>
          <w:p>
            <w:pPr>
              <w:spacing w:after="0"/>
              <w:rPr>
                <w:sz w:val="21"/>
                <w:szCs w:val="21"/>
                <w:color w:val="auto"/>
              </w:rPr>
            </w:pPr>
          </w:p>
        </w:tc>
        <w:tc>
          <w:tcPr>
            <w:tcW w:w="3060" w:type="dxa"/>
            <w:vAlign w:val="bottom"/>
            <w:gridSpan w:val="6"/>
          </w:tcPr>
          <w:p>
            <w:pPr>
              <w:ind w:left="180"/>
              <w:spacing w:after="0"/>
              <w:rPr>
                <w:sz w:val="20"/>
                <w:szCs w:val="20"/>
                <w:color w:val="auto"/>
              </w:rPr>
            </w:pPr>
            <w:r>
              <w:rPr>
                <w:rFonts w:ascii="Arial" w:cs="Arial" w:eastAsia="Arial" w:hAnsi="Arial"/>
                <w:sz w:val="18"/>
                <w:szCs w:val="18"/>
                <w:color w:val="auto"/>
                <w:w w:val="98"/>
              </w:rPr>
              <w:t>Three Months Ended September 30,</w:t>
            </w:r>
          </w:p>
        </w:tc>
        <w:tc>
          <w:tcPr>
            <w:tcW w:w="160" w:type="dxa"/>
            <w:vAlign w:val="bottom"/>
          </w:tcPr>
          <w:p>
            <w:pPr>
              <w:spacing w:after="0"/>
              <w:rPr>
                <w:sz w:val="21"/>
                <w:szCs w:val="21"/>
                <w:color w:val="auto"/>
              </w:rPr>
            </w:pPr>
          </w:p>
        </w:tc>
        <w:tc>
          <w:tcPr>
            <w:tcW w:w="2780" w:type="dxa"/>
            <w:vAlign w:val="bottom"/>
            <w:gridSpan w:val="4"/>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r>
      <w:tr>
        <w:trPr>
          <w:trHeight w:val="34"/>
        </w:trPr>
        <w:tc>
          <w:tcPr>
            <w:tcW w:w="5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2015</w:t>
            </w:r>
          </w:p>
        </w:tc>
      </w:tr>
      <w:tr>
        <w:trPr>
          <w:trHeight w:val="34"/>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90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97"/>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Defined benefit plan costs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r>
      <w:tr>
        <w:trPr>
          <w:trHeight w:val="257"/>
        </w:trPr>
        <w:tc>
          <w:tcPr>
            <w:tcW w:w="54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Assumptions used to determine defined benefit plan cost</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Salary increases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486"/>
        </w:trPr>
        <w:tc>
          <w:tcPr>
            <w:tcW w:w="5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8"/>
                <w:szCs w:val="18"/>
                <w:color w:val="auto"/>
                <w:w w:val="88"/>
              </w:rPr>
              <w:t>German Plan</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
        </w:trPr>
        <w:tc>
          <w:tcPr>
            <w:tcW w:w="542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43"/>
        </w:trPr>
        <w:tc>
          <w:tcPr>
            <w:tcW w:w="5420" w:type="dxa"/>
            <w:vAlign w:val="bottom"/>
          </w:tcPr>
          <w:p>
            <w:pPr>
              <w:spacing w:after="0"/>
              <w:rPr>
                <w:sz w:val="21"/>
                <w:szCs w:val="21"/>
                <w:color w:val="auto"/>
              </w:rPr>
            </w:pPr>
          </w:p>
        </w:tc>
        <w:tc>
          <w:tcPr>
            <w:tcW w:w="3060" w:type="dxa"/>
            <w:vAlign w:val="bottom"/>
            <w:gridSpan w:val="6"/>
          </w:tcPr>
          <w:p>
            <w:pPr>
              <w:ind w:left="180"/>
              <w:spacing w:after="0"/>
              <w:rPr>
                <w:sz w:val="20"/>
                <w:szCs w:val="20"/>
                <w:color w:val="auto"/>
              </w:rPr>
            </w:pPr>
            <w:r>
              <w:rPr>
                <w:rFonts w:ascii="Arial" w:cs="Arial" w:eastAsia="Arial" w:hAnsi="Arial"/>
                <w:sz w:val="18"/>
                <w:szCs w:val="18"/>
                <w:color w:val="auto"/>
                <w:w w:val="98"/>
              </w:rPr>
              <w:t>Three Months Ended September 30,</w:t>
            </w:r>
          </w:p>
        </w:tc>
        <w:tc>
          <w:tcPr>
            <w:tcW w:w="160" w:type="dxa"/>
            <w:vAlign w:val="bottom"/>
          </w:tcPr>
          <w:p>
            <w:pPr>
              <w:spacing w:after="0"/>
              <w:rPr>
                <w:sz w:val="21"/>
                <w:szCs w:val="21"/>
                <w:color w:val="auto"/>
              </w:rPr>
            </w:pPr>
          </w:p>
        </w:tc>
        <w:tc>
          <w:tcPr>
            <w:tcW w:w="2780" w:type="dxa"/>
            <w:vAlign w:val="bottom"/>
            <w:gridSpan w:val="4"/>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r>
      <w:tr>
        <w:trPr>
          <w:trHeight w:val="34"/>
        </w:trPr>
        <w:tc>
          <w:tcPr>
            <w:tcW w:w="5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2015</w:t>
            </w:r>
          </w:p>
        </w:tc>
      </w:tr>
      <w:tr>
        <w:trPr>
          <w:trHeight w:val="34"/>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90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from earlier periods</w:t>
            </w: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304"/>
        </w:trPr>
        <w:tc>
          <w:tcPr>
            <w:tcW w:w="54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Defined benefit plan costs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r>
      <w:tr>
        <w:trPr>
          <w:trHeight w:val="257"/>
        </w:trPr>
        <w:tc>
          <w:tcPr>
            <w:tcW w:w="54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Assumptions used to determine defined benefit plan cost</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900" w:type="dxa"/>
            <w:vAlign w:val="bottom"/>
          </w:tcPr>
          <w:p>
            <w:pPr>
              <w:spacing w:after="0"/>
              <w:rPr>
                <w:sz w:val="21"/>
                <w:szCs w:val="21"/>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Salary increases</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3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Company’s population of financial assets and liabilities subject to fair value measurements as of September 30, 2016 and December 31, 2015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September 30, 2016</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as of</w:t>
            </w: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September 30, 2016</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2015</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as of</w:t>
            </w: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31, 2015</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06"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906"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jc w:val="both"/>
        <w:ind w:right="20" w:firstLine="270"/>
        <w:spacing w:after="0" w:line="308" w:lineRule="auto"/>
        <w:rPr>
          <w:sz w:val="20"/>
          <w:szCs w:val="20"/>
          <w:color w:val="auto"/>
        </w:rPr>
      </w:pPr>
      <w:r>
        <w:rPr>
          <w:rFonts w:ascii="Arial" w:cs="Arial" w:eastAsia="Arial" w:hAnsi="Arial"/>
          <w:sz w:val="17"/>
          <w:szCs w:val="17"/>
          <w:color w:val="auto"/>
        </w:rPr>
        <w:t>The Company has a noncontrolling interest put related to its Ontario subsidiary that has been classified as mezzanine equity in the Company’s condensed consolidated balance sheet. The noncontrolling interest put is valued at its contractually determined value, which approximates fair value.</w:t>
      </w:r>
    </w:p>
    <w:p>
      <w:pPr>
        <w:spacing w:after="0" w:line="52"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offers certain employees the opportunity to participate in a deferred compensation plan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these policies are based upon earnings and changes in the value of the underlying investments, which are typically invested in a manner similar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83"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$128.7 and $177.1 as of September 30, 2016 and December 31, 2015, respectively. The fair market value of all of the senior notes, based on market pricing, was approximately $6,153.2 and $6,070.5 as of September 30, 2016 and December 31, 2015, respectively. The Company's note and debt instruments are classified as Level 2 instruments, as the fair market values of these instruments are determined using other observable inputs.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ACTIVITIES</w:t>
      </w:r>
    </w:p>
    <w:p>
      <w:pPr>
        <w:spacing w:after="0" w:line="13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addresses its exposure to market risks, principally the market risk associated with changes in interest rates and foreign exchange rates, through a controlled program of risk management that includes, from time to time, the use of derivative financial instruments such as interest rate swap agreements (see Interest Rate Swap section below) and forward contracts. Although the Company’s zero-coupon subordinated notes contain features that are considered to be embedded derivative instruments (see Embedded Derivatives Related to the Zero-Coupon Subordinated Notes section below), the Company does not hold or issue derivative financial instruments for trading purposes. The Company does not believe that its exposure to market risk is material to the Company’s financial position or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1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These interest rate swaps are included in other long term assets and added to the value of the senior notes, with an aggregate fair value of $40.5 and $21.6 at September 30, 2016 and December 31, 2015, respectively.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 Related to the Zero-Coupon Subordinated Notes</w:t>
      </w:r>
    </w:p>
    <w:p>
      <w:pPr>
        <w:spacing w:after="0" w:line="13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76" w:lineRule="exact"/>
        <w:rPr>
          <w:sz w:val="20"/>
          <w:szCs w:val="20"/>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Standard &amp; Poor’s Ratings Services is BB- or lower.</w:t>
      </w:r>
    </w:p>
    <w:p>
      <w:pPr>
        <w:spacing w:after="0" w:line="76" w:lineRule="exact"/>
        <w:rPr>
          <w:sz w:val="20"/>
          <w:szCs w:val="20"/>
          <w:color w:val="auto"/>
        </w:rPr>
      </w:pPr>
    </w:p>
    <w:p>
      <w:pPr>
        <w:ind w:firstLine="270"/>
        <w:spacing w:after="0" w:line="308" w:lineRule="auto"/>
        <w:rPr>
          <w:sz w:val="20"/>
          <w:szCs w:val="20"/>
          <w:color w:val="auto"/>
        </w:rPr>
      </w:pPr>
      <w:r>
        <w:rPr>
          <w:rFonts w:ascii="Arial" w:cs="Arial" w:eastAsia="Arial" w:hAnsi="Arial"/>
          <w:sz w:val="17"/>
          <w:szCs w:val="17"/>
          <w:color w:val="auto"/>
        </w:rPr>
        <w:t>The Company believes these embedded derivatives had no fair value at September 30, 2016 and December 31, 2015. These embedded derivatives also had no impact on the condensed consolidated statements of operations for the nine months ended September 30,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Instruments</w:t>
      </w:r>
    </w:p>
    <w:p>
      <w:pPr>
        <w:spacing w:after="0" w:line="13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September 30, 2016 and December 31,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13. SUPPLEMENTAL CASH FLOW INFORMATION</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3300" w:type="dxa"/>
            <w:vAlign w:val="bottom"/>
            <w:gridSpan w:val="5"/>
          </w:tcPr>
          <w:p>
            <w:pPr>
              <w:jc w:val="right"/>
              <w:ind w:right="290"/>
              <w:spacing w:after="0"/>
              <w:rPr>
                <w:sz w:val="20"/>
                <w:szCs w:val="20"/>
                <w:color w:val="auto"/>
              </w:rPr>
            </w:pPr>
            <w:r>
              <w:rPr>
                <w:rFonts w:ascii="Arial" w:cs="Arial" w:eastAsia="Arial" w:hAnsi="Arial"/>
                <w:sz w:val="18"/>
                <w:szCs w:val="18"/>
                <w:color w:val="auto"/>
              </w:rPr>
              <w:t>Nine Months Ended September 30,</w:t>
            </w:r>
          </w:p>
        </w:tc>
      </w:tr>
      <w:tr>
        <w:trPr>
          <w:trHeight w:val="34"/>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2016</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34"/>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Cash paid during period for:</w:t>
            </w: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260.9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237.6</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Disclosure of non-cash financing and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Surrender of restricted stock awards and performance awards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stock consideration for the Acquisition</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1,762.5</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Conversion of zero-coupon convertible debt</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acquired under capital leases</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Increase (decrease) in accrued liabilities for the purchase of property, plant and equipment</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 INFORMATION</w:t>
      </w:r>
    </w:p>
    <w:p>
      <w:pPr>
        <w:spacing w:after="0" w:line="13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following table is a summary of segment information for the three months ended September 30, 2016 and 2015.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94"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In connection with the Acquisition, the Company changed its operating segments to align with how the CODM evaluates financial information used to allocate resources and assess performance of the Company post-Acquisition. As a result, the segment information presented in these financial statements has been conformed to present segments on this revised basis for all prior periods. Under the new organizational structure, the CODM manages the Company under two segments: LCD and CDD. LCD includes all of the legacy LabCorp business and the nutritional chemistry and food safety business, which was previously part of Covance but excludes LabCorp's legacy clinical trials testing business, which is now part of CDD. CDD includes all of Covance's legacy business and LabCorp's legacy clinical trials testing business, but excludes the nutritional chemistry and food safety business, which is now part of LCD.</w:t>
      </w:r>
    </w:p>
    <w:p>
      <w:pPr>
        <w:spacing w:after="0" w:line="7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Operating earnings (loss) of each segment represents net revenues less directly identifiable expenses to arrive at operating income for the segment. General management and administrative corporate expenses are included in general corporate expenses below. The table below represents information about the Company’s reporting segments for the three and nine months ended September 30, 2016 and 2015:</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ind w:left="400" w:right="204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0"/>
                <w:szCs w:val="20"/>
                <w:color w:val="auto"/>
              </w:rPr>
            </w:pPr>
          </w:p>
        </w:tc>
        <w:tc>
          <w:tcPr>
            <w:tcW w:w="1900" w:type="dxa"/>
            <w:vAlign w:val="bottom"/>
            <w:gridSpan w:val="4"/>
          </w:tcPr>
          <w:p>
            <w:pPr>
              <w:jc w:val="right"/>
              <w:ind w:right="230"/>
              <w:spacing w:after="0"/>
              <w:rPr>
                <w:sz w:val="20"/>
                <w:szCs w:val="20"/>
                <w:color w:val="auto"/>
              </w:rPr>
            </w:pPr>
            <w:r>
              <w:rPr>
                <w:rFonts w:ascii="Arial" w:cs="Arial" w:eastAsia="Arial" w:hAnsi="Arial"/>
                <w:sz w:val="18"/>
                <w:szCs w:val="18"/>
                <w:color w:val="auto"/>
                <w:w w:val="98"/>
              </w:rPr>
              <w:t>Nine Months Ended</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3"/>
                <w:szCs w:val="23"/>
                <w:color w:val="auto"/>
              </w:rPr>
            </w:pPr>
          </w:p>
        </w:tc>
        <w:tc>
          <w:tcPr>
            <w:tcW w:w="1900" w:type="dxa"/>
            <w:vAlign w:val="bottom"/>
            <w:gridSpan w:val="4"/>
          </w:tcPr>
          <w:p>
            <w:pPr>
              <w:jc w:val="right"/>
              <w:ind w:right="43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34"/>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LCD - net revenue</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1,671.8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1,600.9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4,922.1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4,647.9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 - net revenue</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r>
        <w:trPr>
          <w:trHeight w:val="284"/>
        </w:trPr>
        <w:tc>
          <w:tcPr>
            <w:tcW w:w="5340" w:type="dxa"/>
            <w:vAlign w:val="bottom"/>
          </w:tcPr>
          <w:p>
            <w:pPr>
              <w:ind w:left="20"/>
              <w:spacing w:after="0"/>
              <w:rPr>
                <w:sz w:val="20"/>
                <w:szCs w:val="20"/>
                <w:color w:val="auto"/>
              </w:rPr>
            </w:pPr>
            <w:r>
              <w:rPr>
                <w:rFonts w:ascii="Arial" w:cs="Arial" w:eastAsia="Arial" w:hAnsi="Arial"/>
                <w:sz w:val="18"/>
                <w:szCs w:val="18"/>
                <w:color w:val="auto"/>
              </w:rPr>
              <w:t>Intercompany eliminations</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14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2,269.9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7,049.9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6,260.9</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LCD</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801.8</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8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14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r>
        <w:trPr>
          <w:trHeight w:val="28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14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8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8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income attributable to noncontrolling interests</w:t>
            </w:r>
          </w:p>
        </w:tc>
        <w:tc>
          <w:tcPr>
            <w:tcW w:w="14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income attributable to Laboratory Corporation of America Holdings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5" w:right="3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and in the Company’s other public filings, press releases and discussions with Company management, including:</w:t>
      </w:r>
    </w:p>
    <w:p>
      <w:pPr>
        <w:spacing w:after="0" w:line="206" w:lineRule="exact"/>
        <w:rPr>
          <w:sz w:val="20"/>
          <w:szCs w:val="20"/>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and third party payer regulations or policies or other future reforms in the healthcare system (or in the interpretation of current regulations), new insurance or payment systems, including state, regional or private insurance cooperatives (e.g., Health Insurance Exchanges), affecting governmental and third-party coverage or reimbursement for clinical laboratory testing;</w:t>
      </w:r>
    </w:p>
    <w:p>
      <w:pPr>
        <w:spacing w:after="0" w:line="7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monetary damages, fines, penalties, assessments, refunds, repayments, unanticipated compliance expenditures and/or exclusion from the Medicare and Medicaid programs, among other adverse consequences, resulting from interpretations of, or future changes in, laws and regulations, including laws and regulations of Medicare, Medicaid, the federal and state False Claims Acts, interpretations of such laws and regulations by U.S. or state government agencies or investigations, audits, regulatory examinations, information requests and other inquiries by state or U.S. government agencies;</w:t>
      </w:r>
    </w:p>
    <w:p>
      <w:pPr>
        <w:spacing w:after="0" w:line="8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fines, penalties, costs, unanticipated compliance expenditures and/or damage to the Company’s reputation arising from the failure to comply with U.S. and international privacy and security laws and regulations, including the Health Insurance Portability and Accountability Act of 1996, the Health Information Technology for Economic and Clinical Health Act, U.S. state laws and regulations, and laws and regulations of the European Union and other countries;</w:t>
      </w:r>
    </w:p>
    <w:p>
      <w:pPr>
        <w:spacing w:after="0" w:line="7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or suspension of a license or imposition of a fine or penalties under, or future changes in, or interpretations of applicable U.S., state or local licensing laws or regulations, including, but not limited to, the Clinical Laboratory Improvement Act of 1967, and the Clinical Laboratory Improvement Amendments of 1988;</w:t>
      </w:r>
    </w:p>
    <w:p>
      <w:pPr>
        <w:spacing w:after="0" w:line="7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the U.S. Occupational Safety and Health Administration requirements and the U.S. Needlestick Safety and Prevention Act, or similar laws and regulations of U.S., state, local or international agencies;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injunctions, or criminal prosecution arising from failure to maintain compliance with current good manufacturing practice (cGMP) regulations and other applicable requirements of various regulatory agencies;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or policies, including regulations and policies of the U.S. Food and Drug Administration, the U.S. Department of Agriculture, the Medicine and Healthcare products Regulatory Agency in the U.K., the China Food and Drug Administration , the European Medicines Agency or other U.S., state, local or international agencies, affecting the approval, availability of, and the selling and marketing of tests, products, drugs, or the conduct of drug development trials;</w:t>
      </w:r>
    </w:p>
    <w:p>
      <w:pPr>
        <w:spacing w:after="0" w:line="7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pertaining to the pharmaceutical and biotechnology industries, changes in reimbursement of pharmaceutical products or reduced spending on research and development by pharmaceutical and biotechnology customers;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that result from the inability to comply with corporate governance requirements;</w:t>
      </w:r>
    </w:p>
    <w:p>
      <w:pPr>
        <w:spacing w:after="0" w:line="11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a potential reduction in rates in response to price transparency and consumerism, competitive bidding and/or changes or reductions to fee schedules and competition from companies that do not comply with existing laws or regulations or otherwise disregard compliance standards in the industry;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jc w:val="both"/>
        <w:ind w:left="660" w:hanging="652"/>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payer mix or payment structure, including insurance carrier participation in Health Insurance Exchanges, an increase in capitated reimbursement mechanisms, the impact of a shift to consumer-driven health plans or plans carrying increased level of member cost-sharing, and adverse changes in payer reimbursement or payer coverage policies (implemented directly or through a third party utilization management organization) related to specific diagnostic tests, categories of testing or testing methodologies;</w:t>
      </w:r>
    </w:p>
    <w:p>
      <w:pPr>
        <w:spacing w:after="0" w:line="7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retain or attract managed care organization (MCO) business as a result of changes in business models, including new risk based or network approaches, or other changes in strategy or business models by MCOs;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obtain and retain new customers, an unfavorable change in the mix of testing services ordered, or a reduction in tests ordered, specimens submitted or services requested by existing customers;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consolidation and convergence of MCOs, pharmaceutical companies, health systems, large physician organizations and other customers potentially causing material shifts in insourcing, utilization, pricing and reimbursements, including full and partial risk based models;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effectively develop and deploy system modifications or enhancements required in response to evolving market and business needs;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newly acquired businesses;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and impact on the Company's cash position, levels of indebtedness and stock price;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of the Company to avoid adverse tax treatments relating to the Acquisition;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liability arising from errors or omissions in the performance of contract research services or other contractual arrangements;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or disruption in services or supplies provided by third parties, including transportation;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or other harm from acts of animal rights extremists or potential harm and/or liability arising from animal research activities or the provision of animal research products;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and mobile health technologies, or potential use of new technologies by customers and/or consumers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and maintain adequate patent and other proprietary rights for protection of the Company's products and services and to successfully enforce the Company's proprietary rights;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 or other impact on the business due to adverse weather, fires and/or other natural disasters, acts of war, terrorism or other criminal acts, and/or widespread outbreak of influenza or other pandemic illness;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7"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in the Company's information technology systems, including with respect to testing turnaround time and billing processes, or the failure to maintain the security of business information or systems or to protect against cyber security attacks,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62"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and/or bad debt expense levels including negative impact on the Company's reimbursement, cash collections and profitability arising from unfavorable changes in third party payer policies in connection with the ICD-10-CM Code Set which was effective October 1, 2015;</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on the Company's revenue, cash collections and the availability of credit for general liquidity or other financing needs arising from a significant deterioration in the economy or financial markets or in the Company's credit ratings by S&amp;P and/or Moody's;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obtain certain billing information from physicians, resulting in increased costs and complexity, a temporary disruption in cash receipts and ongoing reductions in reimbursements and net revenues;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Foreign Corrupt Practices Act, the U.K. Bribery Act, trade sanction laws and regulations, and laws and regulations that differ from those of the U.S., and economic, political, legal and other operational risks associated with foreign markets;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the Company's comprehensive, enterprise-wide business process improvement initiative; and</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economic conditions and government and regulatory changes, including but not limited to the United Kingdom's announced intention to exit from the European Union.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(dollars in millions, except per share data)</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revenue for the three and nine months ended September 30, 2016 increased 4.5% and 12.6% as compared to the prior year. The increase for the three months ended September 30, 2016 was primarily due to organic revenue growth in both segments as well as tuck-in acquisitions in the clinical laboratory business, partially offset by currency.</w:t>
      </w:r>
    </w:p>
    <w:p>
      <w:pPr>
        <w:spacing w:after="0" w:line="8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Company completed the acquisition of Sequenom, Inc., a market leader in non-invasive prenatal testing, women's health and reproductive genetics on September 7, 2016 through a cash tender offer for $2.40 per share, or a transaction price of $249.1, net of cash received, and acquired $130.0 of debt. Sequenom, Inc. reported total revenue of $128.3 in their 2015 Form 10-K and is expected to be accretive during the first year of ownership.</w:t>
      </w:r>
    </w:p>
    <w:p>
      <w:pPr>
        <w:spacing w:after="0" w:line="5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In connection with the Acquisition, the Company changed its operating segments to align with how the chief operating decision maker (CODM) evaluates financial information used to allocate resources and assess performance of the Company post-Acquisition. As a result, the segment information presented in these financial statements has been conformed to present segments on this revised basis for all prior periods. Under the new organizational structure, the CODM manages the Company under two reportable segments: LabCorp Diagnostics (LCD) and Covance Drug Development (CDD). LCD includes all of the Company's legacy LabCorp business, and the Company's nutritional chemistry and food safety business, which was previously part of Covance, but excludes LabCorp’s legacy clinical trials testing business, which is now part of CDD. CDD includes all of Covance’s legacy business, and LabCorp’s legacy clinical trials testing business, but excludes the nutritional chemistry and food safety business, which is now part of LCD.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(amounts in millions)</w:t>
      </w:r>
    </w:p>
    <w:p>
      <w:pPr>
        <w:spacing w:after="0" w:line="229" w:lineRule="exact"/>
        <w:rPr>
          <w:sz w:val="20"/>
          <w:szCs w:val="20"/>
          <w:color w:val="auto"/>
        </w:rPr>
      </w:pPr>
    </w:p>
    <w:p>
      <w:pPr>
        <w:ind w:right="4240"/>
        <w:spacing w:after="0" w:line="414" w:lineRule="auto"/>
        <w:rPr>
          <w:sz w:val="20"/>
          <w:szCs w:val="20"/>
          <w:color w:val="auto"/>
        </w:rPr>
      </w:pPr>
      <w:r>
        <w:rPr>
          <w:rFonts w:ascii="Arial" w:cs="Arial" w:eastAsia="Arial" w:hAnsi="Arial"/>
          <w:sz w:val="18"/>
          <w:szCs w:val="18"/>
          <w:b w:val="1"/>
          <w:bCs w:val="1"/>
          <w:i w:val="1"/>
          <w:iCs w:val="1"/>
          <w:color w:val="auto"/>
        </w:rPr>
        <w:t xml:space="preserve">Three months ended September 30, 2016 compared with three months ended September 30, 2015 </w:t>
      </w:r>
      <w:r>
        <w:rPr>
          <w:rFonts w:ascii="Arial" w:cs="Arial" w:eastAsia="Arial" w:hAnsi="Arial"/>
          <w:sz w:val="18"/>
          <w:szCs w:val="18"/>
          <w:b w:val="1"/>
          <w:bCs w:val="1"/>
          <w:u w:val="single" w:color="auto"/>
          <w:color w:val="auto"/>
        </w:rPr>
        <w:t>Net Revenue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3620" w:type="dxa"/>
            <w:vAlign w:val="bottom"/>
            <w:gridSpan w:val="6"/>
          </w:tcPr>
          <w:p>
            <w:pPr>
              <w:ind w:left="48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0"/>
                <w:szCs w:val="20"/>
                <w:color w:val="auto"/>
              </w:rPr>
            </w:pPr>
          </w:p>
        </w:tc>
      </w:tr>
      <w:tr>
        <w:trPr>
          <w:trHeight w:val="34"/>
        </w:trPr>
        <w:tc>
          <w:tcPr>
            <w:tcW w:w="6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LCD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1,671.8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CDD</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Intercompany eliminations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2,372.7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2,269.9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increase in net revenue for the three months ended September 30, 2016 as compared with the corresponding period in 2015 was due to organic revenue growth and tuck-in acquisitions, partially offset by currency.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right="20" w:firstLine="270"/>
        <w:spacing w:after="0" w:line="286" w:lineRule="auto"/>
        <w:rPr>
          <w:sz w:val="20"/>
          <w:szCs w:val="20"/>
          <w:color w:val="auto"/>
        </w:rPr>
      </w:pPr>
      <w:r>
        <w:rPr>
          <w:rFonts w:ascii="Arial" w:cs="Arial" w:eastAsia="Arial" w:hAnsi="Arial"/>
          <w:sz w:val="17"/>
          <w:szCs w:val="17"/>
          <w:color w:val="auto"/>
        </w:rPr>
        <w:t>LCD net revenue for the third quarter was $1,671.8, an increase of 4.4% over revenue of $1,600.9 in the third quarter of 2015. The increase in net revenue was driven by price and mix, which accounted for 2.8% of the growth. In addition, tuck-in acquisitions added 2.0% to net revenue. The increase in net revenue was unfavorably impacted by 0.1% of currency and a decline in organic volume, measured by requisitions, of 0.3%.</w:t>
      </w:r>
    </w:p>
    <w:p>
      <w:pPr>
        <w:spacing w:after="0" w:line="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net revenue for the third quarter was $701.1, an increase of 4.8% over revenue of $669.0 in the third quarter of 2015. The increase in revenue is primarily due to broad-based demand, partially offset by the impact of the expiration on October 31, 2015 of a minimum volume service contract and a negative currency impact of 150 basis points.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Net Cost of Revenues</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15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1,584.3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Cost of revenues as a % of net revenue</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Net cost of revenues increased 5.3% during the three months ended September 30, 2016 as compared with the corresponding period in 2015. Net cost of revenues as a percentage of net revenues increased slightly to 66.8% in 2016 from 66.3% in 2015. The increase in net cost of revenues is primarily due to higher personnel costs as a percentage of revenue within the CDD segment offset by net favorable currency fluctuations of 0.4% on a consolidated basis.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3740" w:type="dxa"/>
            <w:vAlign w:val="bottom"/>
            <w:gridSpan w:val="6"/>
          </w:tcPr>
          <w:p>
            <w:pPr>
              <w:ind w:left="520"/>
              <w:spacing w:after="0"/>
              <w:rPr>
                <w:sz w:val="20"/>
                <w:szCs w:val="20"/>
                <w:color w:val="auto"/>
              </w:rPr>
            </w:pPr>
            <w:r>
              <w:rPr>
                <w:rFonts w:ascii="Arial" w:cs="Arial" w:eastAsia="Arial" w:hAnsi="Arial"/>
                <w:sz w:val="18"/>
                <w:szCs w:val="18"/>
                <w:color w:val="auto"/>
              </w:rPr>
              <w:t>Three Months Ended September 30,</w:t>
            </w:r>
          </w:p>
        </w:tc>
        <w:tc>
          <w:tcPr>
            <w:tcW w:w="15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5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400.5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 as a % of net revenue</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Selling, general and administrative expenses as a percentage of net revenue decreased to 16.9% during the three months ended September 30, 2016 as compared to 17.0% during the corresponding period in 2015.</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September 30, 2016, the Company incurred legal and other costs of $1.3 relating to the wind down of its minimum volume service contract operations. The Company incurred $5.9 in fees and expenses associated with acquisitions completed during the quarter. The Company also recorded $1.4 in consulting expenses relating to fees incurred as part of its Acquisition integration costs and compensation analysis, along with $0.5 in short-term equity retention arrangements relating to the Acquisition and $3.4 of accelerated equity and other final compensation relating to executive transition. In addition, the Company incurred $3.7 of non-capitalized costs associated with the implementation of a major system as part of its LaunchPad business process improvement initiative. During the third quarter of 2015, the Company recorded $3.5 in consulting expenses primarily relating to Covance integration costs, along with $1.4 in short-term equity retention arrangements relating to the Acquisition. Excluding these charges, selling, general and administrative expenses as a percentage of net revenues were 16.4% and 16.8%, respectively during the three months ended September 30, 2016 and 2015.</w:t>
      </w:r>
    </w:p>
    <w:p>
      <w:pPr>
        <w:spacing w:after="0" w:line="7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decrease in selling, general and administrative expenses as a percentage of revenue was impacted by a net decrease of 0.4% due to currency fluctuations on a consolidated basis. In addition, bad debt expense for LCD was 4.1% of net revenue for that segment during the three months ended September 30, 2016 as compared to 4.2% during the corresponding period in 2015.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3080" w:type="dxa"/>
            <w:vAlign w:val="bottom"/>
            <w:gridSpan w:val="4"/>
          </w:tcPr>
          <w:p>
            <w:pPr>
              <w:jc w:val="right"/>
              <w:spacing w:after="0"/>
              <w:rPr>
                <w:sz w:val="20"/>
                <w:szCs w:val="20"/>
                <w:color w:val="auto"/>
              </w:rPr>
            </w:pPr>
            <w:r>
              <w:rPr>
                <w:rFonts w:ascii="Arial" w:cs="Arial" w:eastAsia="Arial" w:hAnsi="Arial"/>
                <w:sz w:val="18"/>
                <w:szCs w:val="18"/>
                <w:color w:val="auto"/>
              </w:rPr>
              <w:t>Three Months Ended September 30,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5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3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23.2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CDD</w:t>
            </w: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3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amortization of intangibles and other assets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44.9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3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decrease in amortization of intangibles and other assets primarily reflects the reversal of certain acquisition reserves and earnout adjustments offset by the impact of current year tuck-in acquisitions.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320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1600" w:type="dxa"/>
            <w:vAlign w:val="bottom"/>
          </w:tcPr>
          <w:p>
            <w:pPr>
              <w:spacing w:after="0"/>
              <w:rPr>
                <w:sz w:val="24"/>
                <w:szCs w:val="24"/>
                <w:color w:val="auto"/>
              </w:rPr>
            </w:pPr>
          </w:p>
        </w:tc>
      </w:tr>
      <w:tr>
        <w:trPr>
          <w:trHeight w:val="34"/>
        </w:trPr>
        <w:tc>
          <w:tcPr>
            <w:tcW w:w="32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32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320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the three months ended September 30, 2016, the Company recorded net restructuring and other special charges of $22.8; $7.1 within LCD and $15.7 within CDD. The charges were comprised of $14.1 related to severance and other personnel costs along with $9.1 in costs associated with facility closures. The Company reversed previously established reserves of $0.2 in unused facility-related costs and $0.2 in unused severance reserves primarily as the result of selling one of its minimum volume service contract facilities to a third party.</w:t>
      </w:r>
    </w:p>
    <w:p>
      <w:pPr>
        <w:spacing w:after="0" w:line="9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the three months ended September 30, 2015, the Company recorded net restructuring and other special charges of $26.3, $4.9 within LCD and $21.4 within CDD. The charges were comprised of $24.3 related to severance and other personnel costs along with $2.3 in costs associated with facility closures and general integration initiatives. These charges were offset by the reversal of previously established reserves of $0.3 in unused facility-related costs.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28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128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increase in interest expense for the three months ended September 30, 2016 as compared with the corresponding period in 2015 is primarily due to $5.6 of interest expense relating to the early retirement of subsidiary indebtedness offset by the repayment of the 3.125% senior notes in May 2016 and the reduction of the term loan balance.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 net</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99"/>
        </w:trPr>
        <w:tc>
          <w:tcPr>
            <w:tcW w:w="212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5"/>
          </w:tcPr>
          <w:p>
            <w:pPr>
              <w:ind w:left="18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34"/>
        </w:trPr>
        <w:tc>
          <w:tcPr>
            <w:tcW w:w="2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21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2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21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All of these partnerships and investments reside within LCD. The increase in income in 2016 was primarily due to the increased profitability in one of the joint ventures.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jc w:val="center"/>
              <w:ind w:right="5460"/>
              <w:spacing w:after="0"/>
              <w:rPr>
                <w:sz w:val="20"/>
                <w:szCs w:val="20"/>
                <w:color w:val="auto"/>
              </w:rPr>
            </w:pPr>
            <w:r>
              <w:rPr>
                <w:rFonts w:ascii="Arial" w:cs="Arial" w:eastAsia="Arial" w:hAnsi="Arial"/>
                <w:sz w:val="18"/>
                <w:szCs w:val="18"/>
                <w:b w:val="1"/>
                <w:bCs w:val="1"/>
                <w:color w:val="auto"/>
                <w:w w:val="91"/>
              </w:rPr>
              <w:t>Other, net</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5"/>
          </w:tcPr>
          <w:p>
            <w:pPr>
              <w:ind w:left="18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7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jc w:val="center"/>
              <w:ind w:right="5460"/>
              <w:spacing w:after="0"/>
              <w:rPr>
                <w:sz w:val="20"/>
                <w:szCs w:val="20"/>
                <w:color w:val="auto"/>
              </w:rPr>
            </w:pPr>
            <w:r>
              <w:rPr>
                <w:rFonts w:ascii="Arial" w:cs="Arial" w:eastAsia="Arial" w:hAnsi="Arial"/>
                <w:sz w:val="18"/>
                <w:szCs w:val="18"/>
                <w:color w:val="auto"/>
                <w:w w:val="87"/>
              </w:rPr>
              <w:t>Other,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78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other, net for the three months ended September 30, 2016, is primarily due to a non-cash loss of $2.3 from the impairment of one of the Company's investments in its venture fund.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3720" w:type="dxa"/>
            <w:vAlign w:val="bottom"/>
            <w:gridSpan w:val="6"/>
          </w:tcPr>
          <w:p>
            <w:pPr>
              <w:ind w:left="520"/>
              <w:spacing w:after="0"/>
              <w:rPr>
                <w:sz w:val="20"/>
                <w:szCs w:val="20"/>
                <w:color w:val="auto"/>
              </w:rPr>
            </w:pPr>
            <w:r>
              <w:rPr>
                <w:rFonts w:ascii="Arial" w:cs="Arial" w:eastAsia="Arial" w:hAnsi="Arial"/>
                <w:sz w:val="18"/>
                <w:szCs w:val="18"/>
                <w:color w:val="auto"/>
              </w:rPr>
              <w:t>Three Months Ended September 30,</w:t>
            </w:r>
          </w:p>
        </w:tc>
        <w:tc>
          <w:tcPr>
            <w:tcW w:w="160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160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earnings before income taxes</w:t>
            </w:r>
          </w:p>
        </w:tc>
        <w:tc>
          <w:tcPr>
            <w:tcW w:w="11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31.7%</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38.4%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Company's tax rate for the three months ended September 30, 2016 decreased over the rate for the three months ended September 30, 2015 due to the early adoption of share-based payment accounting, uncertain tax position reserves reversed as a result of a lapse in the statute of limitations, and foreign pre-tax profits taxed at lower rates increasing as a percentage of total income. The favorable decreases were partially offset by non-deductible transaction costs and an increase in the valuation allowance for an impairment loss on an investment.</w:t>
      </w:r>
    </w:p>
    <w:p>
      <w:pPr>
        <w:spacing w:after="0" w:line="187" w:lineRule="exact"/>
        <w:rPr>
          <w:sz w:val="20"/>
          <w:szCs w:val="20"/>
          <w:color w:val="auto"/>
        </w:rPr>
      </w:pPr>
    </w:p>
    <w:p>
      <w:pPr>
        <w:ind w:right="4380"/>
        <w:spacing w:after="0" w:line="414" w:lineRule="auto"/>
        <w:rPr>
          <w:sz w:val="20"/>
          <w:szCs w:val="20"/>
          <w:color w:val="auto"/>
        </w:rPr>
      </w:pPr>
      <w:r>
        <w:rPr>
          <w:rFonts w:ascii="Arial" w:cs="Arial" w:eastAsia="Arial" w:hAnsi="Arial"/>
          <w:sz w:val="18"/>
          <w:szCs w:val="18"/>
          <w:b w:val="1"/>
          <w:bCs w:val="1"/>
          <w:i w:val="1"/>
          <w:iCs w:val="1"/>
          <w:color w:val="auto"/>
        </w:rPr>
        <w:t xml:space="preserve">Nine months ended September 30, 2016 compared with nine months ended September 30, 2015 </w:t>
      </w:r>
      <w:r>
        <w:rPr>
          <w:rFonts w:ascii="Arial" w:cs="Arial" w:eastAsia="Arial" w:hAnsi="Arial"/>
          <w:sz w:val="18"/>
          <w:szCs w:val="18"/>
          <w:b w:val="1"/>
          <w:bCs w:val="1"/>
          <w:u w:val="single" w:color="auto"/>
          <w:color w:val="auto"/>
        </w:rPr>
        <w:t>Net Revenue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3620" w:type="dxa"/>
            <w:vAlign w:val="bottom"/>
            <w:gridSpan w:val="6"/>
          </w:tcPr>
          <w:p>
            <w:pPr>
              <w:ind w:left="540"/>
              <w:spacing w:after="0"/>
              <w:rPr>
                <w:sz w:val="20"/>
                <w:szCs w:val="20"/>
                <w:color w:val="auto"/>
              </w:rPr>
            </w:pPr>
            <w:r>
              <w:rPr>
                <w:rFonts w:ascii="Arial" w:cs="Arial" w:eastAsia="Arial" w:hAnsi="Arial"/>
                <w:sz w:val="18"/>
                <w:szCs w:val="18"/>
                <w:color w:val="auto"/>
              </w:rPr>
              <w:t>Nine Months Ended September 30,</w:t>
            </w:r>
          </w:p>
        </w:tc>
        <w:tc>
          <w:tcPr>
            <w:tcW w:w="1560" w:type="dxa"/>
            <w:vAlign w:val="bottom"/>
          </w:tcPr>
          <w:p>
            <w:pPr>
              <w:spacing w:after="0"/>
              <w:rPr>
                <w:sz w:val="20"/>
                <w:szCs w:val="20"/>
                <w:color w:val="auto"/>
              </w:rPr>
            </w:pPr>
          </w:p>
        </w:tc>
      </w:tr>
      <w:tr>
        <w:trPr>
          <w:trHeight w:val="34"/>
        </w:trPr>
        <w:tc>
          <w:tcPr>
            <w:tcW w:w="6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LCD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4,922.1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4,647.9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CDD</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2,128.3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Intercompany eliminations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7,049.9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6,260.9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6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09"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109"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net revenue for the nine months ended September 30, 2016 as compared with the corresponding period in 2015 was due to the Acquisition along with organic volume growth, price and mix in LCD, partially offset by currency.</w:t>
      </w:r>
    </w:p>
    <w:p>
      <w:pPr>
        <w:spacing w:after="0" w:line="76"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LCD net revenue for the nine months ended September 30, 2016 was $4,922.1 an increase of 5.9% over revenue of $4,647.9 in the nine months ended September 30, 2015. The increase in net revenue was driven by growth in volume, measured by requisitions, of 1.4%. Price and mix accounted for an additional 2.5% of the growth. BeaconLBS, the Company's technology-enabled solution providing point-of-care decision support, contributed 0.4%. In addition, tuck-in acquisitions added 2.0% to net revenue. The increase in net revenue was unfavorably impacted by 0.3% of currency.</w:t>
      </w:r>
    </w:p>
    <w:p>
      <w:pPr>
        <w:spacing w:after="0" w:line="7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CDD net revenue for the nine months ended September 30, 2016 was $2,128.3, an increase of 31.9% over revenue of $1,613.0 for the nine months ended September 30, 2015. The increase in revenue is due to the inclusion of nine months of Covance revenue for the period ended September 30, 2016 in comparison to the period from the close of the Acquisition on February 19, 2015 through September 30, 2015, as well as broad-based demand. This increase was partially offset by the expiration on October 31, 2015 of a minimum volume service contract and an unfavorable currency impact of approximately 150 basis points.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Net Cost of Revenues</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gridSpan w:val="5"/>
          </w:tcPr>
          <w:p>
            <w:pPr>
              <w:ind w:left="240"/>
              <w:spacing w:after="0"/>
              <w:rPr>
                <w:sz w:val="20"/>
                <w:szCs w:val="20"/>
                <w:color w:val="auto"/>
              </w:rPr>
            </w:pPr>
            <w:r>
              <w:rPr>
                <w:rFonts w:ascii="Arial" w:cs="Arial" w:eastAsia="Arial" w:hAnsi="Arial"/>
                <w:sz w:val="18"/>
                <w:szCs w:val="18"/>
                <w:color w:val="auto"/>
              </w:rPr>
              <w:t>Nine Months Ended September 30,</w:t>
            </w:r>
          </w:p>
        </w:tc>
        <w:tc>
          <w:tcPr>
            <w:tcW w:w="15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4,657.4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4,098.2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Cost of revenues as a % of net revenue</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Net cost of revenues increased 13.6% during the nine months ended September 30, 2016 as compared with the corresponding period in 2015 primarily due to the inclusion of CDD operations, which carry higher personnel costs as a percentage of revenue, for the entire first nine months of the year along with overall growth in the Company's operations. The net cost of revenues was also impacted by a net decrease of 0.7% due to currency fluctuations on a consolidated basis.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gridSpan w:val="5"/>
          </w:tcPr>
          <w:p>
            <w:pPr>
              <w:ind w:left="240"/>
              <w:spacing w:after="0"/>
              <w:rPr>
                <w:sz w:val="20"/>
                <w:szCs w:val="20"/>
                <w:color w:val="auto"/>
              </w:rPr>
            </w:pPr>
            <w:r>
              <w:rPr>
                <w:rFonts w:ascii="Arial" w:cs="Arial" w:eastAsia="Arial" w:hAnsi="Arial"/>
                <w:sz w:val="18"/>
                <w:szCs w:val="18"/>
                <w:color w:val="auto"/>
              </w:rPr>
              <w:t>Nine Months Ended September 30,</w:t>
            </w:r>
          </w:p>
        </w:tc>
        <w:tc>
          <w:tcPr>
            <w:tcW w:w="15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5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1,224.2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1,221.9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 as a % of net revenue</w:t>
            </w: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Selling, general and administrative expenses as a percentage of net revenue decreased to 17.4% during the nine months ended September 30, 2016 as compared to 19.5% during the corresponding period in 2015.</w:t>
      </w:r>
    </w:p>
    <w:p>
      <w:pPr>
        <w:spacing w:after="0" w:line="7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nine months ended September 30, 2016, the Company incurred additional legal and other costs of $4.0 relating to the wind down of its minimum volume service contract operations and incurred $7.4 in acquisition fees and expenses. The Company also recorded $5.7 in consulting expenses relating to fees incurred as part of its Acquisition integration costs and compensation analysis, along with $2.4 in short-term equity retention arrangements relating to the Acquisition and $4.8 of accelerated equity compensation relating to executive transition (all recorded in selling, general and administrative expenses). In addition, the Company incurred $8.1 of non-capitalized costs associated with the implementation of a major system as part of LaunchPad.</w:t>
      </w:r>
    </w:p>
    <w:p>
      <w:pPr>
        <w:spacing w:after="0" w:line="6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nine months ended September 30, 2015, the Company recorded $15.1 of consulting expenses relating to fees incurred as part of LaunchPad as well as Covance integration costs. The Company also recorded $82.4 for Covance employee equity awards, change in control payments and short-term retention agreements that were accelerated or triggered by the Acquisition and advisor and legal fees of $33.9.</w:t>
      </w:r>
    </w:p>
    <w:p>
      <w:pPr>
        <w:spacing w:after="0" w:line="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Excluding these charges, selling, general and administrative expenses as a percentage of net revenues were 16.9% and 17.4% during the nine months ended September 30, 2016 and 2015, respectively.</w:t>
      </w:r>
    </w:p>
    <w:p>
      <w:pPr>
        <w:spacing w:after="0" w:line="76"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decrease in selling, general and administrative expenses as a percentage of net revenue, excluding these charges, is primarily due to the Acquisition, which carries lower personnel costs in selling, general and administrative expenses as a percentage of revenue, and the impact of LaunchPad. The decrease in selling, general and administrative expenses as a percentage of revenue was also impacted by net favorable currency fluctuations of 0.5% on a consolidated basis. These decrease in selling, general and administrative expenses as a percentage of net revenue was slightly offset by bad debt expense for LCD which was 4.4% of net revenue for that segment during the nine months ended September 30, 2016 as compared to 4.3% during the corresponding period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55"/>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3500" w:type="dxa"/>
            <w:vAlign w:val="bottom"/>
            <w:gridSpan w:val="5"/>
          </w:tcPr>
          <w:p>
            <w:pPr>
              <w:jc w:val="right"/>
              <w:ind w:right="350"/>
              <w:spacing w:after="0"/>
              <w:rPr>
                <w:sz w:val="20"/>
                <w:szCs w:val="20"/>
                <w:color w:val="auto"/>
              </w:rPr>
            </w:pPr>
            <w:r>
              <w:rPr>
                <w:rFonts w:ascii="Arial" w:cs="Arial" w:eastAsia="Arial" w:hAnsi="Arial"/>
                <w:sz w:val="18"/>
                <w:szCs w:val="18"/>
                <w:color w:val="auto"/>
              </w:rPr>
              <w:t>Nine Months Ended September 30,</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
        </w:trPr>
        <w:tc>
          <w:tcPr>
            <w:tcW w:w="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5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62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200" w:type="dxa"/>
            <w:vAlign w:val="bottom"/>
            <w:gridSpan w:val="3"/>
          </w:tcPr>
          <w:p>
            <w:pPr>
              <w:ind w:left="180"/>
              <w:spacing w:after="0"/>
              <w:rPr>
                <w:sz w:val="20"/>
                <w:szCs w:val="20"/>
                <w:color w:val="auto"/>
              </w:rPr>
            </w:pPr>
            <w:r>
              <w:rPr>
                <w:rFonts w:ascii="Arial" w:cs="Arial" w:eastAsia="Arial" w:hAnsi="Arial"/>
                <w:sz w:val="18"/>
                <w:szCs w:val="18"/>
                <w:color w:val="auto"/>
              </w:rPr>
              <w:t>CDD</w:t>
            </w:r>
          </w:p>
        </w:tc>
        <w:tc>
          <w:tcPr>
            <w:tcW w:w="11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20.4 %</w:t>
            </w:r>
          </w:p>
        </w:tc>
      </w:tr>
      <w:tr>
        <w:trPr>
          <w:trHeight w:val="27"/>
        </w:trPr>
        <w:tc>
          <w:tcPr>
            <w:tcW w:w="5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62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amortization of intangibles and other assets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0"/>
        </w:trPr>
        <w:tc>
          <w:tcPr>
            <w:tcW w:w="5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amortization of intangibles and other assets primarily reflects the impact of the Acquisition and tuck-in acquisitions offset by the impact of working capital and earnout adjustments. The decrease in amortization for CDD is due to currency fluctuations.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320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1600" w:type="dxa"/>
            <w:vAlign w:val="bottom"/>
          </w:tcPr>
          <w:p>
            <w:pPr>
              <w:spacing w:after="0"/>
              <w:rPr>
                <w:sz w:val="24"/>
                <w:szCs w:val="24"/>
                <w:color w:val="auto"/>
              </w:rPr>
            </w:pPr>
          </w:p>
        </w:tc>
      </w:tr>
      <w:tr>
        <w:trPr>
          <w:trHeight w:val="34"/>
        </w:trPr>
        <w:tc>
          <w:tcPr>
            <w:tcW w:w="32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32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320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During the first nine months of 2016, the Company recorded net restructuring and other special charges of $48.6; $9.7 within LCD and $38.9 within CDD. The charges were comprised of $23.1 related to severance and other personnel costs along with $30.7 in costs associated with facility closures. A substantial portion of these costs relate to the planned closure of duplicative data center operations and other facilities. The Company reversed previously established reserves of $2.8 in unused facility-related costs and $2.4 in unused severance reserves primarily as the result of selling one of its minimum volume service contract facilities to a third party. In conjunction with certain international legal entity tax structuring, the Company also recorded a one-time tax liability of $1.1.</w:t>
      </w:r>
    </w:p>
    <w:p>
      <w:pPr>
        <w:spacing w:after="0" w:line="22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During the first nine months of 2015, the Company recorded net restructuring and other special charges of $59.9. The charges were comprised of $33.8 related to severance and other personnel costs along with $27.1 in costs associated with facility closures and impairment of certain information technology assets. These charges were offset by the reversal of previously established reserves of $1.0 in unused facility-related costs.</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addition, during the nine months ended September 30, 2015, the Company recorded $17.0 in consulting expenses (recorded in selling, general and administrative expenses) relating to fees incurred as part of LaunchPad. The Company also recorded $166.0 of deal costs related to the Acquisition, of which $113.4 is included in selling, general and administrative expenses and $52.6 is included in interest expense.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160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128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128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decrease in interest expense for the nine months ended September 30, 2016 as compared with the corresponding period in 2015 is primarily due to the reduction of the term loan balance, the timing of Acquisition-related debt, Acquisition-related expenses including a $37.4 make-whole payment that was required in connection with the prepayment of the $250.0 Covance senior notes and $15.2 of deferred financing costs associated with the Company's previous credit agreement and the bridge financing facilities used to complete the Acquisition. In addition, the Company repaid the 3.125% senior notes in May 2016. These decreases were offset by $5.6 of interest expense relating to the early retirement of subsidiary indebtedness.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 net</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212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1600" w:type="dxa"/>
            <w:vAlign w:val="bottom"/>
          </w:tcPr>
          <w:p>
            <w:pPr>
              <w:spacing w:after="0"/>
              <w:rPr>
                <w:sz w:val="24"/>
                <w:szCs w:val="24"/>
                <w:color w:val="auto"/>
              </w:rPr>
            </w:pPr>
          </w:p>
        </w:tc>
      </w:tr>
      <w:tr>
        <w:trPr>
          <w:trHeight w:val="34"/>
        </w:trPr>
        <w:tc>
          <w:tcPr>
            <w:tcW w:w="2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1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21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2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All of these partnerships reside within LCD. The decrease in income in 2016 was primarily due to liquidation of the Company's interest in one of the partnerships effective June 30, 2015.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jc w:val="center"/>
              <w:ind w:right="5420"/>
              <w:spacing w:after="0"/>
              <w:rPr>
                <w:sz w:val="20"/>
                <w:szCs w:val="20"/>
                <w:color w:val="auto"/>
              </w:rPr>
            </w:pPr>
            <w:r>
              <w:rPr>
                <w:rFonts w:ascii="Arial" w:cs="Arial" w:eastAsia="Arial" w:hAnsi="Arial"/>
                <w:sz w:val="18"/>
                <w:szCs w:val="18"/>
                <w:b w:val="1"/>
                <w:bCs w:val="1"/>
                <w:color w:val="auto"/>
                <w:w w:val="91"/>
              </w:rPr>
              <w:t>Other, net</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160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7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jc w:val="center"/>
              <w:ind w:right="5420"/>
              <w:spacing w:after="0"/>
              <w:rPr>
                <w:sz w:val="20"/>
                <w:szCs w:val="20"/>
                <w:color w:val="auto"/>
              </w:rPr>
            </w:pPr>
            <w:r>
              <w:rPr>
                <w:rFonts w:ascii="Arial" w:cs="Arial" w:eastAsia="Arial" w:hAnsi="Arial"/>
                <w:sz w:val="18"/>
                <w:szCs w:val="18"/>
                <w:color w:val="auto"/>
                <w:w w:val="87"/>
              </w:rPr>
              <w:t>Other,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7"/>
        </w:trPr>
        <w:tc>
          <w:tcPr>
            <w:tcW w:w="78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08"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decrease in other, net for the nine months ended September 30, 2016, is primarily due to a net gain on the sale of investment securities from the Company's venture fund offset by net realized foreign currency translation losses and a non-cash loss upon the dissolution of one of the Company's equity investments in 2015.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Arial" w:cs="Arial" w:eastAsia="Arial" w:hAnsi="Arial"/>
                <w:sz w:val="18"/>
                <w:szCs w:val="18"/>
                <w:color w:val="auto"/>
              </w:rPr>
              <w:t>Nine Months Ended September 30,</w:t>
            </w:r>
          </w:p>
        </w:tc>
        <w:tc>
          <w:tcPr>
            <w:tcW w:w="154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earnings before tax</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Company's tax rate for the nine months ended September 30, 2015 was negatively impacted by non-deductible transaction costs of approximately $19.6 associated with the Acquisition and one-time tax charges of $12.8 to realign the Company's legal entity structure to facilitate the Acquisition. In 2016 and 2015, the rate was favorably impacted by foreign earnings taxed at lower rates than the U.S. statutory tax rate for 2016. The nine months ended September 30, 2016 also benefited from the early adoption of share-based payment accounting and the reversal of uncertain tax position reserves. The Company considers substantially all of its foreign earnings to be permanently reinvested overseas.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(dollars and shares in millions)</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Unaudited Condensed Consolidated Financial Statements.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nine months of 2016 and 2015, respectively, the Company's cash flows were as follows: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3620" w:type="dxa"/>
            <w:vAlign w:val="bottom"/>
            <w:gridSpan w:val="6"/>
          </w:tcPr>
          <w:p>
            <w:pPr>
              <w:ind w:left="500"/>
              <w:spacing w:after="0"/>
              <w:rPr>
                <w:sz w:val="20"/>
                <w:szCs w:val="20"/>
                <w:color w:val="auto"/>
              </w:rPr>
            </w:pPr>
            <w:r>
              <w:rPr>
                <w:rFonts w:ascii="Arial" w:cs="Arial" w:eastAsia="Arial" w:hAnsi="Arial"/>
                <w:sz w:val="18"/>
                <w:szCs w:val="18"/>
                <w:color w:val="auto"/>
              </w:rPr>
              <w:t>Nine Months Ended September 30,</w:t>
            </w:r>
          </w:p>
        </w:tc>
      </w:tr>
      <w:tr>
        <w:trPr>
          <w:trHeight w:val="34"/>
        </w:trPr>
        <w:tc>
          <w:tcPr>
            <w:tcW w:w="7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2"/>
        </w:trPr>
        <w:tc>
          <w:tcPr>
            <w:tcW w:w="77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7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727.0</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597.8</w:t>
            </w:r>
          </w:p>
        </w:tc>
        <w:tc>
          <w:tcPr>
            <w:tcW w:w="100" w:type="dxa"/>
            <w:vAlign w:val="bottom"/>
            <w:tcBorders>
              <w:top w:val="single" w:sz="8" w:color="CCEEFF"/>
            </w:tcBorders>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(576.1)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for) provided by financing activities</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(301.7)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3,424.2</w:t>
            </w:r>
          </w:p>
        </w:tc>
        <w:tc>
          <w:tcPr>
            <w:tcW w:w="1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77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2"/>
                <w:szCs w:val="22"/>
                <w:color w:val="auto"/>
              </w:rPr>
            </w:pPr>
          </w:p>
        </w:tc>
      </w:tr>
      <w:tr>
        <w:trPr>
          <w:trHeight w:val="20"/>
        </w:trPr>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Cash and cash equivalents at September 30, 2016 and 2015 totaled $567.6 and $713.0 respectively. Cash and cash equivalents consist of highly liquid instruments, such as commercial paper, time deposits, and other money market investments, substantially all of which have maturities when purchased of three months or less.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During the nine months ended September 30, 2016 and 2015, the Company's operations provided $727.0 of cash as compared to $597.8 in 2015. The $129.2 increase in cash provided from operations in 2016 as compared with the corresponding 2015 period was primarily due to higher net earnings in 2016. The Company’s 2015 earnings were impacted by $232.0 of restructuring and special items, $153.5 of which represented cash payments in connection with the Acquisition. Excluding these special charges, the net decrease in cash from operations was due to an increase in the use of working capital to support growth.</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Net cash used in investing activities for the nine months ended September 30, 2016 was $576.1 as compared to $3,866.3 for the nine months ended September 30, 2015. The $3,290.2 decrease in cash used in investing activities was primarily due to cash paid for the Acquisition in the first quarter of 2015. In addition, the Company had proceeds of $23.9 from the sale of assets during the nine months ended September 30, 2016 in comparison to $0.5 for the same period during 2015. Capital expenditures were $204.6 and $170.7 for the nine months ended September 30, 2016 and 2015, respectively. The Company expects capital expenditures in 2016 to be approximately 3.0% of net revenues primarily in connection with projects to support growth in the Company's core businesses, projects related to LaunchPad and further Covance integration initiatives. The Company intends to continue to pursue acquisitions to fund growth and make important investments in its business, including in information technology, to improve efficiency and enable the execution of the Company's strategic vision. Such expenditures are expected to be funded by cash flow from operations, as well as borrowings under the Company's revolving credit facility or any successor facility, as needed.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Net cash used for financing activities for the nine months ended September 30, 2016 was $301.7 compared to $3,424.2 provided by financing activities for the nine months ended September 30, 2015. This movement in cash within financing activities for the nine months ended September 30, 2016, as compared to 2015, was primarily a result of $3,615.0 of net financing proceeds in 2015 compared to $356.5 in debt repayments in 2016.</w:t>
      </w:r>
    </w:p>
    <w:p>
      <w:pPr>
        <w:spacing w:after="0" w:line="1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On December 19, 2014, the Company entered into a five-year term loan credit facility in the principal amount of $1,000.0 for the purpose of financing a portion of the cash consideration and the fees and expenses in connection with the Acquisition.</w:t>
      </w:r>
    </w:p>
    <w:p>
      <w:pPr>
        <w:spacing w:after="0" w:line="6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term loan credit facility was advanced in full on February 19, 2015, the date of the Company’s completion of the Acquisition. The term loan credit facility will mature five years after the Acquisition Date and may be prepaid without penalty. The term loan balance at September 30, 2016 was $715.0.</w:t>
      </w:r>
    </w:p>
    <w:p>
      <w:pPr>
        <w:spacing w:after="0" w:line="3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revolving credit facility also provides for a subfacility of up to $100.0 for swing line borrowings and a subfacility of up to $125.0 for issuances of letters of credit. The revolving credit facility is permitted to be used for general corporate purposes, including working capital, capital expenditures, funding of share repurchases and certain other payments, and acquisitions and other investments.</w:t>
      </w:r>
    </w:p>
    <w:p>
      <w:pPr>
        <w:spacing w:after="0" w:line="84"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8"/>
          <w:szCs w:val="18"/>
          <w:color w:val="auto"/>
        </w:rPr>
        <w:t>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Acquisition Notes). Net proceeds from the offering of the Acquisition Notes were $2,870.2 after deducting underwriting discounts and other expenses of the offering. Net proceeds were used to pay a portion of the cash consideration and the fees and expenses in connection with the Acquisition.</w:t>
      </w:r>
    </w:p>
    <w:p>
      <w:pPr>
        <w:spacing w:after="0" w:line="8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transactions contemplated by the Merger Agreement. The 60-day cash bridge term loan credit facility was advanced in full on February 19, 2015, the date of the Company’s completion of the Acquisition. The 60-day cash bridge term loan credit facility was repaid in March 2015.</w:t>
      </w:r>
    </w:p>
    <w:p>
      <w:pPr>
        <w:spacing w:after="0" w:line="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Under the term loan credit facility and the revolving credit facility, the Company is subject to negative covenants limiting subsidiary indebtedness and certain other covenants typical for investment grade-rated borrowers and the Company is required to maintain a leverage ratio that varies. From and after the Acquisition closing date, the leverage ratio must not have been greater than 4.75 to 1.00 with respect to the last day of each of the first four fiscal quarters ending on or after the closing date, must be no greater than 4.25 to 1.00 with respect to the last day of each of the fifth through eighth fiscal quarters ending after the closing date, and must be no greater than 3.75 to 1.00 with respect to the last day of each fiscal quarter ending thereafter. The Company was in compliance with all covenants in the Credit Agreement at September 30, 2016. As of September 30, 2016, the ratio of total debt to consolidated trailing 12-month EBITDA was 3.3 to 1.0.</w:t>
      </w:r>
    </w:p>
    <w:p>
      <w:pPr>
        <w:spacing w:after="0" w:line="9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revolving credit facility at a per annum rate equal to the applicable margin for LIBOR loans, and the Company is required to pay a facility fee on the aggregate commitments under the revolving credit facility, at a per annum rate ranging from 0.125% to 0.40%. The interest margin applicable to the credit facilities, and the facility fee and letter of credit fees payable under the revolving credit facility, are based on the Company’s senior credit ratings as determined by Standard &amp; Poor’s and Moody’s, which are currently BBB and Baa2, respectively.</w:t>
      </w:r>
    </w:p>
    <w:p>
      <w:pPr>
        <w:spacing w:after="0" w:line="8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was no outstanding balance on the Company's revolving credit facility at September 30, 2016 or December 31, 2015. As of September 30, 2016, the Company provided letters of credit aggregating $54.7, primarily in connection with certain insurance programs. Letters of credit provided by the Company are issued under the Company's revolving credit facility and are renewed annually, around mid-year.</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As of September 30, 2016, the effective interest rate on the revolving credit facility was 1.63% and the effective interest rate on the term loan was 1.77%.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a result of the Acquisition, the Company assumed privately placed senior notes in an aggregate principal amount of $250.0 issued pursuant to a Note Purchase Agreement dated October 2, 2013. On March 5, 2015, the Company caused Covance to prepay all of the outstanding Senior Notes at 100 percent of the principal amount plus accrued interest, and a total make-whole amount of $37.4 which is included in interest expense. The Note Purchase Agreement terminated effective March 5, 2015 in connection with the prepayment of the Senior Notes.</w:t>
      </w:r>
    </w:p>
    <w:p>
      <w:pPr>
        <w:spacing w:after="0" w:line="7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30, 2016, the Company announced the successful completion of the consent solicitations for the 5.00% convertible senior notes due 2017 and 2018, acquired as part of the recent acquisition of Sequenom, Inc. On October 20, 2016, the Company retired $130.0 of these outstanding notes, including $5.6 relating to the early retirement of the subsidiary indebtedness.</w:t>
      </w:r>
    </w:p>
    <w:p>
      <w:pPr>
        <w:spacing w:after="0" w:line="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September 30, 2016, the Company had outstanding authorization from the Board of Directors to purchase up to $789.5 of Company common stock based on settled trades as of that date. Following the announcement of the Acquisition in the fourth quarter of 2014, the Company suspended its share repurchases. The Company does not anticipate resuming its share repurchase activity until it approaches its targeted leverage ratio of total debt to trailing 12-month EBITDA of 2.5 to 1.0. However, the Company will continue to evaluate all opportunities for strategic deployment of capital in light of market conditions.</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had a $27.9 and $36.9 reserve for unrecognized income tax benefits, including interest and penalties as of September 30, 2016 and December 31, 2015, respectively. Substantially all of these tax reserves are classified in other long-term liabilities in the Company's Condensed Consolidated Balance Sheets at September 30, 2016 and December 31, 2015.</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Zero-coupon Subordinated Notes and Senior Notes</w:t>
      </w:r>
    </w:p>
    <w:p>
      <w:pPr>
        <w:spacing w:after="0" w:line="23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September 12, 2016, the Company announced that for the period from September 12, 2016 to March 10, 2017, the zero-coupon subordinated notes will accrue contingent cash interest at a rate of no less than 0.125% of the average market price of a zero-coupon subordinated note for the five trading days ended September 9, 2016, in addition to the continued accrual of the original issue discount.</w:t>
      </w:r>
    </w:p>
    <w:p>
      <w:pPr>
        <w:spacing w:after="0" w:line="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During the nine months ended September 30, 2016, the Company settled notices to convert $34.9 aggregate principal amount at maturity of its zero-coupon subordinated notes with a conversion value of $62.9. The total cash used for these settlements was $31.5 and the Company also issued $0.2 in additional shares of common stock. As a result of these conversions, the Company also reversed deferred tax liabilities of $6.6.</w:t>
      </w:r>
    </w:p>
    <w:p>
      <w:pPr>
        <w:spacing w:after="0" w:line="7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October 3, 2016,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October 1, 2016 through the close of business on the last business day of the calendar quarter, which is 5:00 p.m., New York City time, on Friday, December 30, 2016. If notices of conversion are received, the Company plans to settle the cash portion of the conversion obligation with cash on hand and/or borrowings under the revolving credit facility.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Credit Ratings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debt ratings of Baa2 from Moody’s and BBB from Standard and Poor’s contribute to its ability to access capital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swap agreements. Although, as set forth below, the Company’s zero-coupon subordinated notes contain features that are considered to be embedded derivative instruments, the Company does not hold or issue derivative financial instruments for trading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Approximately 10.2% and 10.3% of the Company's net revenues for the three and nine months ended September 30, 2016 and approximately 11.8% and 11.4% of those for the three and nine months ended September 30, 2015 were denominated in currencies other than the U.S. Dollar. The Company's financial statements are reported in U.S. Dollars and, accordingly, fluctuations in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exchange rates will affect the translation of revenues and expenses denominated in foreign currencies into U.S. Dollars for purposes of reporting the Company's consolidated financial results. In the first nine months of 2016 and the year ended December 31, 2015,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 Dollars would have impacted income before income taxes for the three and nine months ended September 30, 2016 by approximately $1.0 and $5.0, respectively. Gross accumulated currency translation adjustments recorded as a separate component of shareholders’ equity were $11.7 and ($344.7) at September 30, 2016 and 2015, respectively. The Company does not have significant operations in countries in which the economy is considered to be highly-inflationary.</w:t>
      </w:r>
    </w:p>
    <w:p>
      <w:pPr>
        <w:spacing w:after="0" w:line="19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September 30, 2016, the Company had four open foreign exchange forward contracts relating to primarily service contracts with various amounts maturing monthly through October 2016 with a notional value totaling approximately $126.9. At December 31, 2015, the Company had four open foreign exchange forward contracts relating to service contracts with various amounts maturing monthly through January 2016 with a notional value totaling approximately $93.1.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Some of the Company's debt is subject to interest at variable rates. As a result, fluctuations in interest rates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73"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Borrowings under the Company's term loan credit facility and revolving credit facility are subject to variable interest rates, unless fixed through interest rate swaps or other agreements. As of September 30, 2016, the Company had $715.0 of unhedged variable rate debt from the term loan credit facility. As of September 30, 2016 and December 31, 2015 the Company had no outstanding balance on its revolving credit facility and $715.0 on its term loan facility.</w:t>
      </w:r>
    </w:p>
    <w:p>
      <w:pPr>
        <w:spacing w:after="0" w:line="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w:t>
      </w:r>
    </w:p>
    <w:p>
      <w:pPr>
        <w:spacing w:after="0" w:line="8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62" w:lineRule="exact"/>
        <w:rPr>
          <w:sz w:val="20"/>
          <w:szCs w:val="20"/>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S&amp;P’s Ratings Services is BB- or lower.</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Each quarter-point increase or decrease in the variable rate would result in the Company's interest expense changing by approximately $1.8 per year for the Company's unhedged variable rate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the end of the period covered by this Quarterly Report on Form 10-Q,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Rules13a-15(e) and 15d-15(e) under the Securities Exchange Act of 1934, as amended). Based upon this evaluation, the Company’s principal executive officer and principal financial officer concluded that the Company’s disclosure controls and procedures were effective as of September 30, 2016.</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Rules13a-15(f) and 15d-15(f) under the Securities Exchange Act of 1934, as amended) that occurred during the quarter ended September 30, 2016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40" w:firstLine="243"/>
        <w:spacing w:after="0" w:line="277" w:lineRule="auto"/>
        <w:rPr>
          <w:sz w:val="20"/>
          <w:szCs w:val="20"/>
          <w:color w:val="auto"/>
        </w:rPr>
      </w:pPr>
      <w:r>
        <w:rPr>
          <w:rFonts w:ascii="Arial" w:cs="Arial" w:eastAsia="Arial" w:hAnsi="Arial"/>
          <w:sz w:val="18"/>
          <w:szCs w:val="18"/>
          <w:color w:val="auto"/>
        </w:rPr>
        <w:t>See Note 9 (Commitments and Contingencies) to the Company’s unaudited condensed consolidated financial statements, above,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 factors set forth below revise and supplement the corresponding risk factors set forth in Part I - Item 1A of the Company’s Annual Report on Form 10-K for the year ended December 31, 2015, as amended. With the exception of the following, there have been no material changes in the risk factors that appear in Part I - Item 1A of the Company's Annual Report on Form 10-K for the year ended December 31, 2015, as amended.</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Healthcare reform and related products (e.g., Health Insurance Exchanges), changes in government payment and reimbursement systems, or changes in payer mix, including an increase in capitated reimbursement mechanisms and evolving delivery models, could have an adverse impact on the Company's net revenues, profitability and cash flow.</w:t>
      </w:r>
    </w:p>
    <w:p>
      <w:pPr>
        <w:spacing w:after="0" w:line="20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LCD's testing services are billed to private patients, Medicare, Medicaid, commercial clients, MCOs and other insurance companies. Tests ordered by a physician may be billed to different payers depending on the medical insurance benefits of a particular patient. Most testing services are billed to a party other than the physician or other authorized person who ordered the test. Increases in the percentage of services billed to government and MCOs could have an adverse impact on the Company’s net revenues.</w:t>
      </w:r>
    </w:p>
    <w:p>
      <w:pPr>
        <w:spacing w:after="0" w:line="21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various MCOs have different contracting philosophies, which are influenced by the design of the products they offer to their members. Some MCOs contract with a limited number of clinical laboratories and engage in direct negotiation of the rates reimbursed to participating laboratories. Other MCOs adopt broader networks with a largely uniform fee structure for participating clinical laboratories; in some cases, those fee structures are specific to independent clinical laboratories while the fees paid to hospital-based and physician-office laboratories may be different, and are typically higher. In addition, some MCOs have used capitation in an effort to fix the cost of laboratory testing services for their enrollees. Under a capitated reimbursement arrangement, the MCO makes a per member, per month payment for all covered laboratory tests rendered during the month for the members, regardless of the number or cost of the tests actually performed. Capitation shifts the risk of increased test utilization (and the underlying mix of testing services) to the clinical laboratory provider. The Company makes significant efforts to ensure that its services are adequately compensated in its capitated arrangements. For the year ended December 31, 2015, such capitated contracts accounted for approximately $219.9 million, or 2.6%, of the Company's net revenues.</w:t>
      </w:r>
    </w:p>
    <w:p>
      <w:pPr>
        <w:spacing w:after="0" w:line="1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ability to attract and retain MCOs is critical given the impact of healthcare reform, related products and expanded coverage (e.g., Health Insurance Exchanges and Medicaid Expansion) and evolving delivery models (e.g., ACOs).</w:t>
      </w:r>
    </w:p>
    <w:p>
      <w:pPr>
        <w:spacing w:after="0" w:line="19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 portion of the managed care fee-for-service revenues are collectible from patients in the form of deductibles, copayments and coinsurance. Collectibility may be impacted as patient cost-sharing increases.</w:t>
      </w:r>
    </w:p>
    <w:p>
      <w:pPr>
        <w:spacing w:after="0" w:line="19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Medicare and Medicaid and private insurers have increased their efforts to control the cost, utilization and delivery of healthcare services, including clinical laboratory services. Measures to regulate healthcare delivery in general, and clinical laboratories in particular, have resulted in reduced prices, added costs and decreased test utilization for the clinical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and is expected to continue to increase. Implementation of the ACA, the healthcare reform legislation passed in 2010, also may continue to affect coverage, reimbursement, and utilization of laboratory services, as well as administrative requirements.</w:t>
      </w:r>
    </w:p>
    <w:p>
      <w:pPr>
        <w:spacing w:after="0" w:line="21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Many commercial payers were delayed in becoming aware of the impact of their claim edits and policies, which impeded access to services that previously had been covered and reimbursed. These delays had a negative impact on 2014 revenue, revenue per requisition, margins and cash flows, which were largely sustained throughout 2015. Further, several payers continue to require additional information to process claims or have implemented prior authorization or other restrictive policies which are expected to have a continuing negative impact. Similarly, coding and billing changes related to toxicology and other Clinical Laboratory Fee Schedule (CLFS) procedures were</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implemented in 2015 and 2016. The Company experienced delays in the pricing and implementation of the new codes, however, it largely overcame issues related to price and margins through direct negotiation with the associated payers.</w:t>
      </w:r>
    </w:p>
    <w:p>
      <w:pPr>
        <w:spacing w:after="0" w:line="19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expects efforts to impose reduced reimbursement, more stringent payment policies and utilization and cost controls by government and other payers to continue. If LCD cannot offset additional reductions in the payments it receives for its services by reducing costs, increasing test volume and/or introducing new procedures, it could adversely impact the Company’s net revenues, profitability and cash flows.</w:t>
      </w:r>
    </w:p>
    <w:p>
      <w:pPr>
        <w:spacing w:after="0" w:line="1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2014, Congress passed the Protecting Access to Medicare Act of 2014 (PAMA), requiring Medicare to change the way payment rates are calculated for tests paid under the CLFS, and to base the payment on the weighted median of rates paid by private payers. On June 23, 2016, the Centers for Medicare and Medicaid Services (CMS) published a final rule implementing PAMA, which required establishment of a new Medicare reimbursement system for clinical lab tests paid under the CLFS, based on private payer rates, as reported to CMS. Although the new payment system was supposed to go into effect for tests furnished after January 1, 2017, the CMS rulemaking process was delayed, and the new rates will not be effective until January 1, 2018 pursuant to the final rule. Under the new system the Company must collect data on private payer rates and report the data to CMS every three years for most types of tests. The Company does not expect that the new reporting requirements will have a material impact on its business or results of operations. CMS will use the data reported by all applicable labs to calculate a weighted median of private payer rates for each test performed, and that weighted median will be the new Medicare rate. Rate reductions for existing tests under the new system will be phased in over six years. The full impact of the final rule will not be known until CMS releases rates for 2018. Medicare reimbursement under the CLFS represents less than 10% of the Company’s consolidated revenue.</w:t>
      </w:r>
    </w:p>
    <w:p>
      <w:pPr>
        <w:spacing w:after="0" w:line="19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an employer, healthcare reform legislation also contains numerous regulations that will require the Company to implement significant process and record keeping changes to be in compliance. These changes increase the cost of providing healthcare coverage to employees and their families. Given the limited release of regulations to guide compliance, the exact impact to employers including the Company is uncertain.</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implementation of healthcare reform legislation that adds costs could limit the profits that can be made from the development of new drugs. This could adversely affect R&amp;D expenditures by pharmaceutical and biotechnology companies, which could in turn decrease the business opportunities available to CDD both in the U.S. and other countries. New laws or regulations may create a risk of liability, increase CDD costs or limit service offerings through CDD.</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Global economic conditions and government and regulatory changes, including but not limited to the United Kingdom’s announced intention to exit from the European Union, could adversely impact the Company’s business and results of operations.</w:t>
      </w:r>
    </w:p>
    <w:p>
      <w:pPr>
        <w:spacing w:after="0" w:line="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could be adversely impacted due to the consequences of changes in the economy, government or regulations across the globe. In June 2016, a majority of voters in the United Kingdom elected to withdraw from the European Union (often referred to as Brexit) in a national referendum. Although the referendum was advisory, the current United Kingdom government has indicated its intention to abide by the referendum and to initiate withdrawal proceedings in the near future. The terms of any withdrawal are subject to a negotiation period that could last at least two years after the government of the United Kingdom formally initiates a withdrawal process. This will be either accompanied or followed by negotiations between the European Union and the United Kingdom concerning the future relations between the parties. This could introduce uncertainty with respect to the laws and regulations that will apply in the event of a withdrawal. However, until the Brexit negotiation process is initiated, it is difficult to anticipate how the clinical trial landscape in the United Kingdom might change in the next several years.</w:t>
      </w:r>
    </w:p>
    <w:p>
      <w:pPr>
        <w:spacing w:after="0" w:line="9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type of development or other government or regulatory change could depress economic activity, which could adversely impact the Company’s business, financial condition and results of operations. This could include long-term volatility in the currency markets and long-term detrimental effects on the value of affected currencies.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(Dollars in millions)</w:t>
      </w:r>
    </w:p>
    <w:p>
      <w:pPr>
        <w:spacing w:after="0" w:line="13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Board of Directors has authorized the repurchase of specified amounts of the Company's common stock since 2007. As of September 30, 2016, the Company had outstanding authorization from the Board of Directors to purchase up to $789.5 of Company common stock based on settled trades as of that date. The repurchase authorization has no expiration date. Following the announcement of the Acquisition, the Company suspended its share repurchases. The Company does not anticipate resuming its share repurchase activity until it approaches its targeted ratio of total debt to consolidated trailing 12-month EBITDA of 2.5 to 1.0. However, the Company will continue to evaluate all opportunities for strategic deployment of capital in light of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INDEX</w:t>
              </w:r>
            </w:hyperlink>
          </w:p>
        </w:tc>
        <w:tc>
          <w:tcPr>
            <w:tcW w:w="996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r>
      <w:tr>
        <w:trPr>
          <w:trHeight w:val="69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60" w:type="dxa"/>
            <w:vAlign w:val="bottom"/>
          </w:tcPr>
          <w:p>
            <w:pPr>
              <w:spacing w:after="0"/>
              <w:rPr>
                <w:sz w:val="24"/>
                <w:szCs w:val="24"/>
                <w:color w:val="auto"/>
              </w:rPr>
            </w:pPr>
          </w:p>
        </w:tc>
      </w:tr>
      <w:tr>
        <w:trPr>
          <w:trHeight w:val="594"/>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9960" w:type="dxa"/>
            <w:vAlign w:val="bottom"/>
          </w:tcPr>
          <w:p>
            <w:pPr>
              <w:ind w:left="200"/>
              <w:spacing w:after="0"/>
              <w:rPr>
                <w:sz w:val="20"/>
                <w:szCs w:val="20"/>
                <w:color w:val="auto"/>
              </w:rPr>
            </w:pPr>
            <w:r>
              <w:rPr>
                <w:rFonts w:ascii="Arial" w:cs="Arial" w:eastAsia="Arial" w:hAnsi="Arial"/>
                <w:sz w:val="18"/>
                <w:szCs w:val="18"/>
                <w:color w:val="auto"/>
              </w:rPr>
              <w:t>Exhibits</w:t>
            </w:r>
          </w:p>
        </w:tc>
      </w:tr>
      <w:tr>
        <w:trPr>
          <w:trHeight w:val="594"/>
        </w:trPr>
        <w:tc>
          <w:tcPr>
            <w:tcW w:w="560" w:type="dxa"/>
            <w:vAlign w:val="bottom"/>
          </w:tcPr>
          <w:p>
            <w:pPr>
              <w:ind w:left="40"/>
              <w:spacing w:after="0"/>
              <w:rPr>
                <w:sz w:val="20"/>
                <w:szCs w:val="20"/>
                <w:color w:val="auto"/>
              </w:rPr>
            </w:pPr>
            <w:r>
              <w:rPr>
                <w:rFonts w:ascii="Arial" w:cs="Arial" w:eastAsia="Arial" w:hAnsi="Arial"/>
                <w:sz w:val="18"/>
                <w:szCs w:val="18"/>
                <w:color w:val="auto"/>
              </w:rPr>
              <w:t>12.1*</w:t>
            </w:r>
          </w:p>
        </w:tc>
        <w:tc>
          <w:tcPr>
            <w:tcW w:w="880" w:type="dxa"/>
            <w:vAlign w:val="bottom"/>
          </w:tcPr>
          <w:p>
            <w:pPr>
              <w:spacing w:after="0"/>
              <w:rPr>
                <w:sz w:val="24"/>
                <w:szCs w:val="24"/>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Ratio of earnings to fixed charges</w:t>
            </w:r>
          </w:p>
        </w:tc>
      </w:tr>
      <w:tr>
        <w:trPr>
          <w:trHeight w:val="270"/>
        </w:trPr>
        <w:tc>
          <w:tcPr>
            <w:tcW w:w="560" w:type="dxa"/>
            <w:vAlign w:val="bottom"/>
          </w:tcPr>
          <w:p>
            <w:pPr>
              <w:ind w:left="40"/>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3"/>
                <w:szCs w:val="23"/>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Certification by the Chief Executive Officer pursuant to Rule 13a-14(a) or Rule 15d-14(a)</w:t>
            </w:r>
          </w:p>
        </w:tc>
      </w:tr>
      <w:tr>
        <w:trPr>
          <w:trHeight w:val="270"/>
        </w:trPr>
        <w:tc>
          <w:tcPr>
            <w:tcW w:w="560" w:type="dxa"/>
            <w:vAlign w:val="bottom"/>
          </w:tcPr>
          <w:p>
            <w:pPr>
              <w:ind w:left="40"/>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3"/>
                <w:szCs w:val="23"/>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Certification by the Chief Financial Officer pursuant to Rule 13a-14(a) or Rule 15d-14(a)</w:t>
            </w:r>
          </w:p>
        </w:tc>
      </w:tr>
      <w:tr>
        <w:trPr>
          <w:trHeight w:val="256"/>
        </w:trPr>
        <w:tc>
          <w:tcPr>
            <w:tcW w:w="560" w:type="dxa"/>
            <w:vAlign w:val="bottom"/>
          </w:tcPr>
          <w:p>
            <w:pPr>
              <w:ind w:left="40"/>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2"/>
                <w:szCs w:val="22"/>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Written Statement of Chief Executive Officer and Chief Financial Officer pursuant to Section 906 of the Sarbanes-Oxley Act of 2002</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(18 U.S.C. Section 1350)</w:t>
            </w:r>
          </w:p>
        </w:tc>
      </w:tr>
      <w:tr>
        <w:trPr>
          <w:trHeight w:val="256"/>
        </w:trPr>
        <w:tc>
          <w:tcPr>
            <w:tcW w:w="560" w:type="dxa"/>
            <w:vAlign w:val="bottom"/>
          </w:tcPr>
          <w:p>
            <w:pPr>
              <w:ind w:left="40"/>
              <w:spacing w:after="0"/>
              <w:rPr>
                <w:sz w:val="20"/>
                <w:szCs w:val="20"/>
                <w:color w:val="auto"/>
              </w:rPr>
            </w:pPr>
            <w:r>
              <w:rPr>
                <w:rFonts w:ascii="Arial" w:cs="Arial" w:eastAsia="Arial" w:hAnsi="Arial"/>
                <w:sz w:val="18"/>
                <w:szCs w:val="18"/>
                <w:color w:val="auto"/>
              </w:rPr>
              <w:t>10.1*</w:t>
            </w:r>
          </w:p>
        </w:tc>
        <w:tc>
          <w:tcPr>
            <w:tcW w:w="880" w:type="dxa"/>
            <w:vAlign w:val="bottom"/>
          </w:tcPr>
          <w:p>
            <w:pPr>
              <w:spacing w:after="0"/>
              <w:rPr>
                <w:sz w:val="22"/>
                <w:szCs w:val="22"/>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6"/>
              </w:rPr>
              <w:t>Amendment No. 2, dated as of July 13, 2016, to the Term Loan Credit Agreement dated as of December 19, 2014, with Bank of</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America, N.A.</w:t>
            </w:r>
          </w:p>
        </w:tc>
      </w:tr>
      <w:tr>
        <w:trPr>
          <w:trHeight w:val="256"/>
        </w:trPr>
        <w:tc>
          <w:tcPr>
            <w:tcW w:w="560" w:type="dxa"/>
            <w:vAlign w:val="bottom"/>
          </w:tcPr>
          <w:p>
            <w:pPr>
              <w:ind w:left="40"/>
              <w:spacing w:after="0"/>
              <w:rPr>
                <w:sz w:val="20"/>
                <w:szCs w:val="20"/>
                <w:color w:val="auto"/>
              </w:rPr>
            </w:pPr>
            <w:r>
              <w:rPr>
                <w:rFonts w:ascii="Arial" w:cs="Arial" w:eastAsia="Arial" w:hAnsi="Arial"/>
                <w:sz w:val="18"/>
                <w:szCs w:val="18"/>
                <w:color w:val="auto"/>
              </w:rPr>
              <w:t>10.2*</w:t>
            </w:r>
          </w:p>
        </w:tc>
        <w:tc>
          <w:tcPr>
            <w:tcW w:w="880" w:type="dxa"/>
            <w:vAlign w:val="bottom"/>
          </w:tcPr>
          <w:p>
            <w:pPr>
              <w:spacing w:after="0"/>
              <w:rPr>
                <w:sz w:val="22"/>
                <w:szCs w:val="22"/>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6"/>
              </w:rPr>
              <w:t>Amendment No. 1, dated as of July 13, 2016, to the Revolving Credit Agreement dated as of December 19, 2014, with Bank of</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America, N.A.</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6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60" w:type="dxa"/>
            <w:vAlign w:val="bottom"/>
          </w:tcPr>
          <w:p>
            <w:pPr>
              <w:ind w:left="20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6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6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60" w:type="dxa"/>
            <w:vAlign w:val="bottom"/>
          </w:tcPr>
          <w:p>
            <w:pPr>
              <w:ind w:left="20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6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75" w:lineRule="exact"/>
        <w:rPr>
          <w:sz w:val="20"/>
          <w:szCs w:val="20"/>
          <w:color w:val="auto"/>
        </w:rPr>
      </w:pPr>
    </w:p>
    <w:p>
      <w:pPr>
        <w:ind w:left="1180" w:hanging="11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08"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Registrant</w:t>
      </w:r>
    </w:p>
    <w:p>
      <w:pPr>
        <w:spacing w:after="0" w:line="356" w:lineRule="exact"/>
        <w:rPr>
          <w:sz w:val="20"/>
          <w:szCs w:val="20"/>
          <w:color w:val="auto"/>
        </w:rPr>
      </w:pPr>
    </w:p>
    <w:tbl>
      <w:tblPr>
        <w:tblLayout w:type="fixed"/>
        <w:tblInd w:w="574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gridSpan w:val="3"/>
          </w:tcPr>
          <w:p>
            <w:pPr>
              <w:spacing w:after="0"/>
              <w:rPr>
                <w:sz w:val="20"/>
                <w:szCs w:val="20"/>
                <w:color w:val="auto"/>
              </w:rPr>
            </w:pPr>
            <w:r>
              <w:rPr>
                <w:rFonts w:ascii="Arial" w:cs="Arial" w:eastAsia="Arial" w:hAnsi="Arial"/>
                <w:sz w:val="18"/>
                <w:szCs w:val="18"/>
                <w:color w:val="auto"/>
              </w:rPr>
              <w:t>/s/ DAVID P. KING</w:t>
            </w:r>
          </w:p>
        </w:tc>
      </w:tr>
      <w:tr>
        <w:trPr>
          <w:trHeight w:val="291"/>
        </w:trPr>
        <w:tc>
          <w:tcPr>
            <w:tcW w:w="80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P. King</w:t>
            </w:r>
          </w:p>
        </w:tc>
        <w:tc>
          <w:tcPr>
            <w:tcW w:w="980" w:type="dxa"/>
            <w:vAlign w:val="bottom"/>
            <w:gridSpan w:val="2"/>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w w:val="89"/>
              </w:rPr>
              <w:t>Chairman of the Board, President</w:t>
            </w:r>
          </w:p>
        </w:tc>
      </w:tr>
      <w:tr>
        <w:trPr>
          <w:trHeight w:val="270"/>
        </w:trPr>
        <w:tc>
          <w:tcPr>
            <w:tcW w:w="80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and Chief Executive Officer</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gridSpan w:val="3"/>
          </w:tcPr>
          <w:p>
            <w:pPr>
              <w:spacing w:after="0"/>
              <w:rPr>
                <w:sz w:val="20"/>
                <w:szCs w:val="20"/>
                <w:color w:val="auto"/>
              </w:rPr>
            </w:pPr>
            <w:r>
              <w:rPr>
                <w:rFonts w:ascii="Arial" w:cs="Arial" w:eastAsia="Arial" w:hAnsi="Arial"/>
                <w:sz w:val="18"/>
                <w:szCs w:val="18"/>
                <w:color w:val="auto"/>
              </w:rPr>
              <w:t>/s/ GLENN A. EISENBERG</w:t>
            </w:r>
          </w:p>
        </w:tc>
      </w:tr>
      <w:tr>
        <w:trPr>
          <w:trHeight w:val="291"/>
        </w:trPr>
        <w:tc>
          <w:tcPr>
            <w:tcW w:w="800" w:type="dxa"/>
            <w:vAlign w:val="bottom"/>
          </w:tcPr>
          <w:p>
            <w:pPr>
              <w:spacing w:after="0"/>
              <w:rPr>
                <w:sz w:val="24"/>
                <w:szCs w:val="24"/>
                <w:color w:val="auto"/>
              </w:rPr>
            </w:pPr>
          </w:p>
        </w:tc>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Glenn A. Eisenberg</w:t>
            </w:r>
          </w:p>
        </w:tc>
        <w:tc>
          <w:tcPr>
            <w:tcW w:w="34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70"/>
        </w:trPr>
        <w:tc>
          <w:tcPr>
            <w:tcW w:w="80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125"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TERM LOAN CREDIT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AMENDMENT NO. 2 dated as of July 13, 2016 (this “</w:t>
      </w:r>
      <w:r>
        <w:rPr>
          <w:rFonts w:ascii="Arial" w:cs="Arial" w:eastAsia="Arial" w:hAnsi="Arial"/>
          <w:sz w:val="19"/>
          <w:szCs w:val="19"/>
          <w:b w:val="1"/>
          <w:bCs w:val="1"/>
          <w:color w:val="auto"/>
        </w:rPr>
        <w:t>Amendment</w:t>
      </w:r>
      <w:r>
        <w:rPr>
          <w:rFonts w:ascii="Arial" w:cs="Arial" w:eastAsia="Arial" w:hAnsi="Arial"/>
          <w:sz w:val="19"/>
          <w:szCs w:val="19"/>
          <w:color w:val="auto"/>
        </w:rPr>
        <w:t>”) to TERM LOAN CREDIT AGREEMENT dated as of December 19, 2014 (as amended by Amendment No. 1 to Term Loan Credit Agreement dated as of March 5, 2015, the “</w:t>
      </w:r>
      <w:r>
        <w:rPr>
          <w:rFonts w:ascii="Arial" w:cs="Arial" w:eastAsia="Arial" w:hAnsi="Arial"/>
          <w:sz w:val="19"/>
          <w:szCs w:val="19"/>
          <w:b w:val="1"/>
          <w:bCs w:val="1"/>
          <w:color w:val="auto"/>
        </w:rPr>
        <w:t>Term</w:t>
      </w:r>
      <w:r>
        <w:rPr>
          <w:rFonts w:ascii="Arial" w:cs="Arial" w:eastAsia="Arial" w:hAnsi="Arial"/>
          <w:sz w:val="19"/>
          <w:szCs w:val="19"/>
          <w:color w:val="auto"/>
        </w:rPr>
        <w:t xml:space="preserve"> </w:t>
      </w:r>
      <w:r>
        <w:rPr>
          <w:rFonts w:ascii="Arial" w:cs="Arial" w:eastAsia="Arial" w:hAnsi="Arial"/>
          <w:sz w:val="19"/>
          <w:szCs w:val="19"/>
          <w:b w:val="1"/>
          <w:bCs w:val="1"/>
          <w:color w:val="auto"/>
        </w:rPr>
        <w:t>Loan Credit Agreement</w:t>
      </w:r>
      <w:r>
        <w:rPr>
          <w:rFonts w:ascii="Arial" w:cs="Arial" w:eastAsia="Arial" w:hAnsi="Arial"/>
          <w:sz w:val="19"/>
          <w:szCs w:val="19"/>
          <w:color w:val="auto"/>
        </w:rPr>
        <w:t>”), among LABORATORY CORPORATION OF AMERICA HOLDINGS, a Delaware corporation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Borrower</w:t>
      </w:r>
      <w:r>
        <w:rPr>
          <w:rFonts w:ascii="Arial" w:cs="Arial" w:eastAsia="Arial" w:hAnsi="Arial"/>
          <w:sz w:val="19"/>
          <w:szCs w:val="19"/>
          <w:color w:val="auto"/>
        </w:rPr>
        <w:t>”), the LENDERS from time to time party thereto and BANK OF AMERICA, N.A., as Administrative Agent.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 :</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Borrower has requested that the Term Loan Credit Agreement be amended as set forth herein; and</w:t>
      </w:r>
    </w:p>
    <w:p>
      <w:pPr>
        <w:spacing w:after="0" w:line="23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Administrative Agent and the Required Lenders executing this Amendment as a Lender are willing to amend the Term Loan Credit Agreement on the terms set forth herein;</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premises and other good and valuable consideration, the receipt and sufficiency of which are hereby acknowledged, the parties hereto hereby agree as follows:</w:t>
      </w:r>
    </w:p>
    <w:p>
      <w:pPr>
        <w:spacing w:after="0" w:line="175"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21"/>
          <w:szCs w:val="21"/>
          <w:i w:val="1"/>
          <w:iCs w:val="1"/>
          <w:color w:val="auto"/>
        </w:rPr>
        <w:t>. Defined Terms; References.</w:t>
      </w:r>
      <w:r>
        <w:rPr>
          <w:rFonts w:ascii="Arial" w:cs="Arial" w:eastAsia="Arial" w:hAnsi="Arial"/>
          <w:sz w:val="18"/>
          <w:szCs w:val="18"/>
          <w:color w:val="auto"/>
        </w:rPr>
        <w:t xml:space="preserve"> </w:t>
      </w:r>
      <w:r>
        <w:rPr>
          <w:rFonts w:ascii="Arial" w:cs="Arial" w:eastAsia="Arial" w:hAnsi="Arial"/>
          <w:sz w:val="21"/>
          <w:szCs w:val="21"/>
          <w:color w:val="auto"/>
        </w:rPr>
        <w:t>Unless otherwise specifically defined herein, each term used</w:t>
      </w:r>
      <w:r>
        <w:rPr>
          <w:rFonts w:ascii="Arial" w:cs="Arial" w:eastAsia="Arial" w:hAnsi="Arial"/>
          <w:sz w:val="18"/>
          <w:szCs w:val="18"/>
          <w:color w:val="auto"/>
        </w:rPr>
        <w:t xml:space="preserve"> </w:t>
      </w:r>
      <w:r>
        <w:rPr>
          <w:rFonts w:ascii="Arial" w:cs="Arial" w:eastAsia="Arial" w:hAnsi="Arial"/>
          <w:sz w:val="21"/>
          <w:szCs w:val="21"/>
          <w:color w:val="auto"/>
        </w:rPr>
        <w:t>herein that is defined in the Term Loan Credit Agreement has the meaning assigned to such term in the Term Loan Credit</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73"/>
        </w:trPr>
        <w:tc>
          <w:tcPr>
            <w:tcW w:w="1480" w:type="dxa"/>
            <w:vAlign w:val="bottom"/>
          </w:tcPr>
          <w:p>
            <w:pPr>
              <w:spacing w:after="0"/>
              <w:rPr>
                <w:sz w:val="20"/>
                <w:szCs w:val="20"/>
                <w:color w:val="auto"/>
              </w:rPr>
            </w:pPr>
            <w:r>
              <w:rPr>
                <w:rFonts w:ascii="Arial" w:cs="Arial" w:eastAsia="Arial" w:hAnsi="Arial"/>
                <w:sz w:val="22"/>
                <w:szCs w:val="22"/>
                <w:color w:val="auto"/>
              </w:rPr>
              <w:t>Agreement.</w:t>
            </w:r>
          </w:p>
        </w:tc>
        <w:tc>
          <w:tcPr>
            <w:tcW w:w="9280" w:type="dxa"/>
            <w:vAlign w:val="bottom"/>
            <w:vMerge w:val="restart"/>
          </w:tcPr>
          <w:p>
            <w:pPr>
              <w:ind w:left="480"/>
              <w:spacing w:after="0"/>
              <w:rPr>
                <w:sz w:val="20"/>
                <w:szCs w:val="20"/>
                <w:color w:val="auto"/>
              </w:rPr>
            </w:pPr>
            <w:r>
              <w:rPr>
                <w:rFonts w:ascii="Arial" w:cs="Arial" w:eastAsia="Arial" w:hAnsi="Arial"/>
                <w:sz w:val="22"/>
                <w:szCs w:val="22"/>
                <w:i w:val="1"/>
                <w:iCs w:val="1"/>
                <w:color w:val="auto"/>
                <w:w w:val="89"/>
              </w:rPr>
              <w:t>. Amendments</w:t>
            </w:r>
            <w:r>
              <w:rPr>
                <w:rFonts w:ascii="Arial" w:cs="Arial" w:eastAsia="Arial" w:hAnsi="Arial"/>
                <w:sz w:val="22"/>
                <w:szCs w:val="22"/>
                <w:color w:val="auto"/>
                <w:w w:val="89"/>
              </w:rPr>
              <w:t>. Each of the parties hereto agrees that, effective on the Second Amendment Effective</w:t>
            </w:r>
          </w:p>
        </w:tc>
        <w:tc>
          <w:tcPr>
            <w:tcW w:w="0" w:type="dxa"/>
            <w:vAlign w:val="bottom"/>
          </w:tcPr>
          <w:p>
            <w:pPr>
              <w:spacing w:after="0"/>
              <w:rPr>
                <w:sz w:val="1"/>
                <w:szCs w:val="1"/>
                <w:color w:val="auto"/>
              </w:rPr>
            </w:pPr>
          </w:p>
        </w:tc>
      </w:tr>
      <w:tr>
        <w:trPr>
          <w:trHeight w:val="240"/>
        </w:trPr>
        <w:tc>
          <w:tcPr>
            <w:tcW w:w="1480" w:type="dxa"/>
            <w:vAlign w:val="bottom"/>
          </w:tcPr>
          <w:p>
            <w:pPr>
              <w:spacing w:after="0"/>
              <w:rPr>
                <w:sz w:val="20"/>
                <w:szCs w:val="20"/>
                <w:color w:val="auto"/>
              </w:rPr>
            </w:pPr>
            <w:r>
              <w:rPr>
                <w:rFonts w:ascii="Arial" w:cs="Arial" w:eastAsia="Arial" w:hAnsi="Arial"/>
                <w:sz w:val="18"/>
                <w:szCs w:val="18"/>
                <w:color w:val="auto"/>
              </w:rPr>
              <w:t>Section 2</w:t>
            </w:r>
          </w:p>
        </w:tc>
        <w:tc>
          <w:tcPr>
            <w:tcW w:w="9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both"/>
        <w:spacing w:after="0" w:line="249" w:lineRule="auto"/>
        <w:rPr>
          <w:sz w:val="20"/>
          <w:szCs w:val="20"/>
          <w:color w:val="auto"/>
        </w:rPr>
      </w:pPr>
      <w:r>
        <w:rPr>
          <w:rFonts w:ascii="Arial" w:cs="Arial" w:eastAsia="Arial" w:hAnsi="Arial"/>
          <w:sz w:val="22"/>
          <w:szCs w:val="22"/>
          <w:color w:val="auto"/>
        </w:rPr>
        <w:t>Date, the definition of “Change of Control” in Section 1.01 of the Term Loan Credit Agreement shall be amended and restated in its entirety as set forth below:</w:t>
      </w:r>
    </w:p>
    <w:p>
      <w:pPr>
        <w:spacing w:after="0" w:line="2"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“Change in Control” means the occurrence of any of the following events: (a) any person or group (within the meaning of Rule 13d-5 of the Securities Exchange Act of 1934 as in effect on the date hereof) shall own directly or indirectly, beneficially or of record, Equity Interests representing more than 40% of the aggregate ordinary voting power represented by the issued and outstanding Equity Interests of the Borrower or (b) a majority of the seats (other than vacant seats) on the board of directors of the Borrower shall at any time cease to be occupied by persons (i) who were members of the board of directors on the July 13, 2016, (ii) who were nominated or elected to the board of directors, or whose nomination or election was approved, by individuals referred to in (i) constituting at the time of such election, nomination or approval at least a majority of the members of the board of directors or (iii) who were nominated or elected to the board of directors, or whose nomination or election was approved, by individuals referred to in clause (i) and (ii) above constituting at the time of such election, nomination or approval at least a majority of the board of directors.</w:t>
      </w:r>
    </w:p>
    <w:p>
      <w:pPr>
        <w:spacing w:after="0" w:line="161" w:lineRule="exact"/>
        <w:rPr>
          <w:sz w:val="20"/>
          <w:szCs w:val="20"/>
          <w:color w:val="auto"/>
        </w:rPr>
      </w:pPr>
    </w:p>
    <w:p>
      <w:pPr>
        <w:ind w:left="660" w:right="60" w:firstLine="648"/>
        <w:spacing w:after="0" w:line="270"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21"/>
          <w:szCs w:val="21"/>
          <w:i w:val="1"/>
          <w:iCs w:val="1"/>
          <w:color w:val="auto"/>
        </w:rPr>
        <w:t>. . Representations and Warranties.</w:t>
      </w:r>
      <w:r>
        <w:rPr>
          <w:rFonts w:ascii="Arial" w:cs="Arial" w:eastAsia="Arial" w:hAnsi="Arial"/>
          <w:sz w:val="18"/>
          <w:szCs w:val="18"/>
          <w:color w:val="auto"/>
        </w:rPr>
        <w:t xml:space="preserve"> </w:t>
      </w:r>
      <w:r>
        <w:rPr>
          <w:rFonts w:ascii="Arial" w:cs="Arial" w:eastAsia="Arial" w:hAnsi="Arial"/>
          <w:sz w:val="21"/>
          <w:szCs w:val="21"/>
          <w:color w:val="auto"/>
        </w:rPr>
        <w:t>Representations and Warranties. The Borrower represents</w:t>
      </w:r>
      <w:r>
        <w:rPr>
          <w:rFonts w:ascii="Arial" w:cs="Arial" w:eastAsia="Arial" w:hAnsi="Arial"/>
          <w:sz w:val="18"/>
          <w:szCs w:val="18"/>
          <w:color w:val="auto"/>
        </w:rPr>
        <w:t xml:space="preserve"> </w:t>
      </w:r>
      <w:r>
        <w:rPr>
          <w:rFonts w:ascii="Arial" w:cs="Arial" w:eastAsia="Arial" w:hAnsi="Arial"/>
          <w:sz w:val="21"/>
          <w:szCs w:val="21"/>
          <w:color w:val="auto"/>
        </w:rPr>
        <w:t>and warrants as to itself and its Subsidiaries to the other parties hereto that:</w:t>
      </w:r>
    </w:p>
    <w:p>
      <w:pPr>
        <w:spacing w:after="0" w:line="1" w:lineRule="exact"/>
        <w:rPr>
          <w:sz w:val="20"/>
          <w:szCs w:val="20"/>
          <w:color w:val="auto"/>
        </w:rPr>
      </w:pPr>
    </w:p>
    <w:p>
      <w:pPr>
        <w:ind w:right="60" w:firstLine="832"/>
        <w:spacing w:after="0" w:line="249" w:lineRule="auto"/>
        <w:tabs>
          <w:tab w:leader="none" w:pos="1483" w:val="left"/>
        </w:tabs>
        <w:numPr>
          <w:ilvl w:val="0"/>
          <w:numId w:val="18"/>
        </w:numPr>
        <w:rPr>
          <w:rFonts w:ascii="Arial" w:cs="Arial" w:eastAsia="Arial" w:hAnsi="Arial"/>
          <w:sz w:val="18"/>
          <w:szCs w:val="18"/>
          <w:color w:val="auto"/>
        </w:rPr>
      </w:pPr>
      <w:r>
        <w:rPr>
          <w:rFonts w:ascii="Arial" w:cs="Arial" w:eastAsia="Arial" w:hAnsi="Arial"/>
          <w:sz w:val="22"/>
          <w:szCs w:val="22"/>
          <w:color w:val="auto"/>
        </w:rPr>
        <w:t>the execution, delivery and performance of this Amendment are within the Borrower’s corporate powers and have been duly authorized by all necessary corporate and, if required, stockholder action;</w:t>
      </w:r>
    </w:p>
    <w:p>
      <w:pPr>
        <w:spacing w:after="0" w:line="1" w:lineRule="exact"/>
        <w:rPr>
          <w:rFonts w:ascii="Arial" w:cs="Arial" w:eastAsia="Arial" w:hAnsi="Arial"/>
          <w:sz w:val="18"/>
          <w:szCs w:val="18"/>
          <w:color w:val="auto"/>
        </w:rPr>
      </w:pPr>
    </w:p>
    <w:p>
      <w:pPr>
        <w:jc w:val="both"/>
        <w:ind w:right="140" w:firstLine="832"/>
        <w:spacing w:after="0" w:line="251" w:lineRule="auto"/>
        <w:tabs>
          <w:tab w:leader="none" w:pos="1493" w:val="left"/>
        </w:tabs>
        <w:numPr>
          <w:ilvl w:val="0"/>
          <w:numId w:val="18"/>
        </w:numPr>
        <w:rPr>
          <w:rFonts w:ascii="Arial" w:cs="Arial" w:eastAsia="Arial" w:hAnsi="Arial"/>
          <w:sz w:val="18"/>
          <w:szCs w:val="18"/>
          <w:color w:val="auto"/>
        </w:rPr>
      </w:pPr>
      <w:r>
        <w:rPr>
          <w:rFonts w:ascii="Arial" w:cs="Arial" w:eastAsia="Arial" w:hAnsi="Arial"/>
          <w:sz w:val="22"/>
          <w:szCs w:val="22"/>
          <w:color w:val="auto"/>
        </w:rPr>
        <w:t>this Amendment has been duly executed and delivered by the Borrower and constitutes a legal, valid and binding obligation of the Borrower, enforceable in accordance with its terms, subject to applicable bankruptcy, insolvency, reorganization, moratorium or other laws affecting creditors’ rights</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generally and subject to general principles of equity, regardless of whether considered in a proceeding in equity or at law; and</w:t>
      </w:r>
    </w:p>
    <w:p>
      <w:pPr>
        <w:spacing w:after="0" w:line="56" w:lineRule="exact"/>
        <w:rPr>
          <w:sz w:val="20"/>
          <w:szCs w:val="20"/>
          <w:color w:val="auto"/>
        </w:rPr>
      </w:pPr>
    </w:p>
    <w:p>
      <w:pPr>
        <w:ind w:right="60" w:firstLine="832"/>
        <w:spacing w:after="0" w:line="284" w:lineRule="auto"/>
        <w:tabs>
          <w:tab w:leader="none" w:pos="1483" w:val="left"/>
        </w:tabs>
        <w:numPr>
          <w:ilvl w:val="0"/>
          <w:numId w:val="19"/>
        </w:numPr>
        <w:rPr>
          <w:rFonts w:ascii="Arial" w:cs="Arial" w:eastAsia="Arial" w:hAnsi="Arial"/>
          <w:sz w:val="16"/>
          <w:szCs w:val="16"/>
          <w:color w:val="auto"/>
        </w:rPr>
      </w:pPr>
      <w:r>
        <w:rPr>
          <w:rFonts w:ascii="Arial" w:cs="Arial" w:eastAsia="Arial" w:hAnsi="Arial"/>
          <w:sz w:val="19"/>
          <w:szCs w:val="19"/>
          <w:color w:val="auto"/>
        </w:rPr>
        <w:t>the representations and warranties contained in the Term Loan Credit Agreement and any other Loan Document are true and correct in all material respects (other than any such representation and warranty that is already qualified by materiality or “Material Adverse Effect” in the text thereof, in which case such representation and warranty shall be true in all respects) on and as of the date hereof, except to the extent such representations and warranties specifically relate to an earlier date, in which case such representations and warranties are true and correct in all material respects on and as of such earlier date.</w:t>
      </w:r>
    </w:p>
    <w:p>
      <w:pPr>
        <w:spacing w:after="0" w:line="4" w:lineRule="exact"/>
        <w:rPr>
          <w:sz w:val="20"/>
          <w:szCs w:val="20"/>
          <w:color w:val="auto"/>
        </w:rPr>
      </w:pPr>
    </w:p>
    <w:p>
      <w:pPr>
        <w:ind w:right="800" w:firstLine="64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21"/>
          <w:szCs w:val="21"/>
          <w:i w:val="1"/>
          <w:iCs w:val="1"/>
          <w:color w:val="auto"/>
        </w:rPr>
        <w:t>. Effectiveness.</w:t>
      </w:r>
      <w:r>
        <w:rPr>
          <w:rFonts w:ascii="Arial" w:cs="Arial" w:eastAsia="Arial" w:hAnsi="Arial"/>
          <w:sz w:val="18"/>
          <w:szCs w:val="18"/>
          <w:color w:val="auto"/>
        </w:rPr>
        <w:t xml:space="preserve"> </w:t>
      </w:r>
      <w:r>
        <w:rPr>
          <w:rFonts w:ascii="Arial" w:cs="Arial" w:eastAsia="Arial" w:hAnsi="Arial"/>
          <w:sz w:val="21"/>
          <w:szCs w:val="21"/>
          <w:color w:val="auto"/>
        </w:rPr>
        <w:t>This Amendment shall become effective and as of the first date on which the</w:t>
      </w:r>
      <w:r>
        <w:rPr>
          <w:rFonts w:ascii="Arial" w:cs="Arial" w:eastAsia="Arial" w:hAnsi="Arial"/>
          <w:sz w:val="18"/>
          <w:szCs w:val="18"/>
          <w:color w:val="auto"/>
        </w:rPr>
        <w:t xml:space="preserve"> </w:t>
      </w:r>
      <w:r>
        <w:rPr>
          <w:rFonts w:ascii="Arial" w:cs="Arial" w:eastAsia="Arial" w:hAnsi="Arial"/>
          <w:sz w:val="21"/>
          <w:szCs w:val="21"/>
          <w:color w:val="auto"/>
        </w:rPr>
        <w:t>following conditions precedent have been satisfied (or waived in accordance with Section 10.01 of the Term Loan Credit Agreement) (the “</w:t>
      </w:r>
      <w:r>
        <w:rPr>
          <w:rFonts w:ascii="Arial" w:cs="Arial" w:eastAsia="Arial" w:hAnsi="Arial"/>
          <w:sz w:val="21"/>
          <w:szCs w:val="21"/>
          <w:b w:val="1"/>
          <w:bCs w:val="1"/>
          <w:color w:val="auto"/>
        </w:rPr>
        <w:t>Second Amendment Effective Date</w:t>
      </w:r>
      <w:r>
        <w:rPr>
          <w:rFonts w:ascii="Arial" w:cs="Arial" w:eastAsia="Arial" w:hAnsi="Arial"/>
          <w:sz w:val="21"/>
          <w:szCs w:val="21"/>
          <w:color w:val="auto"/>
        </w:rPr>
        <w:t>”):</w:t>
      </w:r>
    </w:p>
    <w:p>
      <w:pPr>
        <w:spacing w:after="0" w:line="2" w:lineRule="exact"/>
        <w:rPr>
          <w:sz w:val="20"/>
          <w:szCs w:val="20"/>
          <w:color w:val="auto"/>
        </w:rPr>
      </w:pPr>
    </w:p>
    <w:p>
      <w:pPr>
        <w:ind w:right="120" w:firstLine="832"/>
        <w:spacing w:after="0" w:line="258" w:lineRule="auto"/>
        <w:tabs>
          <w:tab w:leader="none" w:pos="1483" w:val="left"/>
        </w:tabs>
        <w:numPr>
          <w:ilvl w:val="0"/>
          <w:numId w:val="20"/>
        </w:numPr>
        <w:rPr>
          <w:rFonts w:ascii="Arial" w:cs="Arial" w:eastAsia="Arial" w:hAnsi="Arial"/>
          <w:sz w:val="17"/>
          <w:szCs w:val="17"/>
          <w:color w:val="auto"/>
        </w:rPr>
      </w:pPr>
      <w:r>
        <w:rPr>
          <w:rFonts w:ascii="Arial" w:cs="Arial" w:eastAsia="Arial" w:hAnsi="Arial"/>
          <w:sz w:val="21"/>
          <w:szCs w:val="21"/>
          <w:color w:val="auto"/>
        </w:rPr>
        <w:t>The Administrative Agent (or its counsel) shall have received from the Borrower, the Required Lenders and the Administrative Agent either (i) a counterpart of this Amendment signed on behalf of such party or (ii) written evidence reasonably satisfactory to the Administrative Agent (which may include .pdf or facsimile transmission of a signed signature page of this Amendment) that such party has signed counterpart of this Amendment; and</w:t>
      </w:r>
    </w:p>
    <w:p>
      <w:pPr>
        <w:spacing w:after="0" w:line="1" w:lineRule="exact"/>
        <w:rPr>
          <w:rFonts w:ascii="Arial" w:cs="Arial" w:eastAsia="Arial" w:hAnsi="Arial"/>
          <w:sz w:val="17"/>
          <w:szCs w:val="17"/>
          <w:color w:val="auto"/>
        </w:rPr>
      </w:pPr>
    </w:p>
    <w:p>
      <w:pPr>
        <w:ind w:left="1500" w:hanging="668"/>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9"/>
          <w:szCs w:val="19"/>
          <w:color w:val="auto"/>
        </w:rPr>
        <w:t>the Administrative Agent shall have received a certificate, dated the Effective Date and signed by the President</w:t>
      </w:r>
    </w:p>
    <w:p>
      <w:pPr>
        <w:spacing w:after="0" w:line="38" w:lineRule="exact"/>
        <w:rPr>
          <w:sz w:val="20"/>
          <w:szCs w:val="20"/>
          <w:color w:val="auto"/>
        </w:rPr>
      </w:pPr>
    </w:p>
    <w:p>
      <w:pPr>
        <w:ind w:right="440"/>
        <w:spacing w:after="0" w:line="247" w:lineRule="auto"/>
        <w:rPr>
          <w:sz w:val="20"/>
          <w:szCs w:val="20"/>
          <w:color w:val="auto"/>
        </w:rPr>
      </w:pPr>
      <w:r>
        <w:rPr>
          <w:rFonts w:ascii="Arial" w:cs="Arial" w:eastAsia="Arial" w:hAnsi="Arial"/>
          <w:sz w:val="22"/>
          <w:szCs w:val="22"/>
          <w:color w:val="auto"/>
        </w:rPr>
        <w:t>and Chief Executive Officer, a Vice President or a Financial Officer of the Borrower, confirming (i) the accuracy of the representations and warranties set forth in Section 3 of this Amendment and (ii) the absence of any Default or Event of Default giving effect to the effectiveness of this Amendment; and</w:t>
      </w:r>
    </w:p>
    <w:p>
      <w:pPr>
        <w:spacing w:after="0" w:line="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21"/>
          <w:szCs w:val="21"/>
          <w:i w:val="1"/>
          <w:iCs w:val="1"/>
          <w:color w:val="auto"/>
        </w:rPr>
        <w:t>. Governing Law.</w:t>
      </w:r>
      <w:r>
        <w:rPr>
          <w:rFonts w:ascii="Arial" w:cs="Arial" w:eastAsia="Arial" w:hAnsi="Arial"/>
          <w:sz w:val="18"/>
          <w:szCs w:val="18"/>
          <w:color w:val="auto"/>
        </w:rPr>
        <w:t xml:space="preserve"> </w:t>
      </w:r>
      <w:r>
        <w:rPr>
          <w:rFonts w:ascii="Arial" w:cs="Arial" w:eastAsia="Arial" w:hAnsi="Arial"/>
          <w:sz w:val="21"/>
          <w:szCs w:val="21"/>
          <w:color w:val="auto"/>
        </w:rPr>
        <w:t>This Amendment shall be governed by, and construed in accordance with, the laws</w:t>
      </w:r>
      <w:r>
        <w:rPr>
          <w:rFonts w:ascii="Arial" w:cs="Arial" w:eastAsia="Arial" w:hAnsi="Arial"/>
          <w:sz w:val="18"/>
          <w:szCs w:val="18"/>
          <w:color w:val="auto"/>
        </w:rPr>
        <w:t xml:space="preserve"> </w:t>
      </w:r>
      <w:r>
        <w:rPr>
          <w:rFonts w:ascii="Arial" w:cs="Arial" w:eastAsia="Arial" w:hAnsi="Arial"/>
          <w:sz w:val="21"/>
          <w:szCs w:val="21"/>
          <w:color w:val="auto"/>
        </w:rPr>
        <w:t>of the State of New York without regard to the conflicts of law principles thereto and to the extent that such principles would direct a matter to another jurisdiction.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bookmarkStart w:id="41" w:name="page42"/>
    <w:bookmarkEnd w:id="41"/>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as of the date first above written.</w:t>
      </w:r>
    </w:p>
    <w:p>
      <w:pPr>
        <w:spacing w:after="0" w:line="169" w:lineRule="exact"/>
        <w:rPr>
          <w:sz w:val="20"/>
          <w:szCs w:val="20"/>
          <w:color w:val="auto"/>
        </w:rPr>
      </w:pPr>
    </w:p>
    <w:p>
      <w:pPr>
        <w:ind w:left="3800" w:right="1320"/>
        <w:spacing w:after="0" w:line="269" w:lineRule="auto"/>
        <w:rPr>
          <w:sz w:val="20"/>
          <w:szCs w:val="20"/>
          <w:color w:val="auto"/>
        </w:rPr>
      </w:pPr>
      <w:r>
        <w:rPr>
          <w:rFonts w:ascii="Arial" w:cs="Arial" w:eastAsia="Arial" w:hAnsi="Arial"/>
          <w:sz w:val="22"/>
          <w:szCs w:val="22"/>
          <w:b w:val="1"/>
          <w:bCs w:val="1"/>
          <w:color w:val="auto"/>
        </w:rPr>
        <w:t xml:space="preserve">LABORATORY CORPORATION OF AMERICA HOLDINGS, </w:t>
      </w:r>
      <w:r>
        <w:rPr>
          <w:rFonts w:ascii="Arial" w:cs="Arial" w:eastAsia="Arial" w:hAnsi="Arial"/>
          <w:sz w:val="22"/>
          <w:szCs w:val="22"/>
          <w:color w:val="auto"/>
        </w:rPr>
        <w:t>a Delaware corporation</w:t>
      </w:r>
    </w:p>
    <w:p>
      <w:pPr>
        <w:spacing w:after="0" w:line="16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KIMBERLY P. SHALEWITZ</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Kimberly P. Shalewitz</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Vice President, Treasurer</w:t>
      </w:r>
    </w:p>
    <w:p>
      <w:pPr>
        <w:spacing w:after="0" w:line="19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BANK OF AMERICA, N.A.,</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Administrative Agent</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L. CORAH</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Joseph L. Corah</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Director</w:t>
      </w:r>
    </w:p>
    <w:p>
      <w:pPr>
        <w:spacing w:after="0" w:line="19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THE BANK OF NEW YORK MELLON,</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CLIFFORD A. MULL</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Clifford A. Mull</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First Vice President</w:t>
      </w:r>
    </w:p>
    <w:p>
      <w:pPr>
        <w:spacing w:after="0" w:line="19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THE BANK OF TOKYO-MITSUBISHI UFJ, LTD.,</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JAIME JOHNSON</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Jaime Johnson</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Director</w:t>
      </w:r>
    </w:p>
    <w:p>
      <w:pPr>
        <w:spacing w:after="0" w:line="19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BARCLASYS BANK PLC,</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SUTTON</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Marguerite Sutton</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Vice President</w:t>
      </w:r>
    </w:p>
    <w:p>
      <w:pPr>
        <w:spacing w:after="0" w:line="19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BRANCH BANKING &amp; TRUST COMPANY,</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By: /</w:t>
      </w:r>
      <w:r>
        <w:rPr>
          <w:rFonts w:ascii="Arial" w:cs="Arial" w:eastAsia="Arial" w:hAnsi="Arial"/>
          <w:sz w:val="22"/>
          <w:szCs w:val="22"/>
          <w:u w:val="single" w:color="auto"/>
          <w:color w:val="auto"/>
        </w:rPr>
        <w:t>s/ KELLY ATTAYEK</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Kelly Attayek</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SIGNATURE PAGE TO AMENDMENT NO. 2</w:t>
      </w:r>
    </w:p>
    <w:p>
      <w:pPr>
        <w:sectPr>
          <w:pgSz w:w="11900" w:h="16838" w:orient="portrait"/>
          <w:cols w:equalWidth="0" w:num="1">
            <w:col w:w="11060"/>
          </w:cols>
          <w:pgMar w:left="240" w:top="591" w:right="599" w:bottom="1440" w:gutter="0" w:footer="0" w:header="0"/>
        </w:sectPr>
      </w:pPr>
    </w:p>
    <w:bookmarkStart w:id="42" w:name="page43"/>
    <w:bookmarkEnd w:id="42"/>
    <w:p>
      <w:pPr>
        <w:ind w:left="2600"/>
        <w:spacing w:after="0"/>
        <w:rPr>
          <w:sz w:val="20"/>
          <w:szCs w:val="20"/>
          <w:color w:val="auto"/>
        </w:rPr>
      </w:pPr>
      <w:r>
        <w:rPr>
          <w:rFonts w:ascii="Arial" w:cs="Arial" w:eastAsia="Arial" w:hAnsi="Arial"/>
          <w:sz w:val="22"/>
          <w:szCs w:val="22"/>
          <w:b w:val="1"/>
          <w:bCs w:val="1"/>
          <w:color w:val="auto"/>
        </w:rPr>
        <w:t>CITIZENS BANK, N.A.,</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PRASANNA MANYEM</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Prasanna Manyem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Vice President</w:t>
      </w:r>
    </w:p>
    <w:p>
      <w:pPr>
        <w:spacing w:after="0" w:line="196"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CITY NATIONAL BANK,</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jc w:val="right"/>
        <w:ind w:right="4639"/>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JENIFER VELEZ</w:t>
      </w:r>
    </w:p>
    <w:p>
      <w:pPr>
        <w:spacing w:after="0" w:line="22" w:lineRule="exact"/>
        <w:rPr>
          <w:sz w:val="20"/>
          <w:szCs w:val="20"/>
          <w:color w:val="auto"/>
        </w:rPr>
      </w:pPr>
    </w:p>
    <w:p>
      <w:pPr>
        <w:jc w:val="right"/>
        <w:ind w:right="4659"/>
        <w:spacing w:after="0"/>
        <w:rPr>
          <w:sz w:val="20"/>
          <w:szCs w:val="20"/>
          <w:color w:val="auto"/>
        </w:rPr>
      </w:pPr>
      <w:r>
        <w:rPr>
          <w:rFonts w:ascii="Arial" w:cs="Arial" w:eastAsia="Arial" w:hAnsi="Arial"/>
          <w:sz w:val="22"/>
          <w:szCs w:val="22"/>
          <w:color w:val="auto"/>
        </w:rPr>
        <w:t>Name: Jenifer Velez</w:t>
      </w:r>
    </w:p>
    <w:p>
      <w:pPr>
        <w:spacing w:after="0" w:line="4" w:lineRule="exact"/>
        <w:rPr>
          <w:sz w:val="20"/>
          <w:szCs w:val="20"/>
          <w:color w:val="auto"/>
        </w:rPr>
      </w:pPr>
    </w:p>
    <w:p>
      <w:pPr>
        <w:jc w:val="right"/>
        <w:ind w:right="4639"/>
        <w:spacing w:after="0"/>
        <w:rPr>
          <w:sz w:val="20"/>
          <w:szCs w:val="20"/>
          <w:color w:val="auto"/>
        </w:rPr>
      </w:pPr>
      <w:r>
        <w:rPr>
          <w:rFonts w:ascii="Arial" w:cs="Arial" w:eastAsia="Arial" w:hAnsi="Arial"/>
          <w:sz w:val="22"/>
          <w:szCs w:val="22"/>
          <w:color w:val="auto"/>
        </w:rPr>
        <w:t>Title: Vice President</w:t>
      </w:r>
    </w:p>
    <w:p>
      <w:pPr>
        <w:spacing w:after="0" w:line="196" w:lineRule="exact"/>
        <w:rPr>
          <w:sz w:val="20"/>
          <w:szCs w:val="20"/>
          <w:color w:val="auto"/>
        </w:rPr>
      </w:pPr>
    </w:p>
    <w:p>
      <w:pPr>
        <w:ind w:left="2600" w:right="159"/>
        <w:spacing w:after="0" w:line="269" w:lineRule="auto"/>
        <w:rPr>
          <w:sz w:val="20"/>
          <w:szCs w:val="20"/>
          <w:color w:val="auto"/>
        </w:rPr>
      </w:pPr>
      <w:r>
        <w:rPr>
          <w:rFonts w:ascii="Arial" w:cs="Arial" w:eastAsia="Arial" w:hAnsi="Arial"/>
          <w:sz w:val="22"/>
          <w:szCs w:val="22"/>
          <w:b w:val="1"/>
          <w:bCs w:val="1"/>
          <w:color w:val="auto"/>
        </w:rPr>
        <w:t xml:space="preserve">CREDIT AGRICOLE CORPORATE AND INVESTMENT BANK, </w:t>
      </w:r>
      <w:r>
        <w:rPr>
          <w:rFonts w:ascii="Arial" w:cs="Arial" w:eastAsia="Arial" w:hAnsi="Arial"/>
          <w:sz w:val="22"/>
          <w:szCs w:val="22"/>
          <w:color w:val="auto"/>
        </w:rPr>
        <w:t>as Lender</w:t>
      </w:r>
    </w:p>
    <w:p>
      <w:pPr>
        <w:spacing w:after="0" w:line="16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RANDOLPH</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Thomas Randolph</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Managing Director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KONEVAL</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Mark Koneval</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Managing Director</w:t>
      </w:r>
    </w:p>
    <w:p>
      <w:pPr>
        <w:spacing w:after="0" w:line="196"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FIFTH THIRD BANK,</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McCHESNEY</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John McChesney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Officer</w:t>
      </w:r>
    </w:p>
    <w:p>
      <w:pPr>
        <w:spacing w:after="0" w:line="200" w:lineRule="exact"/>
        <w:rPr>
          <w:sz w:val="20"/>
          <w:szCs w:val="20"/>
          <w:color w:val="auto"/>
        </w:rPr>
      </w:pPr>
    </w:p>
    <w:p>
      <w:pPr>
        <w:spacing w:after="0" w:line="212"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KEYBANK NATIONAL ASSOCIATION,</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WILD</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David A. Wild</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Senior Vice President</w:t>
      </w:r>
    </w:p>
    <w:p>
      <w:pPr>
        <w:spacing w:after="0" w:line="196"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NORTHER TURST COMPANY,</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CANTY</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John Canty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SIGNATURE PAGE TO AMENDMENT NO. 2</w:t>
      </w:r>
    </w:p>
    <w:p>
      <w:pPr>
        <w:sectPr>
          <w:pgSz w:w="11900" w:h="16838" w:orient="portrait"/>
          <w:cols w:equalWidth="0" w:num="1">
            <w:col w:w="9019"/>
          </w:cols>
          <w:pgMar w:left="1440" w:top="585" w:right="1440" w:bottom="1440" w:gutter="0" w:footer="0" w:header="0"/>
        </w:sectPr>
      </w:pPr>
    </w:p>
    <w:bookmarkStart w:id="43" w:name="page44"/>
    <w:bookmarkEnd w:id="43"/>
    <w:p>
      <w:pPr>
        <w:ind w:left="2600" w:right="1239"/>
        <w:spacing w:after="0" w:line="269" w:lineRule="auto"/>
        <w:rPr>
          <w:sz w:val="20"/>
          <w:szCs w:val="20"/>
          <w:color w:val="auto"/>
        </w:rPr>
      </w:pPr>
      <w:r>
        <w:rPr>
          <w:rFonts w:ascii="Arial" w:cs="Arial" w:eastAsia="Arial" w:hAnsi="Arial"/>
          <w:sz w:val="22"/>
          <w:szCs w:val="22"/>
          <w:b w:val="1"/>
          <w:bCs w:val="1"/>
          <w:color w:val="auto"/>
        </w:rPr>
        <w:t xml:space="preserve">PNC BANK, NATIONAL, NATIONAL ASSOCIATION </w:t>
      </w:r>
      <w:r>
        <w:rPr>
          <w:rFonts w:ascii="Arial" w:cs="Arial" w:eastAsia="Arial" w:hAnsi="Arial"/>
          <w:sz w:val="22"/>
          <w:szCs w:val="22"/>
          <w:color w:val="auto"/>
        </w:rPr>
        <w:t>as Lender</w:t>
      </w:r>
    </w:p>
    <w:p>
      <w:pPr>
        <w:spacing w:after="0" w:line="16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MATTHEW O. BURGE</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Matthew O. Burge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Vice President</w:t>
      </w:r>
    </w:p>
    <w:p>
      <w:pPr>
        <w:spacing w:after="0" w:line="196"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SUNTRUST BANK,</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MARY K. LUNDIN</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Mary K. Lundin</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Vice President</w:t>
      </w:r>
    </w:p>
    <w:p>
      <w:pPr>
        <w:spacing w:after="0" w:line="196"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TD BANK N.A.,</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SHREYA SHAH</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Shreya Shah</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Senior Vice President</w:t>
      </w:r>
    </w:p>
    <w:p>
      <w:pPr>
        <w:spacing w:after="0" w:line="196"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U.S. BANK NATIONAL ASSOCIATION,</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RYAN M. BLACK</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Ryan M. Black</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Officer</w:t>
      </w:r>
    </w:p>
    <w:p>
      <w:pPr>
        <w:spacing w:after="0" w:line="200" w:lineRule="exact"/>
        <w:rPr>
          <w:sz w:val="20"/>
          <w:szCs w:val="20"/>
          <w:color w:val="auto"/>
        </w:rPr>
      </w:pPr>
    </w:p>
    <w:p>
      <w:pPr>
        <w:spacing w:after="0" w:line="212"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WELLS FARGO BANK, N.A.,</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DARIN MULLIS</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Darin Mullis</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SIGNATURE PAGE TO AMENDMENT NO. 2</w:t>
      </w:r>
    </w:p>
    <w:p>
      <w:pPr>
        <w:sectPr>
          <w:pgSz w:w="11900" w:h="16838" w:orient="portrait"/>
          <w:cols w:equalWidth="0" w:num="1">
            <w:col w:w="9019"/>
          </w:cols>
          <w:pgMar w:left="1440" w:top="585"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AMENDED AND RESTATED CREDIT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AMENDMENT NO. 1 dated as of July 13, 2016 (this “</w:t>
      </w:r>
      <w:r>
        <w:rPr>
          <w:rFonts w:ascii="Arial" w:cs="Arial" w:eastAsia="Arial" w:hAnsi="Arial"/>
          <w:sz w:val="22"/>
          <w:szCs w:val="22"/>
          <w:b w:val="1"/>
          <w:bCs w:val="1"/>
          <w:color w:val="auto"/>
        </w:rPr>
        <w:t>Amendment</w:t>
      </w:r>
      <w:r>
        <w:rPr>
          <w:rFonts w:ascii="Arial" w:cs="Arial" w:eastAsia="Arial" w:hAnsi="Arial"/>
          <w:sz w:val="22"/>
          <w:szCs w:val="22"/>
          <w:color w:val="auto"/>
        </w:rPr>
        <w:t>”) to AMENDED AND RESTATED CREDIT AGREEMENT dated as of December 19, 2014 (the “</w:t>
      </w:r>
      <w:r>
        <w:rPr>
          <w:rFonts w:ascii="Arial" w:cs="Arial" w:eastAsia="Arial" w:hAnsi="Arial"/>
          <w:sz w:val="22"/>
          <w:szCs w:val="22"/>
          <w:b w:val="1"/>
          <w:bCs w:val="1"/>
          <w:color w:val="auto"/>
        </w:rPr>
        <w:t>Revolving Credit Agreement</w:t>
      </w:r>
      <w:r>
        <w:rPr>
          <w:rFonts w:ascii="Arial" w:cs="Arial" w:eastAsia="Arial" w:hAnsi="Arial"/>
          <w:sz w:val="22"/>
          <w:szCs w:val="22"/>
          <w:color w:val="auto"/>
        </w:rPr>
        <w:t>”), among LABORATORY CORPORATION OF AMERICA HOLDINGS, a Delaware corporation (the “</w:t>
      </w:r>
      <w:r>
        <w:rPr>
          <w:rFonts w:ascii="Arial" w:cs="Arial" w:eastAsia="Arial" w:hAnsi="Arial"/>
          <w:sz w:val="22"/>
          <w:szCs w:val="22"/>
          <w:b w:val="1"/>
          <w:bCs w:val="1"/>
          <w:color w:val="auto"/>
        </w:rPr>
        <w:t>Borrower</w:t>
      </w:r>
      <w:r>
        <w:rPr>
          <w:rFonts w:ascii="Arial" w:cs="Arial" w:eastAsia="Arial" w:hAnsi="Arial"/>
          <w:sz w:val="22"/>
          <w:szCs w:val="22"/>
          <w:color w:val="auto"/>
        </w:rPr>
        <w:t>”), the LENDERS from time to time party thereto and BANK OF AMERICA, N.A., as Administrative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 :</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Borrower has requested that the Revolving Credit Agreement be amended as set forth herein; and</w:t>
      </w:r>
    </w:p>
    <w:p>
      <w:pPr>
        <w:spacing w:after="0" w:line="23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Administrative Agent and the Required Lenders executing this Amendment as a Lender are willing to amend the Revolving Credit Agreement on the terms set forth herein;</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premises and other good and valuable consideration, the receipt and sufficiency of which are hereby acknowledged, the parties hereto hereby agree as follows:</w:t>
      </w:r>
    </w:p>
    <w:p>
      <w:pPr>
        <w:spacing w:after="0" w:line="175" w:lineRule="exact"/>
        <w:rPr>
          <w:sz w:val="20"/>
          <w:szCs w:val="20"/>
          <w:color w:val="auto"/>
        </w:rPr>
      </w:pPr>
    </w:p>
    <w:p>
      <w:pPr>
        <w:jc w:val="both"/>
        <w:ind w:left="660" w:firstLine="648"/>
        <w:spacing w:after="0" w:line="26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21"/>
          <w:szCs w:val="21"/>
          <w:i w:val="1"/>
          <w:iCs w:val="1"/>
          <w:color w:val="auto"/>
        </w:rPr>
        <w:t>. Defined Terms; References.</w:t>
      </w:r>
      <w:r>
        <w:rPr>
          <w:rFonts w:ascii="Arial" w:cs="Arial" w:eastAsia="Arial" w:hAnsi="Arial"/>
          <w:sz w:val="18"/>
          <w:szCs w:val="18"/>
          <w:color w:val="auto"/>
        </w:rPr>
        <w:t xml:space="preserve"> </w:t>
      </w:r>
      <w:r>
        <w:rPr>
          <w:rFonts w:ascii="Arial" w:cs="Arial" w:eastAsia="Arial" w:hAnsi="Arial"/>
          <w:sz w:val="21"/>
          <w:szCs w:val="21"/>
          <w:color w:val="auto"/>
        </w:rPr>
        <w:t>Unless otherwise specifically defined herein, each term used</w:t>
      </w:r>
      <w:r>
        <w:rPr>
          <w:rFonts w:ascii="Arial" w:cs="Arial" w:eastAsia="Arial" w:hAnsi="Arial"/>
          <w:sz w:val="18"/>
          <w:szCs w:val="18"/>
          <w:color w:val="auto"/>
        </w:rPr>
        <w:t xml:space="preserve"> </w:t>
      </w:r>
      <w:r>
        <w:rPr>
          <w:rFonts w:ascii="Arial" w:cs="Arial" w:eastAsia="Arial" w:hAnsi="Arial"/>
          <w:sz w:val="21"/>
          <w:szCs w:val="21"/>
          <w:color w:val="auto"/>
        </w:rPr>
        <w:t>herein that is defined in the Revolving Credit Agreement has the meaning assigned to such term in the Revolving Credit Agreement.</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21"/>
          <w:szCs w:val="21"/>
          <w:i w:val="1"/>
          <w:iCs w:val="1"/>
          <w:color w:val="auto"/>
        </w:rPr>
        <w:t>. Amendments</w:t>
      </w:r>
      <w:r>
        <w:rPr>
          <w:rFonts w:ascii="Arial" w:cs="Arial" w:eastAsia="Arial" w:hAnsi="Arial"/>
          <w:sz w:val="21"/>
          <w:szCs w:val="21"/>
          <w:color w:val="auto"/>
        </w:rPr>
        <w:t>. Each of the parties hereto agrees that, effective on the Amendment Effective Date, the</w:t>
      </w:r>
      <w:r>
        <w:rPr>
          <w:rFonts w:ascii="Arial" w:cs="Arial" w:eastAsia="Arial" w:hAnsi="Arial"/>
          <w:sz w:val="18"/>
          <w:szCs w:val="18"/>
          <w:color w:val="auto"/>
        </w:rPr>
        <w:t xml:space="preserve"> </w:t>
      </w:r>
      <w:r>
        <w:rPr>
          <w:rFonts w:ascii="Arial" w:cs="Arial" w:eastAsia="Arial" w:hAnsi="Arial"/>
          <w:sz w:val="21"/>
          <w:szCs w:val="21"/>
          <w:color w:val="auto"/>
        </w:rPr>
        <w:t>definition of “Change of Control” in Section 1.01 of the Revolving Credit Agreement shall be amended and restated in its entirety as set forth below:</w:t>
      </w:r>
    </w:p>
    <w:p>
      <w:pPr>
        <w:spacing w:after="0" w:line="2"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“Change in Control” means the occurrence of any of the following events: (a) any person or group (within the meaning of Rule 13d-5 of the Securities Exchange Act of 1934 as in effect on the date hereof) shall own directly or indirectly, beneficially or of record, Equity Interests representing more than 40% of the aggregate ordinary voting power represented by the issued and outstanding Equity Interests of the Borrower or (b) a majority of the seats (other than vacant seats) on the board of directors of the Borrower shall at any time cease to be occupied by persons (i) who were members of the board of directors on the July 13, 2016, (ii) who were nominated or elected to the board of directors, or whose nomination or election was approved, by individuals referred to in (i) constituting at the time of such election, nomination or approval at least a majority of the members of the board of directors or (iii) who were nominated or elected to the board of directors, or whose nomination or election was approved, by individuals referred to in clause (i) and (ii) above constituting at the time of such election, nomination or approval at least a majority of the board of directors.</w:t>
      </w:r>
    </w:p>
    <w:p>
      <w:pPr>
        <w:spacing w:after="0" w:line="161" w:lineRule="exact"/>
        <w:rPr>
          <w:sz w:val="20"/>
          <w:szCs w:val="20"/>
          <w:color w:val="auto"/>
        </w:rPr>
      </w:pPr>
    </w:p>
    <w:p>
      <w:pPr>
        <w:ind w:left="660" w:right="60" w:firstLine="648"/>
        <w:spacing w:after="0" w:line="270"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21"/>
          <w:szCs w:val="21"/>
          <w:i w:val="1"/>
          <w:iCs w:val="1"/>
          <w:color w:val="auto"/>
        </w:rPr>
        <w:t>. . Representations and Warranties.</w:t>
      </w:r>
      <w:r>
        <w:rPr>
          <w:rFonts w:ascii="Arial" w:cs="Arial" w:eastAsia="Arial" w:hAnsi="Arial"/>
          <w:sz w:val="18"/>
          <w:szCs w:val="18"/>
          <w:color w:val="auto"/>
        </w:rPr>
        <w:t xml:space="preserve"> </w:t>
      </w:r>
      <w:r>
        <w:rPr>
          <w:rFonts w:ascii="Arial" w:cs="Arial" w:eastAsia="Arial" w:hAnsi="Arial"/>
          <w:sz w:val="21"/>
          <w:szCs w:val="21"/>
          <w:color w:val="auto"/>
        </w:rPr>
        <w:t>Representations and Warranties. The Borrower represents</w:t>
      </w:r>
      <w:r>
        <w:rPr>
          <w:rFonts w:ascii="Arial" w:cs="Arial" w:eastAsia="Arial" w:hAnsi="Arial"/>
          <w:sz w:val="18"/>
          <w:szCs w:val="18"/>
          <w:color w:val="auto"/>
        </w:rPr>
        <w:t xml:space="preserve"> </w:t>
      </w:r>
      <w:r>
        <w:rPr>
          <w:rFonts w:ascii="Arial" w:cs="Arial" w:eastAsia="Arial" w:hAnsi="Arial"/>
          <w:sz w:val="21"/>
          <w:szCs w:val="21"/>
          <w:color w:val="auto"/>
        </w:rPr>
        <w:t>and warrants as to itself and its Subsidiaries to the other parties hereto that:</w:t>
      </w:r>
    </w:p>
    <w:p>
      <w:pPr>
        <w:spacing w:after="0" w:line="1" w:lineRule="exact"/>
        <w:rPr>
          <w:sz w:val="20"/>
          <w:szCs w:val="20"/>
          <w:color w:val="auto"/>
        </w:rPr>
      </w:pPr>
    </w:p>
    <w:p>
      <w:pPr>
        <w:ind w:right="60" w:firstLine="832"/>
        <w:spacing w:after="0" w:line="249" w:lineRule="auto"/>
        <w:tabs>
          <w:tab w:leader="none" w:pos="1483" w:val="left"/>
        </w:tabs>
        <w:numPr>
          <w:ilvl w:val="0"/>
          <w:numId w:val="21"/>
        </w:numPr>
        <w:rPr>
          <w:rFonts w:ascii="Arial" w:cs="Arial" w:eastAsia="Arial" w:hAnsi="Arial"/>
          <w:sz w:val="18"/>
          <w:szCs w:val="18"/>
          <w:color w:val="auto"/>
        </w:rPr>
      </w:pPr>
      <w:r>
        <w:rPr>
          <w:rFonts w:ascii="Arial" w:cs="Arial" w:eastAsia="Arial" w:hAnsi="Arial"/>
          <w:sz w:val="22"/>
          <w:szCs w:val="22"/>
          <w:color w:val="auto"/>
        </w:rPr>
        <w:t>the execution, delivery and performance of this Amendment are within the Borrower’s corporate powers and have been duly authorized by all necessary corporate and, if required, stockholder action;</w:t>
      </w:r>
    </w:p>
    <w:p>
      <w:pPr>
        <w:spacing w:after="0" w:line="1" w:lineRule="exact"/>
        <w:rPr>
          <w:rFonts w:ascii="Arial" w:cs="Arial" w:eastAsia="Arial" w:hAnsi="Arial"/>
          <w:sz w:val="18"/>
          <w:szCs w:val="18"/>
          <w:color w:val="auto"/>
        </w:rPr>
      </w:pPr>
    </w:p>
    <w:p>
      <w:pPr>
        <w:ind w:right="140" w:firstLine="832"/>
        <w:spacing w:after="0" w:line="259" w:lineRule="auto"/>
        <w:tabs>
          <w:tab w:leader="none" w:pos="1493" w:val="left"/>
        </w:tabs>
        <w:numPr>
          <w:ilvl w:val="0"/>
          <w:numId w:val="21"/>
        </w:numPr>
        <w:rPr>
          <w:rFonts w:ascii="Arial" w:cs="Arial" w:eastAsia="Arial" w:hAnsi="Arial"/>
          <w:sz w:val="18"/>
          <w:szCs w:val="18"/>
          <w:color w:val="auto"/>
        </w:rPr>
      </w:pPr>
      <w:r>
        <w:rPr>
          <w:rFonts w:ascii="Arial" w:cs="Arial" w:eastAsia="Arial" w:hAnsi="Arial"/>
          <w:sz w:val="22"/>
          <w:szCs w:val="22"/>
          <w:color w:val="auto"/>
        </w:rPr>
        <w:t>this Amendment has been duly executed and delivered by the Borrower and constitutes a legal, valid and binding obligation of the Borrower, enforceable in accordance with its terms, subject to</w:t>
      </w:r>
    </w:p>
    <w:p>
      <w:pPr>
        <w:sectPr>
          <w:pgSz w:w="11900" w:h="16838" w:orient="portrait"/>
          <w:cols w:equalWidth="0" w:num="1">
            <w:col w:w="11420"/>
          </w:cols>
          <w:pgMar w:left="240" w:top="580" w:right="239" w:bottom="1440" w:gutter="0" w:footer="0" w:header="0"/>
        </w:sectPr>
      </w:pPr>
    </w:p>
    <w:bookmarkStart w:id="45" w:name="page46"/>
    <w:bookmarkEnd w:id="45"/>
    <w:p>
      <w:pPr>
        <w:ind w:right="460"/>
        <w:spacing w:after="0" w:line="263" w:lineRule="auto"/>
        <w:rPr>
          <w:sz w:val="20"/>
          <w:szCs w:val="20"/>
          <w:color w:val="auto"/>
        </w:rPr>
      </w:pPr>
      <w:r>
        <w:rPr>
          <w:rFonts w:ascii="Arial" w:cs="Arial" w:eastAsia="Arial" w:hAnsi="Arial"/>
          <w:sz w:val="21"/>
          <w:szCs w:val="21"/>
          <w:color w:val="auto"/>
        </w:rPr>
        <w:t>applicable bankruptcy, insolvency, reorganization, moratorium or other laws affecting creditors’ rights generally and subject to general principles of equity, regardless of whether considered in a proceeding in equity or at law; and</w:t>
      </w:r>
    </w:p>
    <w:p>
      <w:pPr>
        <w:spacing w:after="0" w:line="2" w:lineRule="exact"/>
        <w:rPr>
          <w:sz w:val="20"/>
          <w:szCs w:val="20"/>
          <w:color w:val="auto"/>
        </w:rPr>
      </w:pPr>
    </w:p>
    <w:p>
      <w:pPr>
        <w:ind w:right="60" w:firstLine="832"/>
        <w:spacing w:after="0" w:line="284" w:lineRule="auto"/>
        <w:tabs>
          <w:tab w:leader="none" w:pos="1483" w:val="left"/>
        </w:tabs>
        <w:numPr>
          <w:ilvl w:val="0"/>
          <w:numId w:val="22"/>
        </w:numPr>
        <w:rPr>
          <w:rFonts w:ascii="Arial" w:cs="Arial" w:eastAsia="Arial" w:hAnsi="Arial"/>
          <w:sz w:val="16"/>
          <w:szCs w:val="16"/>
          <w:color w:val="auto"/>
        </w:rPr>
      </w:pPr>
      <w:r>
        <w:rPr>
          <w:rFonts w:ascii="Arial" w:cs="Arial" w:eastAsia="Arial" w:hAnsi="Arial"/>
          <w:sz w:val="19"/>
          <w:szCs w:val="19"/>
          <w:color w:val="auto"/>
        </w:rPr>
        <w:t>the representations and warranties contained in the Revolving Credit Agreement and any other Loan Document are true and correct in all material respects (other than any such representation and warranty that is already qualified by materiality or “Material Adverse Effect” in the text thereof, in which case such representation and warranty shall be true in all respects) on and as of the date hereof, except to the extent such representations and warranties specifically relate to an earlier date, in which case such representations and warranties are true and correct in all material respects on and as of such earlier date.</w:t>
      </w:r>
    </w:p>
    <w:p>
      <w:pPr>
        <w:spacing w:after="0" w:line="4" w:lineRule="exact"/>
        <w:rPr>
          <w:sz w:val="20"/>
          <w:szCs w:val="20"/>
          <w:color w:val="auto"/>
        </w:rPr>
      </w:pPr>
    </w:p>
    <w:p>
      <w:pPr>
        <w:ind w:right="800" w:firstLine="64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21"/>
          <w:szCs w:val="21"/>
          <w:i w:val="1"/>
          <w:iCs w:val="1"/>
          <w:color w:val="auto"/>
        </w:rPr>
        <w:t>. Effectiveness.</w:t>
      </w:r>
      <w:r>
        <w:rPr>
          <w:rFonts w:ascii="Arial" w:cs="Arial" w:eastAsia="Arial" w:hAnsi="Arial"/>
          <w:sz w:val="18"/>
          <w:szCs w:val="18"/>
          <w:color w:val="auto"/>
        </w:rPr>
        <w:t xml:space="preserve"> </w:t>
      </w:r>
      <w:r>
        <w:rPr>
          <w:rFonts w:ascii="Arial" w:cs="Arial" w:eastAsia="Arial" w:hAnsi="Arial"/>
          <w:sz w:val="21"/>
          <w:szCs w:val="21"/>
          <w:color w:val="auto"/>
        </w:rPr>
        <w:t>This Amendment shall become effective and as of the first date on which the</w:t>
      </w:r>
      <w:r>
        <w:rPr>
          <w:rFonts w:ascii="Arial" w:cs="Arial" w:eastAsia="Arial" w:hAnsi="Arial"/>
          <w:sz w:val="18"/>
          <w:szCs w:val="18"/>
          <w:color w:val="auto"/>
        </w:rPr>
        <w:t xml:space="preserve"> </w:t>
      </w:r>
      <w:r>
        <w:rPr>
          <w:rFonts w:ascii="Arial" w:cs="Arial" w:eastAsia="Arial" w:hAnsi="Arial"/>
          <w:sz w:val="21"/>
          <w:szCs w:val="21"/>
          <w:color w:val="auto"/>
        </w:rPr>
        <w:t>following conditions precedent have been satisfied (or waived in accordance with Section 10.01 of the Revolving Credit Agreement) (the “</w:t>
      </w:r>
      <w:r>
        <w:rPr>
          <w:rFonts w:ascii="Arial" w:cs="Arial" w:eastAsia="Arial" w:hAnsi="Arial"/>
          <w:sz w:val="21"/>
          <w:szCs w:val="21"/>
          <w:b w:val="1"/>
          <w:bCs w:val="1"/>
          <w:color w:val="auto"/>
        </w:rPr>
        <w:t>Amendment Effective Date</w:t>
      </w:r>
      <w:r>
        <w:rPr>
          <w:rFonts w:ascii="Arial" w:cs="Arial" w:eastAsia="Arial" w:hAnsi="Arial"/>
          <w:sz w:val="21"/>
          <w:szCs w:val="21"/>
          <w:color w:val="auto"/>
        </w:rPr>
        <w:t>”):</w:t>
      </w:r>
    </w:p>
    <w:p>
      <w:pPr>
        <w:spacing w:after="0" w:line="2" w:lineRule="exact"/>
        <w:rPr>
          <w:sz w:val="20"/>
          <w:szCs w:val="20"/>
          <w:color w:val="auto"/>
        </w:rPr>
      </w:pPr>
    </w:p>
    <w:p>
      <w:pPr>
        <w:ind w:right="120" w:firstLine="832"/>
        <w:spacing w:after="0" w:line="258" w:lineRule="auto"/>
        <w:tabs>
          <w:tab w:leader="none" w:pos="1483" w:val="left"/>
        </w:tabs>
        <w:numPr>
          <w:ilvl w:val="0"/>
          <w:numId w:val="23"/>
        </w:numPr>
        <w:rPr>
          <w:rFonts w:ascii="Arial" w:cs="Arial" w:eastAsia="Arial" w:hAnsi="Arial"/>
          <w:sz w:val="17"/>
          <w:szCs w:val="17"/>
          <w:color w:val="auto"/>
        </w:rPr>
      </w:pPr>
      <w:r>
        <w:rPr>
          <w:rFonts w:ascii="Arial" w:cs="Arial" w:eastAsia="Arial" w:hAnsi="Arial"/>
          <w:sz w:val="21"/>
          <w:szCs w:val="21"/>
          <w:color w:val="auto"/>
        </w:rPr>
        <w:t>The Administrative Agent (or its counsel) shall have received from the Borrower, the Required Lenders and the Administrative Agent either (i) a counterpart of this Amendment signed on behalf of such party or (ii) written evidence reasonably satisfactory to the Administrative Agent (which may include .pdf or facsimile transmission of a signed signature page of this Amendment) that such party has signed counterpart of this Amendment; and</w:t>
      </w:r>
    </w:p>
    <w:p>
      <w:pPr>
        <w:spacing w:after="0" w:line="1" w:lineRule="exact"/>
        <w:rPr>
          <w:rFonts w:ascii="Arial" w:cs="Arial" w:eastAsia="Arial" w:hAnsi="Arial"/>
          <w:sz w:val="17"/>
          <w:szCs w:val="17"/>
          <w:color w:val="auto"/>
        </w:rPr>
      </w:pPr>
    </w:p>
    <w:p>
      <w:pPr>
        <w:ind w:left="1500" w:hanging="668"/>
        <w:spacing w:after="0"/>
        <w:tabs>
          <w:tab w:leader="none" w:pos="1500" w:val="left"/>
        </w:tabs>
        <w:numPr>
          <w:ilvl w:val="0"/>
          <w:numId w:val="23"/>
        </w:numPr>
        <w:rPr>
          <w:rFonts w:ascii="Arial" w:cs="Arial" w:eastAsia="Arial" w:hAnsi="Arial"/>
          <w:sz w:val="16"/>
          <w:szCs w:val="16"/>
          <w:color w:val="auto"/>
        </w:rPr>
      </w:pPr>
      <w:r>
        <w:rPr>
          <w:rFonts w:ascii="Arial" w:cs="Arial" w:eastAsia="Arial" w:hAnsi="Arial"/>
          <w:sz w:val="19"/>
          <w:szCs w:val="19"/>
          <w:color w:val="auto"/>
        </w:rPr>
        <w:t>the Administrative Agent shall have received a certificate, dated the Effective Date and signed by the President</w:t>
      </w:r>
    </w:p>
    <w:p>
      <w:pPr>
        <w:spacing w:after="0" w:line="38" w:lineRule="exact"/>
        <w:rPr>
          <w:sz w:val="20"/>
          <w:szCs w:val="20"/>
          <w:color w:val="auto"/>
        </w:rPr>
      </w:pPr>
    </w:p>
    <w:p>
      <w:pPr>
        <w:ind w:right="440"/>
        <w:spacing w:after="0" w:line="247" w:lineRule="auto"/>
        <w:rPr>
          <w:sz w:val="20"/>
          <w:szCs w:val="20"/>
          <w:color w:val="auto"/>
        </w:rPr>
      </w:pPr>
      <w:r>
        <w:rPr>
          <w:rFonts w:ascii="Arial" w:cs="Arial" w:eastAsia="Arial" w:hAnsi="Arial"/>
          <w:sz w:val="22"/>
          <w:szCs w:val="22"/>
          <w:color w:val="auto"/>
        </w:rPr>
        <w:t>and Chief Executive Officer, a Vice President or a Financial Officer of the Borrower, confirming (i) the accuracy of the representations and warranties set forth in Section 3 of this Amendment and (ii) the absence of any Default or Event of Default giving effect to the effectiveness of this Amendment; and</w:t>
      </w: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21"/>
          <w:szCs w:val="21"/>
          <w:i w:val="1"/>
          <w:iCs w:val="1"/>
          <w:color w:val="auto"/>
        </w:rPr>
        <w:t>. Governing Law.</w:t>
      </w:r>
      <w:r>
        <w:rPr>
          <w:rFonts w:ascii="Arial" w:cs="Arial" w:eastAsia="Arial" w:hAnsi="Arial"/>
          <w:sz w:val="18"/>
          <w:szCs w:val="18"/>
          <w:color w:val="auto"/>
        </w:rPr>
        <w:t xml:space="preserve"> </w:t>
      </w:r>
      <w:r>
        <w:rPr>
          <w:rFonts w:ascii="Arial" w:cs="Arial" w:eastAsia="Arial" w:hAnsi="Arial"/>
          <w:sz w:val="21"/>
          <w:szCs w:val="21"/>
          <w:color w:val="auto"/>
        </w:rPr>
        <w:t>This Amendment shall be governed by, and construed in accordance with, the laws</w:t>
      </w:r>
      <w:r>
        <w:rPr>
          <w:rFonts w:ascii="Arial" w:cs="Arial" w:eastAsia="Arial" w:hAnsi="Arial"/>
          <w:sz w:val="18"/>
          <w:szCs w:val="18"/>
          <w:color w:val="auto"/>
        </w:rPr>
        <w:t xml:space="preserve"> </w:t>
      </w:r>
      <w:r>
        <w:rPr>
          <w:rFonts w:ascii="Arial" w:cs="Arial" w:eastAsia="Arial" w:hAnsi="Arial"/>
          <w:sz w:val="21"/>
          <w:szCs w:val="21"/>
          <w:color w:val="auto"/>
        </w:rPr>
        <w:t>of the State of New York without regard to the conflicts of law principles thereto and to the extent that such principles would direct a matter to another jurisdiction.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bookmarkStart w:id="46" w:name="page47"/>
    <w:bookmarkEnd w:id="46"/>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as of the date first above written.</w:t>
      </w:r>
    </w:p>
    <w:p>
      <w:pPr>
        <w:spacing w:after="0" w:line="385" w:lineRule="exact"/>
        <w:rPr>
          <w:sz w:val="20"/>
          <w:szCs w:val="20"/>
          <w:color w:val="auto"/>
        </w:rPr>
      </w:pPr>
    </w:p>
    <w:p>
      <w:pPr>
        <w:ind w:left="3380" w:right="1700" w:firstLine="27"/>
        <w:spacing w:after="0" w:line="269" w:lineRule="auto"/>
        <w:rPr>
          <w:sz w:val="20"/>
          <w:szCs w:val="20"/>
          <w:color w:val="auto"/>
        </w:rPr>
      </w:pPr>
      <w:r>
        <w:rPr>
          <w:rFonts w:ascii="Arial" w:cs="Arial" w:eastAsia="Arial" w:hAnsi="Arial"/>
          <w:sz w:val="22"/>
          <w:szCs w:val="22"/>
          <w:b w:val="1"/>
          <w:bCs w:val="1"/>
          <w:color w:val="auto"/>
        </w:rPr>
        <w:t xml:space="preserve">LABORATORY CORPORATION OF AMERICA HOLDINGS, </w:t>
      </w:r>
      <w:r>
        <w:rPr>
          <w:rFonts w:ascii="Arial" w:cs="Arial" w:eastAsia="Arial" w:hAnsi="Arial"/>
          <w:sz w:val="22"/>
          <w:szCs w:val="22"/>
          <w:color w:val="auto"/>
        </w:rPr>
        <w:t>a Delaware corporation</w:t>
      </w:r>
    </w:p>
    <w:p>
      <w:pPr>
        <w:spacing w:after="0" w:line="16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KIMBERLY P. SHALEWITZ</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Kimberly P. Shalewitz</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Vice President, Treasurer</w:t>
      </w:r>
    </w:p>
    <w:p>
      <w:pPr>
        <w:spacing w:after="0" w:line="19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BANK OF AMERICA, N.A.,</w:t>
      </w:r>
    </w:p>
    <w:p>
      <w:pPr>
        <w:spacing w:after="0" w:line="2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as Administrative Agent</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L. CORAH</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Joseph L. Corah</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Director</w:t>
      </w:r>
    </w:p>
    <w:p>
      <w:pPr>
        <w:spacing w:after="0" w:line="196"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THE BANK OF NEW YORK MELLON,</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CLIFFORD A. MULL</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Clifford A. Mull</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First Vice President</w:t>
      </w:r>
    </w:p>
    <w:p>
      <w:pPr>
        <w:spacing w:after="0" w:line="196"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THE BANK OF TOKYO-MITSUBISHI UFJ, LTD.,</w:t>
      </w:r>
    </w:p>
    <w:p>
      <w:pPr>
        <w:spacing w:after="0" w:line="2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JAIME JOHNSON</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Jaime Johnson</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Director</w:t>
      </w:r>
    </w:p>
    <w:p>
      <w:pPr>
        <w:spacing w:after="0" w:line="19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BARCLASYS BANK PLC,</w:t>
      </w:r>
    </w:p>
    <w:p>
      <w:pPr>
        <w:spacing w:after="0" w:line="2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SUTTON</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Marguerite Sutton</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Vice President</w:t>
      </w:r>
    </w:p>
    <w:p>
      <w:pPr>
        <w:spacing w:after="0" w:line="19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BRANCH BANKING &amp; TRUST COMPANY,</w:t>
      </w:r>
    </w:p>
    <w:p>
      <w:pPr>
        <w:spacing w:after="0" w:line="2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By: /</w:t>
      </w:r>
      <w:r>
        <w:rPr>
          <w:rFonts w:ascii="Arial" w:cs="Arial" w:eastAsia="Arial" w:hAnsi="Arial"/>
          <w:sz w:val="22"/>
          <w:szCs w:val="22"/>
          <w:u w:val="single" w:color="auto"/>
          <w:color w:val="auto"/>
        </w:rPr>
        <w:t>s/ KELLY ATTAYEK</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Name: Kelly Attayek</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SIGNATURE PAGE TO AMENDMENT NO. 1</w:t>
      </w:r>
    </w:p>
    <w:p>
      <w:pPr>
        <w:sectPr>
          <w:pgSz w:w="11900" w:h="16838" w:orient="portrait"/>
          <w:cols w:equalWidth="0" w:num="1">
            <w:col w:w="11060"/>
          </w:cols>
          <w:pgMar w:left="240" w:top="591" w:right="599" w:bottom="1440" w:gutter="0" w:footer="0" w:header="0"/>
        </w:sectPr>
      </w:pPr>
    </w:p>
    <w:bookmarkStart w:id="47" w:name="page48"/>
    <w:bookmarkEnd w:id="47"/>
    <w:p>
      <w:pPr>
        <w:ind w:left="2180"/>
        <w:spacing w:after="0"/>
        <w:rPr>
          <w:sz w:val="20"/>
          <w:szCs w:val="20"/>
          <w:color w:val="auto"/>
        </w:rPr>
      </w:pPr>
      <w:r>
        <w:rPr>
          <w:rFonts w:ascii="Arial" w:cs="Arial" w:eastAsia="Arial" w:hAnsi="Arial"/>
          <w:sz w:val="22"/>
          <w:szCs w:val="22"/>
          <w:b w:val="1"/>
          <w:bCs w:val="1"/>
          <w:color w:val="auto"/>
        </w:rPr>
        <w:t>CITIZENS BANK, N.A.,</w:t>
      </w:r>
    </w:p>
    <w:p>
      <w:pPr>
        <w:spacing w:after="0" w:line="2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PRASANNA MANYEM</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Prasanna Manyem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Vice President</w:t>
      </w:r>
    </w:p>
    <w:p>
      <w:pPr>
        <w:spacing w:after="0" w:line="196"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auto"/>
        </w:rPr>
        <w:t>CITY NATIONAL BANK,</w:t>
      </w:r>
    </w:p>
    <w:p>
      <w:pPr>
        <w:spacing w:after="0" w:line="2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jc w:val="right"/>
        <w:ind w:right="4639"/>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JENIFER VELEZ</w:t>
      </w:r>
    </w:p>
    <w:p>
      <w:pPr>
        <w:spacing w:after="0" w:line="22" w:lineRule="exact"/>
        <w:rPr>
          <w:sz w:val="20"/>
          <w:szCs w:val="20"/>
          <w:color w:val="auto"/>
        </w:rPr>
      </w:pPr>
    </w:p>
    <w:p>
      <w:pPr>
        <w:jc w:val="right"/>
        <w:ind w:right="4659"/>
        <w:spacing w:after="0"/>
        <w:rPr>
          <w:sz w:val="20"/>
          <w:szCs w:val="20"/>
          <w:color w:val="auto"/>
        </w:rPr>
      </w:pPr>
      <w:r>
        <w:rPr>
          <w:rFonts w:ascii="Arial" w:cs="Arial" w:eastAsia="Arial" w:hAnsi="Arial"/>
          <w:sz w:val="22"/>
          <w:szCs w:val="22"/>
          <w:color w:val="auto"/>
        </w:rPr>
        <w:t>Name: Jenifer Velez</w:t>
      </w:r>
    </w:p>
    <w:p>
      <w:pPr>
        <w:spacing w:after="0" w:line="4" w:lineRule="exact"/>
        <w:rPr>
          <w:sz w:val="20"/>
          <w:szCs w:val="20"/>
          <w:color w:val="auto"/>
        </w:rPr>
      </w:pPr>
    </w:p>
    <w:p>
      <w:pPr>
        <w:jc w:val="right"/>
        <w:ind w:right="4639"/>
        <w:spacing w:after="0"/>
        <w:rPr>
          <w:sz w:val="20"/>
          <w:szCs w:val="20"/>
          <w:color w:val="auto"/>
        </w:rPr>
      </w:pPr>
      <w:r>
        <w:rPr>
          <w:rFonts w:ascii="Arial" w:cs="Arial" w:eastAsia="Arial" w:hAnsi="Arial"/>
          <w:sz w:val="22"/>
          <w:szCs w:val="22"/>
          <w:color w:val="auto"/>
        </w:rPr>
        <w:t>Title: Vice President</w:t>
      </w:r>
    </w:p>
    <w:p>
      <w:pPr>
        <w:spacing w:after="0" w:line="196" w:lineRule="exact"/>
        <w:rPr>
          <w:sz w:val="20"/>
          <w:szCs w:val="20"/>
          <w:color w:val="auto"/>
        </w:rPr>
      </w:pPr>
    </w:p>
    <w:p>
      <w:pPr>
        <w:ind w:left="2180" w:right="559" w:firstLine="27"/>
        <w:spacing w:after="0" w:line="269" w:lineRule="auto"/>
        <w:rPr>
          <w:sz w:val="20"/>
          <w:szCs w:val="20"/>
          <w:color w:val="auto"/>
        </w:rPr>
      </w:pPr>
      <w:r>
        <w:rPr>
          <w:rFonts w:ascii="Arial" w:cs="Arial" w:eastAsia="Arial" w:hAnsi="Arial"/>
          <w:sz w:val="22"/>
          <w:szCs w:val="22"/>
          <w:b w:val="1"/>
          <w:bCs w:val="1"/>
          <w:color w:val="auto"/>
        </w:rPr>
        <w:t xml:space="preserve">CREDIT AGRICOLE CORPORATE AND INVESTMENT BANK, </w:t>
      </w:r>
      <w:r>
        <w:rPr>
          <w:rFonts w:ascii="Arial" w:cs="Arial" w:eastAsia="Arial" w:hAnsi="Arial"/>
          <w:sz w:val="22"/>
          <w:szCs w:val="22"/>
          <w:color w:val="auto"/>
        </w:rPr>
        <w:t>as Lender</w:t>
      </w:r>
    </w:p>
    <w:p>
      <w:pPr>
        <w:spacing w:after="0" w:line="16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RANDOLPH</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Thomas Randolph</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Managing Director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KONEVAL</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Mark Koneval</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Managing Director</w:t>
      </w:r>
    </w:p>
    <w:p>
      <w:pPr>
        <w:spacing w:after="0" w:line="196"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auto"/>
        </w:rPr>
        <w:t>FIFTH THIRD BANK,</w:t>
      </w:r>
    </w:p>
    <w:p>
      <w:pPr>
        <w:spacing w:after="0" w:line="2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McCHESNEY</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John McChesney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Officer</w:t>
      </w:r>
    </w:p>
    <w:p>
      <w:pPr>
        <w:spacing w:after="0" w:line="196"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auto"/>
        </w:rPr>
        <w:t>KEYBANK NATIONAL ASSOCIATION,</w:t>
      </w:r>
    </w:p>
    <w:p>
      <w:pPr>
        <w:spacing w:after="0" w:line="2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WILD</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David A. Wild</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Senior Vice President</w:t>
      </w:r>
    </w:p>
    <w:p>
      <w:pPr>
        <w:spacing w:after="0" w:line="196"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auto"/>
        </w:rPr>
        <w:t>NORTHER TURST COMPANY,</w:t>
      </w:r>
    </w:p>
    <w:p>
      <w:pPr>
        <w:spacing w:after="0" w:line="2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CANTY</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John Canty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SIGNATURE PAGE TO AMENDMENT NO. 1</w:t>
      </w:r>
    </w:p>
    <w:p>
      <w:pPr>
        <w:sectPr>
          <w:pgSz w:w="11900" w:h="16838" w:orient="portrait"/>
          <w:cols w:equalWidth="0" w:num="1">
            <w:col w:w="9019"/>
          </w:cols>
          <w:pgMar w:left="1440" w:top="585" w:right="1440" w:bottom="1440" w:gutter="0" w:footer="0" w:header="0"/>
        </w:sectPr>
      </w:pPr>
    </w:p>
    <w:bookmarkStart w:id="48" w:name="page49"/>
    <w:bookmarkEnd w:id="48"/>
    <w:p>
      <w:pPr>
        <w:ind w:left="2200" w:right="1619" w:firstLine="14"/>
        <w:spacing w:after="0" w:line="269" w:lineRule="auto"/>
        <w:rPr>
          <w:sz w:val="20"/>
          <w:szCs w:val="20"/>
          <w:color w:val="auto"/>
        </w:rPr>
      </w:pPr>
      <w:r>
        <w:rPr>
          <w:rFonts w:ascii="Arial" w:cs="Arial" w:eastAsia="Arial" w:hAnsi="Arial"/>
          <w:sz w:val="22"/>
          <w:szCs w:val="22"/>
          <w:b w:val="1"/>
          <w:bCs w:val="1"/>
          <w:color w:val="auto"/>
        </w:rPr>
        <w:t xml:space="preserve">PNC BANK, NATIONAL, NATIONAL ASSOCIATION </w:t>
      </w:r>
      <w:r>
        <w:rPr>
          <w:rFonts w:ascii="Arial" w:cs="Arial" w:eastAsia="Arial" w:hAnsi="Arial"/>
          <w:sz w:val="22"/>
          <w:szCs w:val="22"/>
          <w:color w:val="auto"/>
        </w:rPr>
        <w:t>as Lender</w:t>
      </w:r>
    </w:p>
    <w:p>
      <w:pPr>
        <w:spacing w:after="0" w:line="16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MATTHEW O. BURGE</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Matthew O. Burge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Vice President</w:t>
      </w:r>
    </w:p>
    <w:p>
      <w:pPr>
        <w:spacing w:after="0" w:line="196"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SUNTRUST BANK,</w:t>
      </w:r>
    </w:p>
    <w:p>
      <w:pPr>
        <w:spacing w:after="0" w:line="28"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MARY K. LUNDIN</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Mary K. Lundin</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Vice President</w:t>
      </w:r>
    </w:p>
    <w:p>
      <w:pPr>
        <w:spacing w:after="0" w:line="196"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auto"/>
        </w:rPr>
        <w:t>TD BANK N.A.,</w:t>
      </w:r>
    </w:p>
    <w:p>
      <w:pPr>
        <w:spacing w:after="0" w:line="28"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SHREYA SHAH</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Shreya Shah</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Senior Vice President</w:t>
      </w:r>
    </w:p>
    <w:p>
      <w:pPr>
        <w:spacing w:after="0" w:line="196"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U.S. BANK NATIONAL ASSOCIATION,</w:t>
      </w:r>
    </w:p>
    <w:p>
      <w:pPr>
        <w:spacing w:after="0" w:line="28"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RYAN M. BLACK</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Ryan M. Black</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Officer</w:t>
      </w:r>
    </w:p>
    <w:p>
      <w:pPr>
        <w:spacing w:after="0" w:line="200" w:lineRule="exact"/>
        <w:rPr>
          <w:sz w:val="20"/>
          <w:szCs w:val="20"/>
          <w:color w:val="auto"/>
        </w:rPr>
      </w:pPr>
    </w:p>
    <w:p>
      <w:pPr>
        <w:spacing w:after="0" w:line="252"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auto"/>
        </w:rPr>
        <w:t>WELLS FARGO BANK, N.A.,</w:t>
      </w:r>
    </w:p>
    <w:p>
      <w:pPr>
        <w:spacing w:after="0" w:line="28"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as Lender</w:t>
      </w:r>
    </w:p>
    <w:p>
      <w:pPr>
        <w:spacing w:after="0" w:line="202"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DARIN MULLIS</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Darin Mullis</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SIGNATURE PAGE TO AMENDMENT NO. 1</w:t>
      </w:r>
    </w:p>
    <w:p>
      <w:pPr>
        <w:sectPr>
          <w:pgSz w:w="11900" w:h="16838" w:orient="portrait"/>
          <w:cols w:equalWidth="0" w:num="1">
            <w:col w:w="9019"/>
          </w:cols>
          <w:pgMar w:left="1440" w:top="585" w:right="1440" w:bottom="1440" w:gutter="0" w:footer="0" w:header="0"/>
        </w:sectPr>
      </w:pPr>
    </w:p>
    <w:bookmarkStart w:id="49" w:name="page50"/>
    <w:bookmarkEnd w:id="49"/>
    <w:p>
      <w:pPr>
        <w:ind w:left="9560"/>
        <w:spacing w:after="0"/>
        <w:rPr>
          <w:sz w:val="20"/>
          <w:szCs w:val="20"/>
          <w:color w:val="auto"/>
        </w:rPr>
      </w:pPr>
      <w:r>
        <w:rPr>
          <w:rFonts w:ascii="Arial" w:cs="Arial" w:eastAsia="Arial" w:hAnsi="Arial"/>
          <w:sz w:val="16"/>
          <w:szCs w:val="16"/>
          <w:b w:val="1"/>
          <w:bCs w:val="1"/>
          <w:color w:val="auto"/>
        </w:rPr>
        <w:t>EXHIBIT 12.1</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STATEMENT OF COMPUTATION OF RATIOS OF EARNINGS TO FIXED CHARGES</w:t>
      </w: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(dollars in millions, except ratio information)</w:t>
      </w:r>
    </w:p>
    <w:p>
      <w:pPr>
        <w:spacing w:after="0" w:line="343"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Nine Months</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8"/>
          </w:tcPr>
          <w:p>
            <w:pPr>
              <w:ind w:left="300"/>
              <w:spacing w:after="0"/>
              <w:rPr>
                <w:sz w:val="20"/>
                <w:szCs w:val="20"/>
                <w:color w:val="auto"/>
              </w:rPr>
            </w:pPr>
            <w:r>
              <w:rPr>
                <w:rFonts w:ascii="Arial" w:cs="Arial" w:eastAsia="Arial" w:hAnsi="Arial"/>
                <w:sz w:val="16"/>
                <w:szCs w:val="16"/>
                <w:b w:val="1"/>
                <w:bCs w:val="1"/>
                <w:color w:val="auto"/>
              </w:rPr>
              <w:t>Fiscal Years Ended December 31,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w w:val="98"/>
              </w:rPr>
              <w:t>Income from continuing operations before income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866.1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944.2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826.7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Equity in the income of investees</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Cash distributions received from equity investees</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829.3</w:t>
            </w:r>
          </w:p>
        </w:tc>
        <w:tc>
          <w:tcPr>
            <w:tcW w:w="0" w:type="dxa"/>
            <w:vAlign w:val="bottom"/>
          </w:tcPr>
          <w:p>
            <w:pPr>
              <w:spacing w:after="0"/>
              <w:rPr>
                <w:sz w:val="1"/>
                <w:szCs w:val="1"/>
                <w:color w:val="auto"/>
              </w:rPr>
            </w:pPr>
          </w:p>
        </w:tc>
      </w:tr>
      <w:tr>
        <w:trPr>
          <w:trHeight w:val="554"/>
        </w:trPr>
        <w:tc>
          <w:tcPr>
            <w:tcW w:w="4180" w:type="dxa"/>
            <w:vAlign w:val="bottom"/>
          </w:tcPr>
          <w:p>
            <w:pPr>
              <w:spacing w:after="0"/>
              <w:rPr>
                <w:sz w:val="20"/>
                <w:szCs w:val="20"/>
                <w:color w:val="auto"/>
              </w:rPr>
            </w:pPr>
            <w:r>
              <w:rPr>
                <w:rFonts w:ascii="Arial" w:cs="Arial" w:eastAsia="Arial" w:hAnsi="Arial"/>
                <w:sz w:val="18"/>
                <w:szCs w:val="18"/>
                <w:color w:val="auto"/>
              </w:rPr>
              <w:t>Fixed Charges: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20"/>
              <w:spacing w:after="0"/>
              <w:rPr>
                <w:sz w:val="20"/>
                <w:szCs w:val="20"/>
                <w:color w:val="auto"/>
              </w:rPr>
            </w:pPr>
            <w:r>
              <w:rPr>
                <w:rFonts w:ascii="Arial" w:cs="Arial" w:eastAsia="Arial" w:hAnsi="Arial"/>
                <w:sz w:val="18"/>
                <w:szCs w:val="18"/>
                <w:color w:val="auto"/>
              </w:rPr>
              <w:t>Interest on long-term and short-term debt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including amortization of debt expense</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554"/>
        </w:trPr>
        <w:tc>
          <w:tcPr>
            <w:tcW w:w="4180" w:type="dxa"/>
            <w:vAlign w:val="bottom"/>
          </w:tcPr>
          <w:p>
            <w:pPr>
              <w:ind w:left="120"/>
              <w:spacing w:after="0"/>
              <w:rPr>
                <w:sz w:val="20"/>
                <w:szCs w:val="20"/>
                <w:color w:val="auto"/>
              </w:rPr>
            </w:pPr>
            <w:r>
              <w:rPr>
                <w:rFonts w:ascii="Arial" w:cs="Arial" w:eastAsia="Arial" w:hAnsi="Arial"/>
                <w:sz w:val="18"/>
                <w:szCs w:val="18"/>
                <w:color w:val="auto"/>
              </w:rPr>
              <w:t>Portion of rental expense as can be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demonstrated to be representative</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of the interest factor (a)</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18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2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color w:val="auto"/>
              </w:rPr>
              <w:t>Earnings before income taxes and</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20"/>
              <w:spacing w:after="0"/>
              <w:rPr>
                <w:sz w:val="20"/>
                <w:szCs w:val="20"/>
                <w:color w:val="auto"/>
              </w:rPr>
            </w:pPr>
            <w:r>
              <w:rPr>
                <w:rFonts w:ascii="Arial" w:cs="Arial" w:eastAsia="Arial" w:hAnsi="Arial"/>
                <w:sz w:val="18"/>
                <w:szCs w:val="18"/>
                <w:color w:val="auto"/>
              </w:rPr>
              <w:t>fixed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1,028.4</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1,086.5</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1,010.1</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1,069.8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41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 Rental expense for the period ended December 31, 2015 has been revised.</w:t>
      </w:r>
    </w:p>
    <w:p>
      <w:pPr>
        <w:sectPr>
          <w:pgSz w:w="11900" w:h="16838" w:orient="portrait"/>
          <w:cols w:equalWidth="0" w:num="1">
            <w:col w:w="11320"/>
          </w:cols>
          <w:pgMar w:left="240" w:top="76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6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8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 w:hanging="10"/>
        <w:spacing w:after="0" w:line="277" w:lineRule="auto"/>
        <w:tabs>
          <w:tab w:leader="none" w:pos="376"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80" w:hanging="10"/>
        <w:spacing w:after="0" w:line="264" w:lineRule="auto"/>
        <w:tabs>
          <w:tab w:leader="none" w:pos="39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80" w:hanging="10"/>
        <w:spacing w:after="0" w:line="277" w:lineRule="auto"/>
        <w:tabs>
          <w:tab w:leader="none" w:pos="3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80" w:hanging="10"/>
        <w:spacing w:after="0" w:line="277" w:lineRule="auto"/>
        <w:tabs>
          <w:tab w:leader="none" w:pos="3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28, 2016</w:t>
      </w:r>
    </w:p>
    <w:p>
      <w:pPr>
        <w:spacing w:after="0" w:line="63"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8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 w:hanging="10"/>
        <w:spacing w:after="0" w:line="277" w:lineRule="auto"/>
        <w:tabs>
          <w:tab w:leader="none" w:pos="376"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80" w:hanging="10"/>
        <w:spacing w:after="0" w:line="264" w:lineRule="auto"/>
        <w:tabs>
          <w:tab w:leader="none" w:pos="3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80" w:hanging="10"/>
        <w:spacing w:after="0" w:line="277" w:lineRule="auto"/>
        <w:tabs>
          <w:tab w:leader="none" w:pos="3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80" w:hanging="10"/>
        <w:spacing w:after="0" w:line="277" w:lineRule="auto"/>
        <w:tabs>
          <w:tab w:leader="none" w:pos="3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28, 2016</w:t>
      </w:r>
    </w:p>
    <w:p>
      <w:pPr>
        <w:spacing w:after="0" w:line="63"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Exhibit 32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170" w:lineRule="exact"/>
        <w:rPr>
          <w:sz w:val="20"/>
          <w:szCs w:val="20"/>
          <w:color w:val="auto"/>
        </w:rPr>
      </w:pPr>
    </w:p>
    <w:p>
      <w:pPr>
        <w:ind w:firstLine="8"/>
        <w:spacing w:after="0" w:line="277" w:lineRule="auto"/>
        <w:tabs>
          <w:tab w:leader="none" w:pos="2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10-Q of the Company for the Period Ended September 30, 2016 filed on the date hereof with the Securities and Exchange Commission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October 28,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1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October 28, 2016</w:t>
      </w:r>
    </w:p>
    <w:p>
      <w:pPr>
        <w:sectPr>
          <w:pgSz w:w="11900" w:h="16838" w:orient="portrait"/>
          <w:cols w:equalWidth="0" w:num="1">
            <w:col w:w="11420"/>
          </w:cols>
          <w:pgMar w:left="240" w:top="580" w:right="239" w:bottom="1440" w:gutter="0" w:footer="0" w:header="0"/>
        </w:sectPr>
      </w:pPr>
    </w:p>
    <w:bookmarkStart w:id="53" w:name="page54"/>
    <w:bookmarkEnd w:id="53"/>
    <w:p>
      <w:pPr>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380"/>
      </w:cols>
      <w:pgMar w:left="240" w:top="5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1"/>
    </w:lvl>
    <w:lvl w:ilvl="1">
      <w:lvlJc w:val="left"/>
      <w:lvlText w:val="(%2)"/>
      <w:numFmt w:val="lowerLetter"/>
      <w:start w:val="1"/>
    </w:lvl>
  </w:abstractNum>
  <w:abstractNum w:abstractNumId="9">
    <w:nsid w:val="431BD7B7"/>
    <w:multiLevelType w:val="hybridMultilevel"/>
    <w:lvl w:ilvl="0">
      <w:lvlJc w:val="left"/>
      <w:lvlText w:val="%1."/>
      <w:numFmt w:val="decimal"/>
      <w:start w:val="8"/>
    </w:lvl>
    <w:lvl w:ilvl="1">
      <w:lvlJc w:val="left"/>
      <w:lvlText w:val="%2"/>
      <w:numFmt w:val="lowerLetter"/>
      <w:start w:val="1"/>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1."/>
      <w:numFmt w:val="decimal"/>
      <w:start w:val="37"/>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3"/>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2019-12-29T09:24:37Z</dcterms:created>
  <dcterms:modified xsi:type="dcterms:W3CDTF">2019-12-29T09:24:37Z</dcterms:modified>
</cp:coreProperties>
</file>