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486410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443230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4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Annual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December 31,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84"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Transition report pursuant to Section 13 or 15(d) of the Securities Exchange Act of 1934</w:t>
      </w:r>
    </w:p>
    <w:p>
      <w:pPr>
        <w:spacing w:after="0" w:line="15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transition period from ______ to 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- 1-11353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LABORATORY CORPORATION OF AMERICA HOLDINGS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3240" w:type="dxa"/>
            <w:vAlign w:val="bottom"/>
            <w:gridSpan w:val="3"/>
          </w:tcPr>
          <w:p>
            <w:pPr>
              <w:jc w:val="center"/>
              <w:ind w:right="248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13-3757370</w:t>
            </w:r>
          </w:p>
        </w:tc>
        <w:tc>
          <w:tcPr>
            <w:tcW w:w="20" w:type="dxa"/>
            <w:vAlign w:val="bottom"/>
          </w:tcPr>
          <w:p>
            <w:pPr>
              <w:spacing w:after="0"/>
              <w:rPr>
                <w:sz w:val="20"/>
                <w:szCs w:val="20"/>
                <w:color w:val="auto"/>
              </w:rPr>
            </w:pPr>
          </w:p>
        </w:tc>
      </w:tr>
      <w:tr>
        <w:trPr>
          <w:trHeight w:val="230"/>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345"/>
        </w:trPr>
        <w:tc>
          <w:tcPr>
            <w:tcW w:w="56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358 South Main Street</w:t>
            </w:r>
          </w:p>
        </w:tc>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2380" w:type="dxa"/>
            <w:vAlign w:val="bottom"/>
          </w:tcPr>
          <w:p>
            <w:pPr>
              <w:ind w:left="940"/>
              <w:spacing w:after="0"/>
              <w:rPr>
                <w:sz w:val="20"/>
                <w:szCs w:val="20"/>
                <w:color w:val="auto"/>
              </w:rPr>
            </w:pPr>
            <w:r>
              <w:rPr>
                <w:rFonts w:ascii="Arial" w:cs="Arial" w:eastAsia="Arial" w:hAnsi="Arial"/>
                <w:sz w:val="18"/>
                <w:szCs w:val="18"/>
                <w:b w:val="1"/>
                <w:bCs w:val="1"/>
                <w:color w:val="auto"/>
              </w:rPr>
              <w:t>Burlington,</w:t>
            </w:r>
          </w:p>
        </w:tc>
        <w:tc>
          <w:tcPr>
            <w:tcW w:w="3240" w:type="dxa"/>
            <w:vAlign w:val="bottom"/>
            <w:gridSpan w:val="3"/>
          </w:tcPr>
          <w:p>
            <w:pPr>
              <w:ind w:left="1180"/>
              <w:spacing w:after="0"/>
              <w:rPr>
                <w:sz w:val="20"/>
                <w:szCs w:val="20"/>
                <w:color w:val="auto"/>
              </w:rPr>
            </w:pPr>
            <w:r>
              <w:rPr>
                <w:rFonts w:ascii="Arial" w:cs="Arial" w:eastAsia="Arial" w:hAnsi="Arial"/>
                <w:sz w:val="18"/>
                <w:szCs w:val="18"/>
                <w:b w:val="1"/>
                <w:bCs w:val="1"/>
                <w:color w:val="auto"/>
              </w:rPr>
              <w:t>North Carolina</w:t>
            </w:r>
          </w:p>
        </w:tc>
        <w:tc>
          <w:tcPr>
            <w:tcW w:w="5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27215</w:t>
            </w:r>
          </w:p>
        </w:tc>
        <w:tc>
          <w:tcPr>
            <w:tcW w:w="20" w:type="dxa"/>
            <w:vAlign w:val="bottom"/>
          </w:tcPr>
          <w:p>
            <w:pPr>
              <w:spacing w:after="0"/>
              <w:rPr>
                <w:sz w:val="20"/>
                <w:szCs w:val="20"/>
                <w:color w:val="auto"/>
              </w:rPr>
            </w:pPr>
          </w:p>
        </w:tc>
      </w:tr>
      <w:tr>
        <w:trPr>
          <w:trHeight w:val="230"/>
        </w:trPr>
        <w:tc>
          <w:tcPr>
            <w:tcW w:w="5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c>
          <w:tcPr>
            <w:tcW w:w="20" w:type="dxa"/>
            <w:vAlign w:val="bottom"/>
            <w:tcBorders>
              <w:top w:val="single" w:sz="8" w:color="auto"/>
            </w:tcBorders>
          </w:tcPr>
          <w:p>
            <w:pPr>
              <w:spacing w:after="0"/>
              <w:rPr>
                <w:sz w:val="20"/>
                <w:szCs w:val="20"/>
                <w:color w:val="auto"/>
              </w:rPr>
            </w:pPr>
          </w:p>
        </w:tc>
      </w:tr>
      <w:tr>
        <w:trPr>
          <w:trHeight w:val="296"/>
        </w:trPr>
        <w:tc>
          <w:tcPr>
            <w:tcW w:w="2380" w:type="dxa"/>
            <w:vAlign w:val="bottom"/>
          </w:tcPr>
          <w:p>
            <w:pPr>
              <w:spacing w:after="0"/>
              <w:rPr>
                <w:sz w:val="24"/>
                <w:szCs w:val="24"/>
                <w:color w:val="auto"/>
              </w:rPr>
            </w:pPr>
          </w:p>
        </w:tc>
        <w:tc>
          <w:tcPr>
            <w:tcW w:w="8820" w:type="dxa"/>
            <w:vAlign w:val="bottom"/>
            <w:gridSpan w:val="5"/>
          </w:tcPr>
          <w:p>
            <w:pPr>
              <w:ind w:left="8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336-229-1127</w:t>
            </w:r>
          </w:p>
        </w:tc>
        <w:tc>
          <w:tcPr>
            <w:tcW w:w="20" w:type="dxa"/>
            <w:vAlign w:val="bottom"/>
          </w:tcPr>
          <w:p>
            <w:pPr>
              <w:spacing w:after="0"/>
              <w:rPr>
                <w:sz w:val="24"/>
                <w:szCs w:val="24"/>
                <w:color w:val="auto"/>
              </w:rPr>
            </w:pPr>
          </w:p>
        </w:tc>
      </w:tr>
      <w:tr>
        <w:trPr>
          <w:trHeight w:val="459"/>
        </w:trPr>
        <w:tc>
          <w:tcPr>
            <w:tcW w:w="56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3240" w:type="dxa"/>
            <w:vAlign w:val="bottom"/>
            <w:tcBorders>
              <w:bottom w:val="single" w:sz="8" w:color="auto"/>
            </w:tcBorders>
            <w:gridSpan w:val="3"/>
          </w:tcPr>
          <w:p>
            <w:pPr>
              <w:ind w:left="2020"/>
              <w:spacing w:after="0"/>
              <w:rPr>
                <w:sz w:val="20"/>
                <w:szCs w:val="20"/>
                <w:color w:val="auto"/>
              </w:rPr>
            </w:pPr>
            <w:r>
              <w:rPr>
                <w:rFonts w:ascii="Arial" w:cs="Arial" w:eastAsia="Arial" w:hAnsi="Arial"/>
                <w:sz w:val="18"/>
                <w:szCs w:val="18"/>
                <w:color w:val="auto"/>
                <w:w w:val="95"/>
              </w:rPr>
              <w:t>Trading Symbol</w:t>
            </w:r>
          </w:p>
        </w:tc>
        <w:tc>
          <w:tcPr>
            <w:tcW w:w="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Name of exchange on which registered</w:t>
            </w:r>
          </w:p>
        </w:tc>
        <w:tc>
          <w:tcPr>
            <w:tcW w:w="20" w:type="dxa"/>
            <w:vAlign w:val="bottom"/>
            <w:tcBorders>
              <w:bottom w:val="single" w:sz="8" w:color="auto"/>
            </w:tcBorders>
          </w:tcPr>
          <w:p>
            <w:pPr>
              <w:spacing w:after="0"/>
              <w:rPr>
                <w:sz w:val="24"/>
                <w:szCs w:val="24"/>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w w:val="90"/>
              </w:rPr>
              <w:t>Common Stock, $0.10 par value</w:t>
            </w:r>
          </w:p>
        </w:tc>
        <w:tc>
          <w:tcPr>
            <w:tcW w:w="3240" w:type="dxa"/>
            <w:vAlign w:val="bottom"/>
            <w:gridSpan w:val="3"/>
          </w:tcPr>
          <w:p>
            <w:pPr>
              <w:ind w:left="2020"/>
              <w:spacing w:after="0"/>
              <w:rPr>
                <w:sz w:val="20"/>
                <w:szCs w:val="20"/>
                <w:color w:val="auto"/>
              </w:rPr>
            </w:pPr>
            <w:r>
              <w:rPr>
                <w:rFonts w:ascii="Arial" w:cs="Arial" w:eastAsia="Arial" w:hAnsi="Arial"/>
                <w:sz w:val="18"/>
                <w:szCs w:val="18"/>
                <w:color w:val="auto"/>
              </w:rPr>
              <w:t>LH</w:t>
            </w:r>
          </w:p>
        </w:tc>
        <w:tc>
          <w:tcPr>
            <w:tcW w:w="4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Pr>
          <w:p>
            <w:pPr>
              <w:spacing w:after="0"/>
              <w:rPr>
                <w:sz w:val="20"/>
                <w:szCs w:val="20"/>
                <w:color w:val="auto"/>
              </w:rPr>
            </w:pPr>
          </w:p>
        </w:tc>
      </w:tr>
      <w:tr>
        <w:trPr>
          <w:trHeight w:val="310"/>
        </w:trPr>
        <w:tc>
          <w:tcPr>
            <w:tcW w:w="56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[X] No [ ].</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 ] No [X].</w:t>
      </w:r>
    </w:p>
    <w:p>
      <w:pPr>
        <w:spacing w:after="0" w:line="25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 ].</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3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0" w:lineRule="exact"/>
        <w:rPr>
          <w:sz w:val="24"/>
          <w:szCs w:val="24"/>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07" w:lineRule="exact"/>
        <w:tabs>
          <w:tab w:leader="none" w:pos="2200" w:val="left"/>
        </w:tabs>
        <w:rPr>
          <w:sz w:val="20"/>
          <w:szCs w:val="20"/>
          <w:color w:val="auto"/>
        </w:rPr>
      </w:pPr>
      <w:r>
        <w:rPr>
          <w:rFonts w:ascii="Arial" w:cs="Arial" w:eastAsia="Arial" w:hAnsi="Arial"/>
          <w:sz w:val="18"/>
          <w:szCs w:val="18"/>
          <w:color w:val="auto"/>
        </w:rPr>
        <w:t>issued its audit report.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 ].</w:t>
      </w:r>
    </w:p>
    <w:p>
      <w:pPr>
        <w:spacing w:after="0" w:line="21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No [X].</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the aggregate market value of the common stock held by non-affiliates of the registrant was approximately $15.2 billion, based on the closing price on such date of the registrant’s common stock on the New York Stock Exchange.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97.6 million shares as of February 24, 2021.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List hereunder the following documents if incorporated by reference and the Part of the Form 10-K into which the document is incorporated:</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Portions of the Registrant’s Notice of Annual Meeting and Proxy Statement to be filed no later than 120 days following December 31, 2020,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tc>
        <w:tc>
          <w:tcPr>
            <w:tcW w:w="4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729"/>
        </w:trPr>
        <w:tc>
          <w:tcPr>
            <w:tcW w:w="10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spacing w:after="0"/>
              <w:rPr>
                <w:sz w:val="24"/>
                <w:szCs w:val="24"/>
                <w:color w:val="auto"/>
              </w:rPr>
            </w:pPr>
          </w:p>
        </w:tc>
      </w:tr>
      <w:tr>
        <w:trPr>
          <w:trHeight w:val="378"/>
        </w:trPr>
        <w:tc>
          <w:tcPr>
            <w:tcW w:w="10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454"/>
        </w:trPr>
        <w:tc>
          <w:tcPr>
            <w:tcW w:w="1060" w:type="dxa"/>
            <w:vAlign w:val="bottom"/>
          </w:tcPr>
          <w:p>
            <w:pPr>
              <w:spacing w:after="0"/>
              <w:rPr>
                <w:sz w:val="24"/>
                <w:szCs w:val="24"/>
                <w:color w:val="auto"/>
              </w:rPr>
            </w:pP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Summary of Material Risks</w:t>
              </w:r>
            </w:hyperlink>
          </w:p>
        </w:tc>
        <w:tc>
          <w:tcPr>
            <w:tcW w:w="112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4</w:t>
              </w:r>
            </w:hyperlink>
          </w:p>
        </w:tc>
      </w:tr>
      <w:tr>
        <w:trPr>
          <w:trHeight w:val="234"/>
        </w:trPr>
        <w:tc>
          <w:tcPr>
            <w:tcW w:w="10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700" w:type="dxa"/>
            <w:vAlign w:val="bottom"/>
            <w:gridSpan w:val="2"/>
          </w:tcPr>
          <w:p>
            <w:pPr>
              <w:jc w:val="center"/>
              <w:ind w:right="3960"/>
              <w:spacing w:after="0"/>
              <w:rPr>
                <w:rFonts w:ascii="Arial" w:cs="Arial" w:eastAsia="Arial" w:hAnsi="Arial"/>
                <w:sz w:val="18"/>
                <w:szCs w:val="18"/>
                <w:b w:val="1"/>
                <w:bCs w:val="1"/>
                <w:u w:val="single" w:color="auto"/>
                <w:color w:val="0000FF"/>
              </w:rPr>
            </w:pPr>
            <w:hyperlink w:anchor="page8">
              <w:r>
                <w:rPr>
                  <w:rFonts w:ascii="Arial" w:cs="Arial" w:eastAsia="Arial" w:hAnsi="Arial"/>
                  <w:sz w:val="18"/>
                  <w:szCs w:val="18"/>
                  <w:b w:val="1"/>
                  <w:bCs w:val="1"/>
                  <w:u w:val="single" w:color="auto"/>
                  <w:color w:val="0000FF"/>
                </w:rPr>
                <w:t>Part I</w:t>
              </w:r>
            </w:hyperlink>
          </w:p>
        </w:tc>
        <w:tc>
          <w:tcPr>
            <w:tcW w:w="1120" w:type="dxa"/>
            <w:vAlign w:val="bottom"/>
          </w:tcPr>
          <w:p>
            <w:pPr>
              <w:spacing w:after="0"/>
              <w:rPr>
                <w:sz w:val="20"/>
                <w:szCs w:val="20"/>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1.</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Business</w:t>
              </w:r>
            </w:hyperlink>
          </w:p>
        </w:tc>
        <w:tc>
          <w:tcPr>
            <w:tcW w:w="1120" w:type="dxa"/>
            <w:vAlign w:val="bottom"/>
          </w:tcPr>
          <w:p>
            <w:pPr>
              <w:jc w:val="center"/>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9</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1A.</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Risk Factors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30</w:t>
              </w:r>
            </w:hyperlink>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1B.</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Unresolved Staff Comments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Properties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46</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3.</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Legal Proceedings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47</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4.</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Mine Safety Disclosures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47</w:t>
              </w:r>
            </w:hyperlink>
          </w:p>
        </w:tc>
      </w:tr>
      <w:tr>
        <w:trPr>
          <w:trHeight w:val="458"/>
        </w:trPr>
        <w:tc>
          <w:tcPr>
            <w:tcW w:w="10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700" w:type="dxa"/>
            <w:vAlign w:val="bottom"/>
            <w:gridSpan w:val="2"/>
          </w:tcPr>
          <w:p>
            <w:pPr>
              <w:jc w:val="center"/>
              <w:ind w:right="3980"/>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Part II</w:t>
              </w:r>
            </w:hyperlink>
          </w:p>
        </w:tc>
        <w:tc>
          <w:tcPr>
            <w:tcW w:w="1120" w:type="dxa"/>
            <w:vAlign w:val="bottom"/>
          </w:tcPr>
          <w:p>
            <w:pPr>
              <w:spacing w:after="0"/>
              <w:rPr>
                <w:sz w:val="24"/>
                <w:szCs w:val="24"/>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5.</w:t>
            </w:r>
          </w:p>
        </w:tc>
        <w:tc>
          <w:tcPr>
            <w:tcW w:w="9040" w:type="dxa"/>
            <w:vAlign w:val="bottom"/>
            <w:gridSpan w:val="3"/>
          </w:tcPr>
          <w:p>
            <w:pPr>
              <w:ind w:left="380"/>
              <w:spacing w:after="0"/>
              <w:rPr>
                <w:rFonts w:ascii="Arial" w:cs="Arial" w:eastAsia="Arial" w:hAnsi="Arial"/>
                <w:sz w:val="18"/>
                <w:szCs w:val="18"/>
                <w:u w:val="single" w:color="auto"/>
                <w:color w:val="0000FF"/>
                <w:w w:val="96"/>
              </w:rPr>
            </w:pPr>
            <w:hyperlink w:anchor="page48">
              <w:r>
                <w:rPr>
                  <w:rFonts w:ascii="Arial" w:cs="Arial" w:eastAsia="Arial" w:hAnsi="Arial"/>
                  <w:sz w:val="18"/>
                  <w:szCs w:val="18"/>
                  <w:u w:val="single" w:color="auto"/>
                  <w:color w:val="0000FF"/>
                  <w:w w:val="96"/>
                </w:rPr>
                <w:t>Market for Registrant's Common Equity, Related Stockholder Matters, and Issuer Purchases of Equity Securities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48</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6.</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Selected Financial Data</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49</w:t>
              </w:r>
            </w:hyperlink>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7.</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Management's Discussion and Analysis of Financial Condition and Results of Operations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49</w:t>
              </w:r>
            </w:hyperlink>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7A.</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Quantitative and Qualitative Disclosures About Market Risk</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62</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8.</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Financial Statements and Supplementary Data</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63</w:t>
              </w:r>
            </w:hyperlink>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9.</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Changes in and Disagreements with Accountants on Accounting and Financial Disclosure</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63</w:t>
              </w:r>
            </w:hyperlink>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9A.</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Controls and Procedures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63</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9B.</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Other Information</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r>
      <w:tr>
        <w:trPr>
          <w:trHeight w:val="458"/>
        </w:trPr>
        <w:tc>
          <w:tcPr>
            <w:tcW w:w="10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700" w:type="dxa"/>
            <w:vAlign w:val="bottom"/>
            <w:gridSpan w:val="2"/>
          </w:tcPr>
          <w:p>
            <w:pPr>
              <w:jc w:val="center"/>
              <w:ind w:right="3980"/>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Part III</w:t>
              </w:r>
            </w:hyperlink>
          </w:p>
        </w:tc>
        <w:tc>
          <w:tcPr>
            <w:tcW w:w="1120" w:type="dxa"/>
            <w:vAlign w:val="bottom"/>
          </w:tcPr>
          <w:p>
            <w:pPr>
              <w:spacing w:after="0"/>
              <w:rPr>
                <w:sz w:val="24"/>
                <w:szCs w:val="24"/>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10.</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Directors, Executive Officers and Corporate Governance</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11.</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Executive Compensation</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12.</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Security Ownership of Certain Beneficial Owners and Management and Related Stockholder Matters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13.</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Certain Relationships and Related Transactions, and Director Independence</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14.</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Principal Accountant Fees and Services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r>
      <w:tr>
        <w:trPr>
          <w:trHeight w:val="458"/>
        </w:trPr>
        <w:tc>
          <w:tcPr>
            <w:tcW w:w="10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700" w:type="dxa"/>
            <w:vAlign w:val="bottom"/>
            <w:gridSpan w:val="2"/>
          </w:tcPr>
          <w:p>
            <w:pPr>
              <w:jc w:val="center"/>
              <w:ind w:right="3960"/>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Part IV</w:t>
              </w:r>
            </w:hyperlink>
          </w:p>
        </w:tc>
        <w:tc>
          <w:tcPr>
            <w:tcW w:w="1120" w:type="dxa"/>
            <w:vAlign w:val="bottom"/>
          </w:tcPr>
          <w:p>
            <w:pPr>
              <w:spacing w:after="0"/>
              <w:rPr>
                <w:sz w:val="24"/>
                <w:szCs w:val="24"/>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15.</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Exhibits and Financial Statement Schedules</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65</w:t>
              </w:r>
            </w:hyperlink>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16.</w:t>
            </w:r>
          </w:p>
        </w:tc>
        <w:tc>
          <w:tcPr>
            <w:tcW w:w="9040" w:type="dxa"/>
            <w:vAlign w:val="bottom"/>
            <w:gridSpan w:val="3"/>
          </w:tcPr>
          <w:p>
            <w:pPr>
              <w:ind w:left="3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Form 10-K Summary</w:t>
              </w:r>
            </w:hyperlink>
          </w:p>
        </w:tc>
        <w:tc>
          <w:tcPr>
            <w:tcW w:w="1120" w:type="dxa"/>
            <w:vAlign w:val="bottom"/>
          </w:tcPr>
          <w:p>
            <w:pPr>
              <w:jc w:val="center"/>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68</w:t>
              </w:r>
            </w:hyperlink>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Summary of Material Risks</w:t>
      </w:r>
    </w:p>
    <w:p>
      <w:pPr>
        <w:spacing w:after="0" w:line="62"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8"/>
          <w:szCs w:val="18"/>
          <w:color w:val="auto"/>
        </w:rPr>
        <w:t>Laboratory Corporation of America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Holdings together with its subsidiaries (Labcorp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the Company) is subject to a variety of risks and uncertainties, including risks that could have a material adverse effect on its business, consolidated financial condition, revenues, results of operations, profitability, reputation, and cash flows. This summary should be read together with the more detailed description of the risks that the Company deems material described under “Risk Factors” in Item 1A of this Annual Report on Form 10-K (Annual Report) and should not be relied upon as an exhaustive summary of the material risks facing the Company’s business. In addition to the following summary, investors should carefully consider all of the information set forth in this Annual Report, before deciding to invest in any of the Company’s securities. The risks below are not the only ones that the Company faces. Additional risks not presently known to the Company, or that it presently deems immaterial, may also negatively impact the Company. This Annual Report also includes forward-looking statements, immediately following this risk summary, that involve risks or uncertainties. The Company’s results could differ materially from those anticipated in these forward-looking statements as a result of certain factors, including the risks described below and elsewhere.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67" w:lineRule="exact"/>
        <w:rPr>
          <w:sz w:val="20"/>
          <w:szCs w:val="20"/>
          <w:color w:val="auto"/>
        </w:rPr>
      </w:pPr>
    </w:p>
    <w:p>
      <w:pPr>
        <w:ind w:left="660" w:right="20" w:hanging="409"/>
        <w:spacing w:after="0" w:line="258" w:lineRule="auto"/>
        <w:tabs>
          <w:tab w:leader="none" w:pos="65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the COVID-19 pandemic could have material adverse impacts on the Company’s business, results of operations, cash flows, and financial position.</w:t>
      </w:r>
    </w:p>
    <w:p>
      <w:pPr>
        <w:spacing w:after="0" w:line="1" w:lineRule="exact"/>
        <w:rPr>
          <w:rFonts w:ascii="Arial" w:cs="Arial" w:eastAsia="Arial" w:hAnsi="Arial"/>
          <w:sz w:val="18"/>
          <w:szCs w:val="18"/>
          <w:color w:val="auto"/>
        </w:rPr>
      </w:pPr>
    </w:p>
    <w:p>
      <w:pPr>
        <w:ind w:left="660" w:right="20" w:hanging="409"/>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Company does not respond appropriately to the ongoing COVID-19 pandemic, or if the Company’s customers do not perceive its response to be adequate, the Company could suffer damage to its reputation, which could adversely affect its business.</w:t>
      </w:r>
    </w:p>
    <w:p>
      <w:pPr>
        <w:ind w:left="660" w:hanging="409"/>
        <w:spacing w:after="0" w:line="250" w:lineRule="auto"/>
        <w:tabs>
          <w:tab w:leader="none" w:pos="65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the Company is dependent in part on the efforts of its management team and employees, and the COVID-19 pandemic could divert or hinder the Company’s human capital resources.</w:t>
      </w:r>
    </w:p>
    <w:p>
      <w:pPr>
        <w:ind w:left="660" w:hanging="409"/>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ongoing COVID-19 pandemic has created significant volatility, uncertainty, and economic disruption that could have an adverse effect on the Company’s financial position.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67" w:lineRule="exact"/>
        <w:rPr>
          <w:sz w:val="20"/>
          <w:szCs w:val="20"/>
          <w:color w:val="auto"/>
        </w:rPr>
      </w:pPr>
    </w:p>
    <w:p>
      <w:pPr>
        <w:ind w:left="660" w:right="20" w:hanging="409"/>
        <w:spacing w:after="0" w:line="258" w:lineRule="auto"/>
        <w:tabs>
          <w:tab w:leader="none" w:pos="65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payer regulations or policies, insurance regulations or approvals, or changes in or interpretations of, other laws, regulations or policies in the U.S. or globally may have a material adverse effect upon the Company.</w:t>
      </w:r>
    </w:p>
    <w:p>
      <w:pPr>
        <w:spacing w:after="0" w:line="1" w:lineRule="exact"/>
        <w:rPr>
          <w:rFonts w:ascii="Arial" w:cs="Arial" w:eastAsia="Arial" w:hAnsi="Arial"/>
          <w:sz w:val="18"/>
          <w:szCs w:val="18"/>
          <w:color w:val="auto"/>
        </w:rPr>
      </w:pPr>
    </w:p>
    <w:p>
      <w:pPr>
        <w:ind w:left="660" w:hanging="40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could face significant monetary damages and penalties and/or exclusion from government programs if it violates anti-fraud and abuse laws.</w:t>
      </w:r>
    </w:p>
    <w:p>
      <w:pPr>
        <w:jc w:val="both"/>
        <w:ind w:left="660" w:hanging="409"/>
        <w:spacing w:after="0" w:line="250" w:lineRule="auto"/>
        <w:tabs>
          <w:tab w:leader="none" w:pos="65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business could be harmed from the loss or suspension of a license or imposition of fines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the Company operates laboratories.</w:t>
      </w:r>
    </w:p>
    <w:p>
      <w:pPr>
        <w:spacing w:after="0" w:line="1" w:lineRule="exact"/>
        <w:rPr>
          <w:rFonts w:ascii="Arial" w:cs="Arial" w:eastAsia="Arial" w:hAnsi="Arial"/>
          <w:sz w:val="18"/>
          <w:szCs w:val="18"/>
          <w:color w:val="auto"/>
        </w:rPr>
      </w:pPr>
    </w:p>
    <w:p>
      <w:pPr>
        <w:ind w:left="660" w:hanging="409"/>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of the Company or its third party service providers to comply with privacy and security laws and regulations could result in fines, penalties, and damage to the Company’s reputation with customers and have a material adverse effect upon the Company’s business.</w:t>
      </w:r>
    </w:p>
    <w:p>
      <w:pPr>
        <w:ind w:left="660" w:hanging="409"/>
        <w:spacing w:after="0" w:line="250" w:lineRule="auto"/>
        <w:tabs>
          <w:tab w:leader="none" w:pos="65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international operations could subject it to additional risks and expenses that could have a material adverse impact on the business or results of operations, including exposure to liabilities under tax, trade, anti-corruption, and data privacy laws.</w:t>
      </w:r>
    </w:p>
    <w:p>
      <w:pPr>
        <w:ind w:left="660" w:hanging="409"/>
        <w:spacing w:after="0" w:line="250" w:lineRule="auto"/>
        <w:tabs>
          <w:tab w:leader="none" w:pos="657"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comply with the regulations of drug regulatory agencies could result in fines, penalties, and sanctions and have a material adverse effect upon the Company.</w:t>
      </w:r>
    </w:p>
    <w:p>
      <w:pPr>
        <w:ind w:left="660" w:hanging="40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conduct animal research in compliance with animal welfare laws and regulations could result in fines, penalties, and sanctions and have a material adverse effect upon the Company.</w:t>
      </w:r>
    </w:p>
    <w:p>
      <w:pPr>
        <w:ind w:left="660" w:hanging="40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Food and Drug Administration (FDA) regulation of diagnostic products and increased FDA regulation of laboratory-developed tests (LDTs) could result in increased costs, fines, and penalties.</w:t>
      </w:r>
    </w:p>
    <w:p>
      <w:pPr>
        <w:ind w:left="660" w:hanging="409"/>
        <w:spacing w:after="0" w:line="287" w:lineRule="auto"/>
        <w:tabs>
          <w:tab w:leader="none" w:pos="647"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comply with U.S., state, local or international environmental, health and safety laws and regulations, including the U.S. Occupational Safety and Health Administration Act, and the U.S. Needlestick Safety and Prevention Act, could result in fines and penalties.</w:t>
      </w: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67" w:lineRule="exact"/>
        <w:rPr>
          <w:sz w:val="20"/>
          <w:szCs w:val="20"/>
          <w:color w:val="auto"/>
        </w:rPr>
      </w:pPr>
    </w:p>
    <w:p>
      <w:pPr>
        <w:ind w:left="660" w:hanging="409"/>
        <w:spacing w:after="0" w:line="291" w:lineRule="auto"/>
        <w:tabs>
          <w:tab w:leader="none" w:pos="65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or macro-economic factors in the U.S. and globally may have a material adverse effect upon the Company, and a significant deterioration in the economy could negatively impact testing volumes, drug development services, cash collections, and the availability of credit.</w:t>
      </w:r>
    </w:p>
    <w:p>
      <w:pPr>
        <w:jc w:val="both"/>
        <w:ind w:left="660" w:hanging="40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reform and changes to related products, changes in government payment and reimbursement systems, or changes in payer mix, including an increase in capitated reimbursement mechanisms and evolving delivery models, could have a material adverse effect on the Company's revenues, profitability, and cash flow.</w:t>
      </w:r>
    </w:p>
    <w:p>
      <w:pPr>
        <w:spacing w:after="0" w:line="1" w:lineRule="exact"/>
        <w:rPr>
          <w:rFonts w:ascii="Arial" w:cs="Arial" w:eastAsia="Arial" w:hAnsi="Arial"/>
          <w:sz w:val="18"/>
          <w:szCs w:val="18"/>
          <w:color w:val="auto"/>
        </w:rPr>
      </w:pPr>
    </w:p>
    <w:p>
      <w:pPr>
        <w:ind w:left="660" w:right="20" w:hanging="409"/>
        <w:spacing w:after="0" w:line="260" w:lineRule="auto"/>
        <w:tabs>
          <w:tab w:leader="none" w:pos="65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regulation or in practices relating to the biopharmaceutical industry could decrease the need for certain services that the Company provides.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could have an adverse effect on the Company’s revenues and profitability.</w:t>
      </w:r>
    </w:p>
    <w:p>
      <w:pPr>
        <w:spacing w:after="0" w:line="23" w:lineRule="exact"/>
        <w:rPr>
          <w:rFonts w:ascii="Arial" w:cs="Arial" w:eastAsia="Arial" w:hAnsi="Arial"/>
          <w:sz w:val="18"/>
          <w:szCs w:val="18"/>
          <w:color w:val="auto"/>
        </w:rPr>
      </w:pPr>
    </w:p>
    <w:p>
      <w:pPr>
        <w:jc w:val="both"/>
        <w:ind w:left="660" w:hanging="409"/>
        <w:spacing w:after="0" w:line="250" w:lineRule="auto"/>
        <w:tabs>
          <w:tab w:leader="none" w:pos="65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1" w:lineRule="exact"/>
        <w:rPr>
          <w:rFonts w:ascii="Arial" w:cs="Arial" w:eastAsia="Arial" w:hAnsi="Arial"/>
          <w:sz w:val="18"/>
          <w:szCs w:val="18"/>
          <w:color w:val="auto"/>
        </w:rPr>
      </w:pPr>
    </w:p>
    <w:p>
      <w:pPr>
        <w:ind w:left="660" w:hanging="409"/>
        <w:spacing w:after="0" w:line="250"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 failure to develop or acquire licenses for new or improved testing technologies, and competition from new products and technologies could adversely affect the Company’s business.</w:t>
      </w:r>
    </w:p>
    <w:p>
      <w:pPr>
        <w:ind w:left="660" w:hanging="40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may be disrupted and adversely impacted by the effects of adverse weather, natural disasters, geopolitical events, public health crises, hostilities or acts of terrorism, acts of vandalism, and other catastrophic events outside of the Company's control.</w:t>
      </w:r>
    </w:p>
    <w:p>
      <w:pPr>
        <w:ind w:left="660" w:hanging="40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or disruption in services, supplies, or transportation provided by third parties could adversely affect the Company’s business.</w:t>
      </w:r>
    </w:p>
    <w:p>
      <w:pPr>
        <w:spacing w:after="0" w:line="20" w:lineRule="exact"/>
        <w:rPr>
          <w:rFonts w:ascii="Arial" w:cs="Arial" w:eastAsia="Arial" w:hAnsi="Arial"/>
          <w:sz w:val="17"/>
          <w:szCs w:val="17"/>
          <w:color w:val="auto"/>
        </w:rPr>
      </w:pPr>
    </w:p>
    <w:p>
      <w:pPr>
        <w:ind w:left="660" w:hanging="409"/>
        <w:spacing w:after="0" w:line="250"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failure to identify and successfully close and integrate strategic acquisition targets could have a material adverse effect on the Company's business objectives and its revenues and profitability.</w:t>
      </w:r>
    </w:p>
    <w:p>
      <w:pPr>
        <w:ind w:left="660" w:hanging="409"/>
        <w:spacing w:after="0" w:line="250"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and increased consolidation of managed care organizations (MCOs), biopharmaceutical companies, health systems, physicians, and other customers could adversely affect the Company's business.</w:t>
      </w:r>
    </w:p>
    <w:p>
      <w:pPr>
        <w:ind w:left="660" w:hanging="409"/>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Unproductive labor environment, union strikes, work stoppages, union or works council negotiations, or failure to comply with labor or employment laws could adversely affect the Company's operations and have a material adverse effect upon the Company's business.</w:t>
      </w:r>
    </w:p>
    <w:p>
      <w:pPr>
        <w:ind w:left="660" w:hanging="409"/>
        <w:spacing w:after="0" w:line="250" w:lineRule="auto"/>
        <w:tabs>
          <w:tab w:leader="none" w:pos="647"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attract and retain experienced and qualified personnel, including key management personnel, could adversely affect the Company’s business.</w:t>
      </w:r>
    </w:p>
    <w:p>
      <w:pPr>
        <w:ind w:left="660" w:hanging="409"/>
        <w:spacing w:after="0" w:line="260"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 including, but not limited to, those arising from the U.K.'s exit from the European Union (EU), could adversely affect the Company’s business and results of operations.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67" w:lineRule="exact"/>
        <w:rPr>
          <w:sz w:val="20"/>
          <w:szCs w:val="20"/>
          <w:color w:val="auto"/>
        </w:rPr>
      </w:pPr>
    </w:p>
    <w:p>
      <w:pPr>
        <w:ind w:left="660" w:right="20" w:hanging="409"/>
        <w:spacing w:after="0" w:line="258"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bears financial risk for contracts that, including for reasons beyond the Company's control, may be underpriced, subject to cost overruns, delayed, terminated or reduced in scope.</w:t>
      </w:r>
    </w:p>
    <w:p>
      <w:pPr>
        <w:spacing w:after="0" w:line="1" w:lineRule="exact"/>
        <w:rPr>
          <w:rFonts w:ascii="Arial" w:cs="Arial" w:eastAsia="Arial" w:hAnsi="Arial"/>
          <w:sz w:val="18"/>
          <w:szCs w:val="18"/>
          <w:color w:val="auto"/>
        </w:rPr>
      </w:pPr>
    </w:p>
    <w:p>
      <w:pPr>
        <w:ind w:left="660" w:hanging="40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increase in the Company’s days sales outstanding could have an adverse effect on the Company’s business, including its cash flow, by increasing its bad debt or decreasing its cash flow.</w:t>
      </w:r>
    </w:p>
    <w:p>
      <w:pPr>
        <w:jc w:val="both"/>
        <w:ind w:left="660" w:hanging="409"/>
        <w:spacing w:after="0" w:line="250"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Drug Development segment revenues depend on the biopharmaceutical industry, including biopharmaceutical companies' R&amp;D spending, ability to raise capital, reimbursement from governmental programs or commercial payers, and biopharmaceutical industry trends and other economic conditions.</w:t>
      </w:r>
    </w:p>
    <w:p>
      <w:pPr>
        <w:spacing w:after="0" w:line="1"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fluctuations could have a material adverse effect on the Company’s business.</w:t>
      </w:r>
    </w:p>
    <w:p>
      <w:pPr>
        <w:spacing w:after="0" w:line="9" w:lineRule="exact"/>
        <w:rPr>
          <w:rFonts w:ascii="Arial" w:cs="Arial" w:eastAsia="Arial" w:hAnsi="Arial"/>
          <w:sz w:val="18"/>
          <w:szCs w:val="18"/>
          <w:color w:val="auto"/>
        </w:rPr>
      </w:pPr>
    </w:p>
    <w:p>
      <w:pPr>
        <w:ind w:left="660" w:hanging="409"/>
        <w:spacing w:after="0" w:line="250"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uses of financial instruments to limit its exposure to interest rate and currency fluctuations could expose it to risks and financial losses that may adversely affect the Company’s financial condition, liquidity, and results of operations.</w:t>
      </w: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level of indebtedness could adversely affect the Company’s liquidity, results of operations and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Technology and Cybersecurity</w:t>
      </w:r>
    </w:p>
    <w:p>
      <w:pPr>
        <w:spacing w:after="0" w:line="67" w:lineRule="exact"/>
        <w:rPr>
          <w:sz w:val="20"/>
          <w:szCs w:val="20"/>
          <w:color w:val="auto"/>
        </w:rPr>
      </w:pPr>
    </w:p>
    <w:p>
      <w:pPr>
        <w:jc w:val="both"/>
        <w:ind w:left="660" w:hanging="409"/>
        <w:spacing w:after="0" w:line="287" w:lineRule="auto"/>
        <w:tabs>
          <w:tab w:leader="none" w:pos="65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maintain the security of information relating to the Company, or its customers, patients, or vendors, whether as a result of cybersecurity attacks on the Company’s information systems or otherwise, could damage the Company’s reputation, cause it to incur substantial additional costs, result in litigation and enforcement actions, and materially adversely affect the Company’s business and operating results.</w:t>
      </w:r>
    </w:p>
    <w:p>
      <w:pPr>
        <w:spacing w:after="0" w:line="2" w:lineRule="exact"/>
        <w:rPr>
          <w:rFonts w:ascii="Arial" w:cs="Arial" w:eastAsia="Arial" w:hAnsi="Arial"/>
          <w:sz w:val="16"/>
          <w:szCs w:val="16"/>
          <w:color w:val="auto"/>
        </w:rPr>
      </w:pPr>
    </w:p>
    <w:p>
      <w:pPr>
        <w:ind w:left="660" w:hanging="40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or delays in the Company’s information technology systems, including the failure to develop and implement updates and enhancements to those systems, could disrupt the Company’s operations or customer relationships.</w:t>
      </w:r>
    </w:p>
    <w:p>
      <w:pPr>
        <w:jc w:val="both"/>
        <w:ind w:left="660" w:hanging="409"/>
        <w:spacing w:after="0" w:line="255"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depends on third parties to provide services critical to the Company's business, and depends on them to comply with applicable laws and regulations. Breaches of the information technology systems of third parties could have a material adverse effect on the Company's operations.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Matters</w:t>
      </w:r>
    </w:p>
    <w:p>
      <w:pPr>
        <w:spacing w:after="0" w:line="67" w:lineRule="exact"/>
        <w:rPr>
          <w:sz w:val="20"/>
          <w:szCs w:val="20"/>
          <w:color w:val="auto"/>
        </w:rPr>
      </w:pPr>
    </w:p>
    <w:p>
      <w:pPr>
        <w:ind w:left="640" w:hanging="38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results in material litigation matters could have a material adverse effect upon the Company’s business.</w:t>
      </w:r>
    </w:p>
    <w:p>
      <w:pPr>
        <w:spacing w:after="0" w:line="23" w:lineRule="exact"/>
        <w:rPr>
          <w:rFonts w:ascii="Arial" w:cs="Arial" w:eastAsia="Arial" w:hAnsi="Arial"/>
          <w:sz w:val="18"/>
          <w:szCs w:val="18"/>
          <w:color w:val="auto"/>
        </w:rPr>
      </w:pPr>
    </w:p>
    <w:p>
      <w:pPr>
        <w:ind w:left="660" w:hanging="40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successfully obtain, maintain and enforce intellectual property rights and defend against challenges to the Company’s intellectual property rights could adversely affect the Company.</w:t>
      </w:r>
    </w:p>
    <w:p>
      <w:pPr>
        <w:ind w:left="660" w:hanging="409"/>
        <w:spacing w:after="0" w:line="250"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and regulations or the interpretation of such may have a significant impact on the financial position, results of operations and cash flows of the Company.</w:t>
      </w:r>
    </w:p>
    <w:p>
      <w:pPr>
        <w:ind w:left="660" w:right="300" w:hanging="409"/>
        <w:spacing w:after="0" w:line="24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fails to perform contract research services in accordance with contractual requirements and regulatory standards, the Company could be subject to significant costs or liability.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283"/>
        <w:spacing w:after="0" w:line="270" w:lineRule="auto"/>
        <w:rPr>
          <w:sz w:val="20"/>
          <w:szCs w:val="20"/>
          <w:color w:val="auto"/>
        </w:rPr>
      </w:pPr>
      <w:r>
        <w:rPr>
          <w:rFonts w:ascii="Arial" w:cs="Arial" w:eastAsia="Arial" w:hAnsi="Arial"/>
          <w:sz w:val="17"/>
          <w:szCs w:val="17"/>
          <w:color w:val="auto"/>
        </w:rPr>
        <w:t>In this Annual Report, the Company makes,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above and in the “Risk Factors” section of this Annual Report, and in the Company’s other public filings, press releases, and discussions with Company management, including:</w:t>
      </w:r>
    </w:p>
    <w:p>
      <w:pPr>
        <w:spacing w:after="0" w:line="73" w:lineRule="exact"/>
        <w:rPr>
          <w:sz w:val="20"/>
          <w:szCs w:val="20"/>
          <w:color w:val="auto"/>
        </w:rPr>
      </w:pPr>
    </w:p>
    <w:p>
      <w:pPr>
        <w:jc w:val="both"/>
        <w:ind w:left="660" w:hanging="571"/>
        <w:spacing w:after="0" w:line="279"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63" w:lineRule="exact"/>
        <w:rPr>
          <w:rFonts w:ascii="Arial" w:cs="Arial" w:eastAsia="Arial" w:hAnsi="Arial"/>
          <w:sz w:val="17"/>
          <w:szCs w:val="17"/>
          <w:color w:val="auto"/>
        </w:rPr>
      </w:pPr>
    </w:p>
    <w:p>
      <w:pPr>
        <w:ind w:left="660" w:hanging="652"/>
        <w:spacing w:after="0" w:line="259"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78" w:lineRule="exact"/>
        <w:rPr>
          <w:rFonts w:ascii="Arial" w:cs="Arial" w:eastAsia="Arial" w:hAnsi="Arial"/>
          <w:sz w:val="18"/>
          <w:szCs w:val="18"/>
          <w:color w:val="auto"/>
        </w:rPr>
      </w:pPr>
    </w:p>
    <w:p>
      <w:pPr>
        <w:ind w:left="660" w:hanging="652"/>
        <w:spacing w:after="0" w:line="259" w:lineRule="auto"/>
        <w:tabs>
          <w:tab w:leader="none" w:pos="192"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8" w:lineRule="exact"/>
        <w:rPr>
          <w:rFonts w:ascii="Arial" w:cs="Arial" w:eastAsia="Arial" w:hAnsi="Arial"/>
          <w:sz w:val="18"/>
          <w:szCs w:val="18"/>
          <w:color w:val="auto"/>
        </w:rPr>
      </w:pPr>
    </w:p>
    <w:p>
      <w:pPr>
        <w:ind w:left="660" w:hanging="652"/>
        <w:spacing w:after="0" w:line="263" w:lineRule="auto"/>
        <w:tabs>
          <w:tab w:leader="none" w:pos="433"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or suspension of a license or imposition of fines or penalties under, or future changes in, or interpretations of applicable licensing laws or regulations regarding the operation of clinical laboratories and the delivery of clinical laboratory test results, including, but not limited to, CLIA and similar laws and regulations in jurisdictions in which the Company conducts business;</w:t>
      </w:r>
    </w:p>
    <w:p>
      <w:pPr>
        <w:spacing w:after="0" w:line="75" w:lineRule="exact"/>
        <w:rPr>
          <w:rFonts w:ascii="Arial" w:cs="Arial" w:eastAsia="Arial" w:hAnsi="Arial"/>
          <w:sz w:val="18"/>
          <w:szCs w:val="18"/>
          <w:color w:val="auto"/>
        </w:rPr>
      </w:pPr>
    </w:p>
    <w:p>
      <w:pPr>
        <w:ind w:left="660" w:hanging="652"/>
        <w:spacing w:after="0" w:line="263"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75" w:lineRule="exact"/>
        <w:rPr>
          <w:rFonts w:ascii="Arial" w:cs="Arial" w:eastAsia="Arial" w:hAnsi="Arial"/>
          <w:sz w:val="18"/>
          <w:szCs w:val="18"/>
          <w:color w:val="auto"/>
        </w:rPr>
      </w:pPr>
    </w:p>
    <w:p>
      <w:pPr>
        <w:ind w:left="660" w:hanging="652"/>
        <w:spacing w:after="0" w:line="263"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5" w:lineRule="exact"/>
        <w:rPr>
          <w:rFonts w:ascii="Arial" w:cs="Arial" w:eastAsia="Arial" w:hAnsi="Arial"/>
          <w:sz w:val="18"/>
          <w:szCs w:val="18"/>
          <w:color w:val="auto"/>
        </w:rPr>
      </w:pPr>
    </w:p>
    <w:p>
      <w:pPr>
        <w:ind w:left="660" w:hanging="652"/>
        <w:spacing w:after="0" w:line="263" w:lineRule="auto"/>
        <w:tabs>
          <w:tab w:leader="none" w:pos="367" w:val="left"/>
        </w:tabs>
        <w:numPr>
          <w:ilvl w:val="0"/>
          <w:numId w:val="9"/>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75" w:lineRule="exact"/>
        <w:rPr>
          <w:rFonts w:ascii="Arial" w:cs="Arial" w:eastAsia="Arial" w:hAnsi="Arial"/>
          <w:sz w:val="18"/>
          <w:szCs w:val="18"/>
          <w:color w:val="auto"/>
        </w:rPr>
      </w:pPr>
    </w:p>
    <w:p>
      <w:pPr>
        <w:ind w:left="660" w:hanging="652"/>
        <w:spacing w:after="0" w:line="277" w:lineRule="auto"/>
        <w:tabs>
          <w:tab w:leader="none" w:pos="391"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62" w:lineRule="exact"/>
        <w:rPr>
          <w:rFonts w:ascii="Arial" w:cs="Arial" w:eastAsia="Arial" w:hAnsi="Arial"/>
          <w:sz w:val="18"/>
          <w:szCs w:val="18"/>
          <w:color w:val="auto"/>
        </w:rPr>
      </w:pPr>
    </w:p>
    <w:p>
      <w:pPr>
        <w:ind w:left="660" w:hanging="652"/>
        <w:spacing w:after="0" w:line="296" w:lineRule="auto"/>
        <w:tabs>
          <w:tab w:leader="none" w:pos="347"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(U.K.), the National Medical Products Administration in China, the Pharmaceutical and Medical Devices Agency in Japan, the European Medicines Agency and similar regulations and policies of agencies in other jurisdictions in which the Company conducts business;</w:t>
      </w:r>
    </w:p>
    <w:p>
      <w:pPr>
        <w:spacing w:after="0" w:line="53" w:lineRule="exact"/>
        <w:rPr>
          <w:rFonts w:ascii="Arial" w:cs="Arial" w:eastAsia="Arial" w:hAnsi="Arial"/>
          <w:sz w:val="16"/>
          <w:szCs w:val="16"/>
          <w:color w:val="auto"/>
        </w:rPr>
      </w:pPr>
    </w:p>
    <w:p>
      <w:pPr>
        <w:ind w:left="660" w:hanging="652"/>
        <w:spacing w:after="0" w:line="263" w:lineRule="auto"/>
        <w:tabs>
          <w:tab w:leader="none" w:pos="46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 or reimbursement pertaining to the biopharmaceutical and medical device and diagnostic industries, changes in reimbursement of biopharmaceutical products, or reduced spending on research and development by biopharmaceutical and medical device and diagnostic customers;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that result from the failure to comply with corporate governance requirements;</w:t>
      </w:r>
    </w:p>
    <w:p>
      <w:pPr>
        <w:spacing w:after="0" w:line="117" w:lineRule="exact"/>
        <w:rPr>
          <w:rFonts w:ascii="Arial" w:cs="Arial" w:eastAsia="Arial" w:hAnsi="Arial"/>
          <w:sz w:val="18"/>
          <w:szCs w:val="18"/>
          <w:color w:val="auto"/>
        </w:rPr>
      </w:pPr>
    </w:p>
    <w:p>
      <w:pPr>
        <w:ind w:left="660" w:hanging="652"/>
        <w:spacing w:after="0" w:line="263" w:lineRule="auto"/>
        <w:tabs>
          <w:tab w:leader="none" w:pos="2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potential reduction in rates in response to price transparency and consumerism, competitive bidding and/or changes or reductions to fee schedules, and competition from companies that do not comply with existing laws or regulations or otherwise disregard compliance standards in the industry;</w:t>
      </w:r>
    </w:p>
    <w:p>
      <w:pPr>
        <w:spacing w:after="0" w:line="75" w:lineRule="exact"/>
        <w:rPr>
          <w:rFonts w:ascii="Arial" w:cs="Arial" w:eastAsia="Arial" w:hAnsi="Arial"/>
          <w:sz w:val="18"/>
          <w:szCs w:val="18"/>
          <w:color w:val="auto"/>
        </w:rPr>
      </w:pPr>
    </w:p>
    <w:p>
      <w:pPr>
        <w:jc w:val="both"/>
        <w:ind w:left="660" w:hanging="652"/>
        <w:spacing w:after="0" w:line="259"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payer mix or payment structure, including insurance carrier participation in health insurance exchanges, an increase in capitated reimbursement mechanisms,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8" w:lineRule="exact"/>
        <w:rPr>
          <w:rFonts w:ascii="Arial" w:cs="Arial" w:eastAsia="Arial" w:hAnsi="Arial"/>
          <w:sz w:val="18"/>
          <w:szCs w:val="18"/>
          <w:color w:val="auto"/>
        </w:rPr>
      </w:pPr>
    </w:p>
    <w:p>
      <w:pPr>
        <w:ind w:left="660" w:hanging="652"/>
        <w:spacing w:after="0" w:line="308" w:lineRule="auto"/>
        <w:tabs>
          <w:tab w:leader="none" w:pos="599"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retain or attract MCO business as a result of changes in business models, including risk based or network approaches, out-sourced laboratory network management or utilization management companies, or other changes in strategy or business models by MCOs;</w:t>
      </w:r>
    </w:p>
    <w:p>
      <w:pPr>
        <w:spacing w:after="0" w:line="38" w:lineRule="exact"/>
        <w:rPr>
          <w:rFonts w:ascii="Arial" w:cs="Arial" w:eastAsia="Arial" w:hAnsi="Arial"/>
          <w:sz w:val="17"/>
          <w:szCs w:val="17"/>
          <w:color w:val="auto"/>
        </w:rPr>
      </w:pPr>
    </w:p>
    <w:p>
      <w:pPr>
        <w:ind w:left="660" w:hanging="652"/>
        <w:spacing w:after="0" w:line="277" w:lineRule="auto"/>
        <w:tabs>
          <w:tab w:leader="none" w:pos="4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62" w:lineRule="exact"/>
        <w:rPr>
          <w:rFonts w:ascii="Arial" w:cs="Arial" w:eastAsia="Arial" w:hAnsi="Arial"/>
          <w:sz w:val="18"/>
          <w:szCs w:val="18"/>
          <w:color w:val="auto"/>
        </w:rPr>
      </w:pPr>
    </w:p>
    <w:p>
      <w:pPr>
        <w:ind w:left="660" w:hanging="652"/>
        <w:spacing w:after="0" w:line="277" w:lineRule="auto"/>
        <w:tabs>
          <w:tab w:leader="none" w:pos="4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maintaining relationships with customers or retaining key employees as a result of uncertainty surrounding the integration of acquisitions and the resulting negative effects on the business of the Company;</w:t>
      </w:r>
    </w:p>
    <w:p>
      <w:pPr>
        <w:spacing w:after="0" w:line="62" w:lineRule="exact"/>
        <w:rPr>
          <w:rFonts w:ascii="Arial" w:cs="Arial" w:eastAsia="Arial" w:hAnsi="Arial"/>
          <w:sz w:val="18"/>
          <w:szCs w:val="18"/>
          <w:color w:val="auto"/>
        </w:rPr>
      </w:pPr>
    </w:p>
    <w:p>
      <w:pPr>
        <w:ind w:left="660" w:hanging="652"/>
        <w:spacing w:after="0" w:line="308" w:lineRule="auto"/>
        <w:tabs>
          <w:tab w:leader="none" w:pos="5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consolidation and convergence of MCOs, biopharmaceutical companies, health systems, large physician organizations and other customers, potentially causing material shifts in insourcing, utilization, pricing and reimbursement, including full and partial risk-based models;</w:t>
      </w:r>
    </w:p>
    <w:p>
      <w:pPr>
        <w:spacing w:after="0" w:line="38" w:lineRule="exact"/>
        <w:rPr>
          <w:rFonts w:ascii="Arial" w:cs="Arial" w:eastAsia="Arial" w:hAnsi="Arial"/>
          <w:sz w:val="17"/>
          <w:szCs w:val="17"/>
          <w:color w:val="auto"/>
        </w:rPr>
      </w:pPr>
    </w:p>
    <w:p>
      <w:pPr>
        <w:ind w:left="660" w:hanging="652"/>
        <w:spacing w:after="0" w:line="277" w:lineRule="auto"/>
        <w:tabs>
          <w:tab w:leader="none" w:pos="4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effectively develop and deploy new systems, system modifications or enhancements required in response to evolving market and business needs;</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acquisitions of new businesses;</w:t>
      </w:r>
    </w:p>
    <w:p>
      <w:pPr>
        <w:spacing w:after="0" w:line="117" w:lineRule="exact"/>
        <w:rPr>
          <w:rFonts w:ascii="Arial" w:cs="Arial" w:eastAsia="Arial" w:hAnsi="Arial"/>
          <w:sz w:val="18"/>
          <w:szCs w:val="18"/>
          <w:color w:val="auto"/>
        </w:rPr>
      </w:pPr>
    </w:p>
    <w:p>
      <w:pPr>
        <w:ind w:left="660" w:right="20" w:hanging="652"/>
        <w:spacing w:after="0" w:line="277" w:lineRule="auto"/>
        <w:tabs>
          <w:tab w:leader="none" w:pos="4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liability arising from errors or omissions in the performance of testing services, contract research services or other contractual arrangements;</w:t>
      </w:r>
    </w:p>
    <w:p>
      <w:pPr>
        <w:spacing w:after="0" w:line="128" w:lineRule="exact"/>
        <w:rPr>
          <w:rFonts w:ascii="Arial" w:cs="Arial" w:eastAsia="Arial" w:hAnsi="Arial"/>
          <w:sz w:val="17"/>
          <w:szCs w:val="17"/>
          <w:color w:val="auto"/>
        </w:rPr>
      </w:pPr>
    </w:p>
    <w:p>
      <w:pPr>
        <w:ind w:left="660" w:hanging="652"/>
        <w:spacing w:after="0" w:line="277" w:lineRule="auto"/>
        <w:tabs>
          <w:tab w:leader="none" w:pos="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7" w:lineRule="exact"/>
        <w:rPr>
          <w:rFonts w:ascii="Arial" w:cs="Arial" w:eastAsia="Arial" w:hAnsi="Arial"/>
          <w:sz w:val="18"/>
          <w:szCs w:val="18"/>
          <w:color w:val="auto"/>
        </w:rPr>
      </w:pPr>
    </w:p>
    <w:p>
      <w:pPr>
        <w:ind w:left="660" w:hanging="652"/>
        <w:spacing w:after="0" w:line="277" w:lineRule="auto"/>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activists or potential harm and/or liability arising from animal research activities;</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 or the loss of significant personnel as a result of illness or otherwise;</w:t>
      </w:r>
    </w:p>
    <w:p>
      <w:pPr>
        <w:spacing w:after="0" w:line="117" w:lineRule="exact"/>
        <w:rPr>
          <w:rFonts w:ascii="Arial" w:cs="Arial" w:eastAsia="Arial" w:hAnsi="Arial"/>
          <w:sz w:val="18"/>
          <w:szCs w:val="18"/>
          <w:color w:val="auto"/>
        </w:rPr>
      </w:pPr>
    </w:p>
    <w:p>
      <w:pPr>
        <w:ind w:left="660" w:hanging="652"/>
        <w:spacing w:after="0" w:line="277" w:lineRule="auto"/>
        <w:tabs>
          <w:tab w:leader="none" w:pos="5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62" w:lineRule="exact"/>
        <w:rPr>
          <w:rFonts w:ascii="Arial" w:cs="Arial" w:eastAsia="Arial" w:hAnsi="Arial"/>
          <w:sz w:val="18"/>
          <w:szCs w:val="18"/>
          <w:color w:val="auto"/>
        </w:rPr>
      </w:pPr>
    </w:p>
    <w:p>
      <w:pPr>
        <w:ind w:left="660" w:hanging="652"/>
        <w:spacing w:after="0" w:line="277" w:lineRule="auto"/>
        <w:tabs>
          <w:tab w:leader="none" w:pos="5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62" w:lineRule="exact"/>
        <w:rPr>
          <w:rFonts w:ascii="Arial" w:cs="Arial" w:eastAsia="Arial" w:hAnsi="Arial"/>
          <w:sz w:val="18"/>
          <w:szCs w:val="18"/>
          <w:color w:val="auto"/>
        </w:rPr>
      </w:pPr>
    </w:p>
    <w:p>
      <w:pPr>
        <w:ind w:left="660" w:hanging="652"/>
        <w:spacing w:after="0" w:line="277" w:lineRule="auto"/>
        <w:tabs>
          <w:tab w:leader="none" w:pos="5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obtain, maintain, and enforce intellectual property rights for protection of the Company's products and services and defend against challenges to those rights;</w:t>
      </w:r>
    </w:p>
    <w:p>
      <w:pPr>
        <w:spacing w:after="0" w:line="62" w:lineRule="exact"/>
        <w:rPr>
          <w:rFonts w:ascii="Arial" w:cs="Arial" w:eastAsia="Arial" w:hAnsi="Arial"/>
          <w:sz w:val="18"/>
          <w:szCs w:val="18"/>
          <w:color w:val="auto"/>
        </w:rPr>
      </w:pPr>
    </w:p>
    <w:p>
      <w:pPr>
        <w:ind w:left="660" w:hanging="652"/>
        <w:spacing w:after="0" w:line="277" w:lineRule="auto"/>
        <w:tabs>
          <w:tab w:leader="none" w:pos="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652"/>
        <w:spacing w:after="0" w:line="311" w:lineRule="auto"/>
        <w:tabs>
          <w:tab w:leader="none" w:pos="5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business interruption, receivable impairment, delays in cash collection impacting days sales outstanding, supply chain disruptions, increases in operating costs, or other impacts on the business due to natural disasters, including adverse weather, fires and earthquakes, political crises, including terrorism and war, public health crises and disease epidemics and pandemics, and other events outside of the Company's control;</w:t>
      </w:r>
    </w:p>
    <w:p>
      <w:pPr>
        <w:spacing w:after="0" w:line="40" w:lineRule="exact"/>
        <w:rPr>
          <w:rFonts w:ascii="Arial" w:cs="Arial" w:eastAsia="Arial" w:hAnsi="Arial"/>
          <w:sz w:val="16"/>
          <w:szCs w:val="16"/>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7" w:lineRule="exact"/>
        <w:rPr>
          <w:rFonts w:ascii="Arial" w:cs="Arial" w:eastAsia="Arial" w:hAnsi="Arial"/>
          <w:sz w:val="18"/>
          <w:szCs w:val="18"/>
          <w:color w:val="auto"/>
        </w:rPr>
      </w:pPr>
    </w:p>
    <w:p>
      <w:pPr>
        <w:ind w:left="660" w:hanging="652"/>
        <w:spacing w:after="0" w:line="293" w:lineRule="auto"/>
        <w:tabs>
          <w:tab w:leader="none" w:pos="45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failure in the Company's information technology systems, including with respect to testing turnaround time and billing processes, or the failure of the Company or its third-party suppliers and vendors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56" w:lineRule="exact"/>
        <w:rPr>
          <w:rFonts w:ascii="Arial" w:cs="Arial" w:eastAsia="Arial" w:hAnsi="Arial"/>
          <w:sz w:val="16"/>
          <w:szCs w:val="16"/>
          <w:color w:val="auto"/>
        </w:rPr>
      </w:pPr>
    </w:p>
    <w:p>
      <w:pPr>
        <w:ind w:left="660" w:hanging="652"/>
        <w:spacing w:after="0" w:line="27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2" w:lineRule="exact"/>
        <w:rPr>
          <w:rFonts w:ascii="Arial" w:cs="Arial" w:eastAsia="Arial" w:hAnsi="Arial"/>
          <w:sz w:val="18"/>
          <w:szCs w:val="18"/>
          <w:color w:val="auto"/>
        </w:rPr>
      </w:pPr>
    </w:p>
    <w:p>
      <w:pPr>
        <w:ind w:left="660" w:hanging="652"/>
        <w:spacing w:after="0" w:line="263" w:lineRule="auto"/>
        <w:tabs>
          <w:tab w:leader="none" w:pos="4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 party utilization management organizations, and increasing levels of patient payment responsibility;</w:t>
      </w:r>
    </w:p>
    <w:p>
      <w:pPr>
        <w:spacing w:after="0" w:line="75" w:lineRule="exact"/>
        <w:rPr>
          <w:rFonts w:ascii="Arial" w:cs="Arial" w:eastAsia="Arial" w:hAnsi="Arial"/>
          <w:sz w:val="18"/>
          <w:szCs w:val="18"/>
          <w:color w:val="auto"/>
        </w:rPr>
      </w:pPr>
    </w:p>
    <w:p>
      <w:pPr>
        <w:ind w:left="660" w:hanging="652"/>
        <w:spacing w:after="0" w:line="308" w:lineRule="auto"/>
        <w:tabs>
          <w:tab w:leader="none" w:pos="5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38" w:lineRule="exact"/>
        <w:rPr>
          <w:rFonts w:ascii="Arial" w:cs="Arial" w:eastAsia="Arial" w:hAnsi="Arial"/>
          <w:sz w:val="17"/>
          <w:szCs w:val="17"/>
          <w:color w:val="auto"/>
        </w:rPr>
      </w:pPr>
    </w:p>
    <w:p>
      <w:pPr>
        <w:ind w:left="660" w:hanging="652"/>
        <w:spacing w:after="0" w:line="277" w:lineRule="auto"/>
        <w:tabs>
          <w:tab w:leader="none" w:pos="4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maintain the expected capital structure for the Company, including failure to maintain the Company's investment grade rating, or leverage ratio covenants under its term loan facility and revolving credit facility;</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7" w:lineRule="exact"/>
        <w:rPr>
          <w:rFonts w:ascii="Arial" w:cs="Arial" w:eastAsia="Arial" w:hAnsi="Arial"/>
          <w:sz w:val="18"/>
          <w:szCs w:val="18"/>
          <w:color w:val="auto"/>
        </w:rPr>
      </w:pPr>
    </w:p>
    <w:p>
      <w:pPr>
        <w:ind w:left="660" w:hanging="652"/>
        <w:spacing w:after="0" w:line="277" w:lineRule="auto"/>
        <w:tabs>
          <w:tab w:leader="none" w:pos="5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62" w:lineRule="exact"/>
        <w:rPr>
          <w:rFonts w:ascii="Arial" w:cs="Arial" w:eastAsia="Arial" w:hAnsi="Arial"/>
          <w:sz w:val="18"/>
          <w:szCs w:val="18"/>
          <w:color w:val="auto"/>
        </w:rPr>
      </w:pPr>
    </w:p>
    <w:p>
      <w:pPr>
        <w:ind w:left="660" w:hanging="652"/>
        <w:spacing w:after="0" w:line="263" w:lineRule="auto"/>
        <w:tabs>
          <w:tab w:leader="none" w:pos="2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pacing w:after="0" w:line="75" w:lineRule="exact"/>
        <w:rPr>
          <w:rFonts w:ascii="Arial" w:cs="Arial" w:eastAsia="Arial" w:hAnsi="Arial"/>
          <w:sz w:val="18"/>
          <w:szCs w:val="18"/>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business process improvement initiatives;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laws and regulations or changes in their interpretation, including the U.S. Tax Cuts and Jobs Act;</w:t>
      </w:r>
    </w:p>
    <w:p>
      <w:pPr>
        <w:spacing w:after="0" w:line="117" w:lineRule="exact"/>
        <w:rPr>
          <w:rFonts w:ascii="Arial" w:cs="Arial" w:eastAsia="Arial" w:hAnsi="Arial"/>
          <w:sz w:val="18"/>
          <w:szCs w:val="18"/>
          <w:color w:val="auto"/>
        </w:rPr>
      </w:pPr>
    </w:p>
    <w:p>
      <w:pPr>
        <w:ind w:left="660" w:hanging="652"/>
        <w:spacing w:after="0" w:line="277" w:lineRule="auto"/>
        <w:tabs>
          <w:tab w:leader="none" w:pos="5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 including, but not limited to those arising from the U.K.'s exit from the European Union; and</w:t>
      </w:r>
    </w:p>
    <w:p>
      <w:pPr>
        <w:spacing w:after="0" w:line="62" w:lineRule="exact"/>
        <w:rPr>
          <w:rFonts w:ascii="Arial" w:cs="Arial" w:eastAsia="Arial" w:hAnsi="Arial"/>
          <w:sz w:val="18"/>
          <w:szCs w:val="18"/>
          <w:color w:val="auto"/>
        </w:rPr>
      </w:pPr>
    </w:p>
    <w:p>
      <w:pPr>
        <w:ind w:left="660" w:hanging="652"/>
        <w:spacing w:after="0" w:line="257" w:lineRule="auto"/>
        <w:tabs>
          <w:tab w:leader="none" w:pos="4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effects, duration, and severity of the ongoing COVID-19 pandemic, including the impact on operations, personnel, liquidity, and collections, and the actions the Company, or governments, have taken or may take in response, and damage to the Company's reputation or loss of business resulting from the perception of the Company's response to the COVID-19 pandemic, including the availability and accuracy and timeliness of delivery of any tests that the Company develops, collaborates on, or provides for the detection of COVID-19, and the availability and timeliness of its drug development services.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any forward-looking statements should not be unduly relied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43" w:lineRule="exact"/>
        <w:rPr>
          <w:sz w:val="20"/>
          <w:szCs w:val="20"/>
          <w:color w:val="auto"/>
        </w:rPr>
      </w:pPr>
    </w:p>
    <w:p>
      <w:pPr>
        <w:jc w:val="both"/>
        <w:ind w:firstLine="283"/>
        <w:spacing w:after="0" w:line="280" w:lineRule="auto"/>
        <w:rPr>
          <w:sz w:val="20"/>
          <w:szCs w:val="20"/>
          <w:color w:val="auto"/>
        </w:rPr>
      </w:pPr>
      <w:r>
        <w:rPr>
          <w:rFonts w:ascii="Arial" w:cs="Arial" w:eastAsia="Arial" w:hAnsi="Arial"/>
          <w:sz w:val="16"/>
          <w:szCs w:val="16"/>
          <w:color w:val="auto"/>
        </w:rPr>
        <w:t>Labcorp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leading global life sciences company that provides vital information to help doctors, hospitals, pharmaceutical companies, researchers, and patients make clear and confident decisions. By leveraging its strong diagnostics and drug development capabilities, the Company provides insights and accelerates innovations to improve health and improve lives. With over 72,400 employees, the Company serves clients in more than 100 countries.</w:t>
      </w:r>
    </w:p>
    <w:p>
      <w:pPr>
        <w:spacing w:after="0" w:line="77" w:lineRule="exact"/>
        <w:rPr>
          <w:sz w:val="20"/>
          <w:szCs w:val="20"/>
          <w:color w:val="auto"/>
        </w:rPr>
      </w:pPr>
    </w:p>
    <w:p>
      <w:pPr>
        <w:jc w:val="both"/>
        <w:ind w:firstLine="283"/>
        <w:spacing w:after="0" w:line="311" w:lineRule="auto"/>
        <w:rPr>
          <w:sz w:val="20"/>
          <w:szCs w:val="20"/>
          <w:color w:val="auto"/>
        </w:rPr>
      </w:pPr>
      <w:r>
        <w:rPr>
          <w:rFonts w:ascii="Arial" w:cs="Arial" w:eastAsia="Arial" w:hAnsi="Arial"/>
          <w:sz w:val="16"/>
          <w:szCs w:val="16"/>
          <w:color w:val="auto"/>
        </w:rPr>
        <w:t>Through its Labcorp Diagnostics (Dx) and Labcorp Drug Development (DD) segments, the Company provides diagnostic, drug development, and technology-enabled solutions for more than 160 million patient encounters per year, or more than 3 million patients per week. The Company also supports clinical trial activity in approximately 100 countries through its industry-leading central laboratory, preclinical, and clinical development businesses.</w:t>
      </w:r>
    </w:p>
    <w:p>
      <w:pPr>
        <w:spacing w:after="0" w:line="54"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breadth of the Company's offerings has resulted in revenue growth of 23%, and operating income growth of 84%, from 2018 through 2020. The Company believes that its diversified service offerings across drug development and diagnostics also help to balance the impact of changes in the global economic and healthcare systems, and the influence of unplanned events such as the COVID-19 pandemic.</w:t>
      </w:r>
    </w:p>
    <w:p>
      <w:pPr>
        <w:spacing w:after="0" w:line="103"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For the period ended December 31, 2020, the Company generated revenues of $13,978.5 million, diluted earnings per share of $15.88, and had a total operating cash flow of $2,135.3 million.</w:t>
      </w:r>
    </w:p>
    <w:p>
      <w:pPr>
        <w:spacing w:after="0" w:line="76"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Company believes that science, technology and innovation are behind its successes and are foundational to its future. The Company's commitment to leading with science and innovation enables it to improve the health and lives of people around the world.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Rebranding</w:t>
      </w:r>
    </w:p>
    <w:p>
      <w:pPr>
        <w:spacing w:after="0" w:line="14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December 2020, the Company announced an evolution of its brand identity, to highlight the pivotal role the Company plays in healthcare and showcase the power of the Company’s combined diagnostic and drug development offerings through one powerful brand. As part of the rebranding, the Company introduced a new company logo and has begun associating its business unit brands with the Labcorp name. The Company’s drug development segment, formerly referred to as Covance Drug Development, became Covance by Labcorp for a transition period, and by mid-2021 is expected to transition to Labcorp Drug Development. The Company's diagnostics segment, formerly referred to as LabCorp Diagnostics, is transitioning to the Labcorp name and new logo during 2021.</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Strategy</w:t>
      </w:r>
    </w:p>
    <w:p>
      <w:pPr>
        <w:spacing w:after="0" w:line="6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Labcorp is positioned at the convergence of research and care delivery to enable more precise and individualized healthcare, bringing together world-class diagnostics and drug development capabilities.</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believes that it can continue to expand its role in the rapidly evolving healthcare environment by advancing the following strategic priorities: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Leveraging the Power of the Company’s Combined Capabilities</w:t>
      </w:r>
    </w:p>
    <w:p>
      <w:pPr>
        <w:spacing w:after="0" w:line="6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combination of Dx’s and DD’s core capabilities and scientific and technological expertise uniquely enables the Company to create compelling solutions for clients. The Company’s combined strengths allow it to help biopharmaceutical and medical device partners design better clinical studies, execute those studies faster through enhanced patient recruitment, take greater advantage of virtual and hybrid study options, and satisfy post-market surveillance requirements. For example, the Company can advance companion and complementary diagnostics and other precision medicine innovations that match patients with targeted treatments based on genomics and other individual characteristics because of its experience, resources and data in both drug development and diagnostics. Through comprehensive integration of those capabilities, the Company has a unique opportunity to extend its position as a market leader in the development and commercialization of new therapies and tests, by providing data, insights, and answers for doctors, drug developers, and the public.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Advancing the Company's Leadership Position in Oncology</w:t>
      </w:r>
    </w:p>
    <w:p>
      <w:pPr>
        <w:spacing w:after="0" w:line="6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Oncology continues to receive significant investment in research and treatment, but despite decades of focus and research, it is still an area of great unmet medical need. The Company believes the diagnosis and treatment of cancer is expected to be the fastest-growing therapeutic area for the near future.</w:t>
      </w:r>
    </w:p>
    <w:p>
      <w:pPr>
        <w:spacing w:after="0" w:line="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oncology's standard of care trends towards the adoption of precision medicine, providers are relying on advanced testing to identify patients who will benefit from new, targeted treatments that are more effective, and usually have fewer side effects, than traditional treatments like chemotherapy. The Company is expanding its leadership through strategic partnerships in oncology testing, major customer wins in late-stage clinical trials, and the recruitment of leaders in the field to further build the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Company's oncology team. In addition, the Company’s strong connections with patients, physicians, and health systems, along with its extensive data, are powerful tools to support the Company's leadership role in diagnosing and treating cancer and its goal of improving patient outcomes.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Integrating Artificial Intelligence, Data, Digitalization and Analytics Across the Company's Business</w:t>
      </w:r>
    </w:p>
    <w:p>
      <w:pPr>
        <w:spacing w:after="0" w:line="5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Advances in technology have impacted nearly every business, and healthcare more than most. By maximizing the use of technology, and in particular advances in artificial intelligence, data, digitalization, and analytics, the Company strives to improve operating efficiency and create new, differentiated products and services that the Company believes will help its customers and will deliver better care to patients.</w:t>
      </w:r>
    </w:p>
    <w:p>
      <w:pPr>
        <w:spacing w:after="0" w:line="10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Artificial intelligence helps the Company to better predict trends, such as where and when demand for certain tests is likely to change, which supports more efficient use of supplies, staffing adjustments, and the Company’s advanced logistics to route testing to the most appropriate laboratories to deliver results quickly. Artificial intelligence capabilities and advanced logistics have played an important role in the Company’s response to the demand for COVID-19 polymerase chain reaction (PCR) testing.</w:t>
      </w:r>
    </w:p>
    <w:p>
      <w:pPr>
        <w:spacing w:after="0" w:line="9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The Company creates, and has access to, significant volumes of data. By applying advanced analytics, the Company can help its customers improve their processes and reach better outcomes. The Company’s repository of test results help study sponsors assess patients' eligibility for clinical trials more quickly and accurately, enroll those patients faster, shorten the time needed for regulatory submission, and accelerate the availability of new medicines.</w:t>
      </w:r>
    </w:p>
    <w:p>
      <w:pPr>
        <w:spacing w:after="0" w:line="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Digitalization is affecting every aspect of the Company’s business. For example, healthcare providers now have multiple ways to retrieve and analyze their patients' health data; MCOs have various tools to manage their membership; consumers can more readily access testing and their results to have more control over their care; and decentralized clinical trials can help remove barriers that have slowed or prevented studies from being conducted in the past. As the Company experienced in 2020, digitalization also allowed many of the Company’s employees to quickly shift from working in traditional offices to working remotely in response to COVID-19.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Putting Customers at the Center of All the Company Does</w:t>
      </w:r>
    </w:p>
    <w:p>
      <w:pPr>
        <w:spacing w:after="0" w:line="6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Labcorp serves a broad range of customers, including MCOs, biopharmaceutical, medical device and diagnostics companies, governmental agencies, physicians and other healthcare providers, hospitals and health systems, employers, patients and consumers, contract research organizations (CROs), and independent clinical laboratories. The Company prioritizes a consistent, coordinated focus across all aspects of the Company's operations, placing the customer at the center of its services, with the objective of becoming the customer's primary partner for solutions to their needs. Customer feedback, communication of best-practices and lessons learned, and robust employee training with respect to the needs of its customers are all methods that the Company employs to provide a top customer experience.</w:t>
      </w:r>
    </w:p>
    <w:p>
      <w:pPr>
        <w:spacing w:after="0" w:line="8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introduction of the Company’s new branding is intended to send a clear signal of who the Company is, what it does, and how it is differentiated from its competitors. It is the Company's goal that the Labcorp brand represents a promise to its customers about how they will be treated, and the levels of service, quality, and innovation that the Company will deliver.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Evaluate and Execute on High-Growth Opportunities</w:t>
      </w:r>
    </w:p>
    <w:p>
      <w:pPr>
        <w:spacing w:after="0" w:line="6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has a long history of disciplined use of capital to invest in the growth of the business. The Company has made significant investments in the deployment of new technologies through both licensing and internal research and development, strategic and fold-in acquisitions, and establishing collaborative partnerships with other leading companies and organizations that share the Company’s goals and expectations.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continually evaluates its business and the broader healthcare and life sciences markets to proactively identify and assess:</w:t>
      </w:r>
    </w:p>
    <w:p>
      <w:pPr>
        <w:spacing w:after="0" w:line="13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growth opportunities;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areas that might not support continued growth and should be revamped or divested;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targets that meet its criteria for quality, value, and return on investment;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products that would successfully integrate with or extend the Company’s offerings;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balanced formula for capital allocation.</w:t>
      </w:r>
    </w:p>
    <w:p>
      <w:pPr>
        <w:spacing w:after="0" w:line="116"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Through continued focus on these priorities, the Company expects to be in the optimal position to make tough, disciplined choices that maximize shareholder value, better protect the Company from market fluctuations and outside impacts, and fuel significant, profitable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Response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has been intensely focused on supporting the fight against COVID-19 since the earliest stages of the pandemic.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Testing and Clinical Trial Leadership</w:t>
      </w:r>
    </w:p>
    <w:p>
      <w:pPr>
        <w:spacing w:after="0" w:line="10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In tandem with the first confirmed cases, the Company began preparations to be able to offer diagnostic testing to identify cases of COVID-19, working closely with diagnostic manufacturers and suppliers, and with regulators and public health authorities.</w:t>
      </w:r>
    </w:p>
    <w:p>
      <w:pPr>
        <w:spacing w:after="0" w:line="7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On March 5, 2020, the Company became the first commercial laboratory in the U.S. to launch PCR testing for COVID-19, and the Company received Emergency Use Authorization (EUA) from the U.S. Food and Drug Administration (FDA) on March 16, 2020. That was the first of a steady series of innovations introduced by the Company to rapidly expand COVID-19 test capacity, options, access, and efficiency. These COVID-19 innovations include:</w:t>
      </w:r>
    </w:p>
    <w:p>
      <w:pPr>
        <w:spacing w:after="0" w:line="14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first FDA EUA for an at-home collection kit on its Pixel by Labcorp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w:t>
      </w: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first digital COVID-19 service, which is also available through healthcare providers from the Company’s Labcorp at Home offering;</w:t>
      </w:r>
    </w:p>
    <w:p>
      <w:pPr>
        <w:spacing w:after="0" w:line="7"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early participation in COVID-19 research projects in collaboration with partners that included Adaptive Biotechnologies, Microsoft, and Pacific Biosciences;</w:t>
      </w: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of new test options to increase test capacity, throughput, and efficiency to maximize use of supplies, including the introduction of a new method to extract RNA from samples using heat and technology; and</w:t>
      </w: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increased use of robotics and automation in the PCR testing process.</w:t>
      </w:r>
    </w:p>
    <w:p>
      <w:pPr>
        <w:spacing w:after="0" w:line="103"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Company has steadily increased its COVID-19 test capacity, from several thousand PCR tests per day in early March to 275,000 per day by the end of 2020. The Company performed over 31 million PCR tests and nearly 4 million antibody tests in 2020.</w:t>
      </w:r>
    </w:p>
    <w:p>
      <w:pPr>
        <w:spacing w:after="0" w:line="63"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As a result, the Company developed an expertise and understanding of COVID-19 that led to it becoming a leader in supporting clinical trials of potential treatments and vaccines for the virus. By the end of 2020, the Company had won approximately 440 COVID-19 trial and study opportunities, from small nonclinical programs to late-stage clinical trials.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Business Normalization</w:t>
      </w:r>
    </w:p>
    <w:p>
      <w:pPr>
        <w:spacing w:after="0" w:line="1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initial months of the COVID-19 pandemic, the Company experienced a significant drop in its non-COVID-19 business (Base Business) as patients avoided routine medical care and most elective and non-emergency procedures were postponed. This decline, coupled with the suspension of most global clinical trial activity resulted in a negative impact to the Company's Base Business in the latter part of the first quarter and initial part of the second quarter of 2020. By the end of the second quarter of 2020, however, the Company experienced a steady recovery in its Base Business, which continued through the third quarter of 2020. During the fourth quarter, the Dx Base Business volume recovery flattened with volumes below prior year in the high single digits. Throughout 2020, the Company's PCR and antibody COVID-19 testing (COVID-19 Testing) has helped to more than offset the pressure experienced in the Base Business.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COVID-19 Outlook</w:t>
      </w:r>
    </w:p>
    <w:p>
      <w:pPr>
        <w:spacing w:after="0" w:line="11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COVID-19 has had, and continues to have, an extensive impact on the global health and economic environments. The Company is closely monitoring the impact of the COVID-19 pandemic on all aspects of the business, given the continued unpredictability and the corresponding government restrictions and customer behavior.</w:t>
      </w:r>
    </w:p>
    <w:p>
      <w:pPr>
        <w:spacing w:after="0" w:line="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While the Company anticipates that COVID-19 will continue to have a significant impact on its business through 2021 and potentially beyond, the Company expects that the rollout of COVID-19 vaccines will likely lead to a gradual decline in the demand for COVID-19 Testing. As a result, COVID-19 Testing demand is not predicted to match 2020 levels. However, the Company believes that other diagnostic testing should continue to expand, and both COVID-19 and non-COVID-19 drug development activity is expected to grow in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w:t>
      </w:r>
    </w:p>
    <w:p>
      <w:pPr>
        <w:spacing w:after="0" w:line="12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believes it has a strong track record of deploying capital to investments that enhance the Company's business and return capital to shareholders.</w:t>
      </w:r>
    </w:p>
    <w:p>
      <w:pPr>
        <w:spacing w:after="0" w:line="7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2020, the Company invested $267.6 million in strategic business acquisitions. The acquisitions have expanded the Company’s service offerings, expanded its customer and revenue mix, and strengthened and broadened the scope of its geographic presence. The Company continues to evaluate acquisition opportunities that leverage the Company’s core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competencies, complement existing scientific and technological capabilities, increase the Company’s presence in key geographic, therapeutic and strategic areas, and meet or exceed the Company’s financial criteria.</w:t>
      </w:r>
    </w:p>
    <w:p>
      <w:pPr>
        <w:spacing w:after="0" w:line="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2020, the Company purchased 0.6 million shares of its common stock at an average price of $178.85 for a total cost of $100.0 million. After making these purchases in the first quarter, the Company temporarily suspended its share repurchase program as a part of the fiscal measures it took in response to the uncertainty of the COVID-19 pandemic, to preserve liquidity and financial flexibility. The Company reinstated its share repurchase program in the fourth quarter but made no additional purchases in 2020. At the end of 2020, the Company had a remaining authorization with no expiration date to purchase an additional $800.0 million of Company common stock.</w:t>
      </w:r>
    </w:p>
    <w:p>
      <w:pPr>
        <w:spacing w:after="0" w:line="93"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During 2020, capital expenditures were $381.7 million and the Company also repaid $412.2 million of its Senior Notes. The Company expects capital expenditures in 2021 to be approximately 4.0% of revenues, primarily in connection with projects to support growth in the Company's core businesses, facility expansion and updates, projects related to both ongoing and new LaunchPad initiatives, and further acquisition integration initiatives.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will continue to evaluate all opportunities for strategic deployment of capital in light of market conditions.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External Factors</w:t>
      </w:r>
    </w:p>
    <w:p>
      <w:pPr>
        <w:spacing w:after="0" w:line="12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experiences seasonality across its business. For example, testing volume generally declines during the year-end holiday period and other major holidays and can also decline due to inclement weather or natural disasters. Declines in testing volume reduce revenues, operating margins and cash flows. Operations are also impacted by changes in the global economy, exchange rate fluctuations, political and regulatory changes, the progress of ongoing studies and the startup of new studies, as well as the level of expenditures made by the biopharmaceutical industry in R&amp;D. In 2020, as discussed in more detail elsewhere in Item 1, COVID-19 had significant impact on the Company. This impact included both the effect of the Company’s response to the virus through its testing and drug development services and the effect of COVID-19 on the global economy and how that affected demand for the Company’s non-COVID-19 services.</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2020, approximately 10.7% of the Company's revenues were billed in currencies other than the U.S. dollar, with the Swiss franc, British pound, Canadian dollar, and the euro representing the largest components of its currency exposure. Given the seasonality and changing economic factors impacting the business, comparison of the results for successive quarters may not accurately reflect trends or results for the full year.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Reporting</w:t>
      </w:r>
    </w:p>
    <w:p>
      <w:pPr>
        <w:spacing w:after="0" w:line="104"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The Company’s Annual Report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U.S. Securities and Exchange Commission (SEC). Additionally, the SEC maintains a website at http://www.sec.gov that contains reports, proxy and information statements, and other information regarding issuers, including the Company, that file electronically with the SEC.</w:t>
      </w:r>
    </w:p>
    <w:p>
      <w:pPr>
        <w:spacing w:after="0" w:line="10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matters discussed in this “Business” section should be read in conjunction with the Consolidated Financial Statements found in Item 8 of Part II of this Annual Report, which include additional financial information about the Company. This Annual Report includes forward-looking statements that involve risks or uncertainties. The Company’s results could differ materially from those anticipated in these forward-looking statements as a result of certain factors, including the risk factors described in Item 1A of Part I of this Annual Report and elsewhere. For more information about forward-looking statements, see “Forward-Looking Statements” included prior to Part I in this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experienced growth across all key financial metrics in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3"/>
              </w:rPr>
              <w:t>Years Ended December 31,</w:t>
            </w:r>
          </w:p>
        </w:tc>
      </w:tr>
      <w:tr>
        <w:trPr>
          <w:trHeight w:val="236"/>
        </w:trPr>
        <w:tc>
          <w:tcPr>
            <w:tcW w:w="542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11,554.8</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4,952.8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3,252.5</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w w:val="94"/>
              </w:rPr>
              <w:t>Net earnings attributable to Laboratory Corporation of America Holdings</w:t>
            </w:r>
          </w:p>
        </w:tc>
        <w:tc>
          <w:tcPr>
            <w:tcW w:w="3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823.8</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904"/>
        </w:trPr>
        <w:tc>
          <w:tcPr>
            <w:tcW w:w="5420" w:type="dxa"/>
            <w:vAlign w:val="bottom"/>
          </w:tcPr>
          <w:p>
            <w:pPr>
              <w:spacing w:after="0"/>
              <w:rPr>
                <w:sz w:val="24"/>
                <w:szCs w:val="24"/>
                <w:color w:val="auto"/>
              </w:rPr>
            </w:pPr>
          </w:p>
        </w:tc>
        <w:tc>
          <w:tcPr>
            <w:tcW w:w="3100" w:type="dxa"/>
            <w:vAlign w:val="bottom"/>
          </w:tcPr>
          <w:p>
            <w:pPr>
              <w:jc w:val="right"/>
              <w:ind w:right="27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reports its business in two segments, Dx and DD. In 2020, Dx and DD contributed 65% and 35%, respectively, of revenues to the Company, and in 2019 contributed 60% and 40%, respectively. Nearly all of Dx’s revenues are generated in the U.S., with a smaller portion in Canada and a relatively small amount in the rest of the world. DD’s revenues are nearly evenly split between the U.S. and the rest of the world, with approximately 49% derived from the U.S. and approximately 51% from other countries. Although this allocation of revenues provides some protection from economic shifts in any one country, it is still heavily tilted towards the U.S. As a result, the Company continues to actively explore new and expanded business opportunities outside the U.S. to further diversify its sources of revenues. The Company's revenues by segment payers/customer groups and by geography for the years ended December 31, 2020, 2019 and 2018 are as follows:</w:t>
      </w:r>
    </w:p>
    <w:p>
      <w:pPr>
        <w:spacing w:after="0" w:line="135" w:lineRule="exact"/>
        <w:rPr>
          <w:sz w:val="20"/>
          <w:szCs w:val="20"/>
          <w:color w:val="auto"/>
        </w:rPr>
      </w:pPr>
    </w:p>
    <w:tbl>
      <w:tblPr>
        <w:tblLayout w:type="fixed"/>
        <w:tblInd w:w="1040" w:type="dxa"/>
        <w:tblCellMar>
          <w:top w:w="0" w:type="dxa"/>
          <w:left w:w="0" w:type="dxa"/>
          <w:bottom w:w="0" w:type="dxa"/>
          <w:right w:w="0" w:type="dxa"/>
        </w:tblCellMar>
      </w:tblPr>
      <w:tr>
        <w:trPr>
          <w:trHeight w:val="176"/>
        </w:trPr>
        <w:tc>
          <w:tcPr>
            <w:tcW w:w="1260" w:type="dxa"/>
            <w:vAlign w:val="bottom"/>
            <w:tcBorders>
              <w:right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3"/>
              </w:rPr>
              <w:t>For the Year Ended</w:t>
            </w:r>
          </w:p>
        </w:tc>
        <w:tc>
          <w:tcPr>
            <w:tcW w:w="500" w:type="dxa"/>
            <w:vAlign w:val="bottom"/>
            <w:tcBorders>
              <w:top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3"/>
              </w:rPr>
              <w:t>For the Year Ended</w:t>
            </w:r>
          </w:p>
        </w:tc>
        <w:tc>
          <w:tcPr>
            <w:tcW w:w="520" w:type="dxa"/>
            <w:vAlign w:val="bottom"/>
            <w:tcBorders>
              <w:top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8"/>
              </w:rPr>
              <w:t>For the Year Ended</w:t>
            </w:r>
          </w:p>
        </w:tc>
        <w:tc>
          <w:tcPr>
            <w:tcW w:w="6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60" w:type="dxa"/>
            <w:vAlign w:val="bottom"/>
            <w:tcBorders>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5"/>
              </w:rPr>
              <w:t>December 31, 2020</w:t>
            </w:r>
          </w:p>
        </w:tc>
        <w:tc>
          <w:tcPr>
            <w:tcW w:w="500" w:type="dxa"/>
            <w:vAlign w:val="bottom"/>
            <w:tcBorders>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5"/>
              </w:rPr>
              <w:t>December 31, 2019</w:t>
            </w:r>
          </w:p>
        </w:tc>
        <w:tc>
          <w:tcPr>
            <w:tcW w:w="5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9"/>
              </w:rPr>
              <w:t>December 31, 2018</w:t>
            </w:r>
          </w:p>
        </w:tc>
        <w:tc>
          <w:tcPr>
            <w:tcW w:w="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60" w:type="dxa"/>
            <w:vAlign w:val="bottom"/>
            <w:tcBorders>
              <w:right w:val="single" w:sz="8" w:color="auto"/>
            </w:tcBorders>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600" w:type="dxa"/>
            <w:vAlign w:val="bottom"/>
            <w:tcBorders>
              <w:right w:val="single" w:sz="8" w:color="auto"/>
            </w:tcBorders>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260" w:type="dxa"/>
            <w:vAlign w:val="bottom"/>
            <w:tcBorders>
              <w:right w:val="single" w:sz="8" w:color="auto"/>
            </w:tcBorders>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Payer/Customer</w:t>
            </w: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6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Clients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3"/>
        </w:trPr>
        <w:tc>
          <w:tcPr>
            <w:tcW w:w="12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56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120" w:type="dxa"/>
            <w:vAlign w:val="bottom"/>
            <w:tcBorders>
              <w:right w:val="single" w:sz="8" w:color="auto"/>
            </w:tcBorders>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8 %</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38"/>
        </w:trPr>
        <w:tc>
          <w:tcPr>
            <w:tcW w:w="1260" w:type="dxa"/>
            <w:vAlign w:val="bottom"/>
            <w:tcBorders>
              <w:right w:val="single" w:sz="8" w:color="auto"/>
            </w:tcBorders>
            <w:shd w:val="clear" w:color="auto" w:fill="CCEEFF"/>
          </w:tcPr>
          <w:p>
            <w:pPr>
              <w:ind w:left="120"/>
              <w:spacing w:after="0" w:line="138" w:lineRule="exact"/>
              <w:rPr>
                <w:sz w:val="20"/>
                <w:szCs w:val="20"/>
                <w:color w:val="auto"/>
              </w:rPr>
            </w:pPr>
            <w:r>
              <w:rPr>
                <w:rFonts w:ascii="Arial" w:cs="Arial" w:eastAsia="Arial" w:hAnsi="Arial"/>
                <w:sz w:val="14"/>
                <w:szCs w:val="14"/>
                <w:color w:val="auto"/>
              </w:rPr>
              <w:t>Medicare and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tcBorders>
              <w:right w:val="single" w:sz="8" w:color="auto"/>
            </w:tcBorders>
            <w:shd w:val="clear" w:color="auto" w:fill="CCEEFF"/>
          </w:tcPr>
          <w:p>
            <w:pPr>
              <w:spacing w:after="0"/>
              <w:rPr>
                <w:sz w:val="12"/>
                <w:szCs w:val="12"/>
                <w:color w:val="auto"/>
              </w:rPr>
            </w:pPr>
          </w:p>
        </w:tc>
        <w:tc>
          <w:tcPr>
            <w:tcW w:w="2100" w:type="dxa"/>
            <w:vAlign w:val="bottom"/>
            <w:gridSpan w:val="6"/>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9%—%   —%</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89"/>
        </w:trPr>
        <w:tc>
          <w:tcPr>
            <w:tcW w:w="12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Medicaid</w:t>
            </w: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100" w:type="dxa"/>
            <w:vAlign w:val="bottom"/>
            <w:gridSpan w:val="6"/>
            <w:vMerge w:val="continue"/>
            <w:shd w:val="clear" w:color="auto" w:fill="CCEEFF"/>
          </w:tcPr>
          <w:p>
            <w:pPr>
              <w:spacing w:after="0"/>
              <w:rPr>
                <w:sz w:val="16"/>
                <w:szCs w:val="16"/>
                <w:color w:val="auto"/>
              </w:rPr>
            </w:pPr>
          </w:p>
        </w:tc>
        <w:tc>
          <w:tcPr>
            <w:tcW w:w="60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60" w:type="dxa"/>
            <w:vAlign w:val="bottom"/>
            <w:tcBorders>
              <w:bottom w:val="single" w:sz="8" w:color="CCEEFF"/>
              <w:right w:val="single" w:sz="8" w:color="auto"/>
            </w:tcBorders>
          </w:tcPr>
          <w:p>
            <w:pPr>
              <w:ind w:left="120"/>
              <w:spacing w:after="0"/>
              <w:rPr>
                <w:sz w:val="20"/>
                <w:szCs w:val="20"/>
                <w:color w:val="auto"/>
              </w:rPr>
            </w:pPr>
            <w:r>
              <w:rPr>
                <w:rFonts w:ascii="Arial" w:cs="Arial" w:eastAsia="Arial" w:hAnsi="Arial"/>
                <w:sz w:val="14"/>
                <w:szCs w:val="14"/>
                <w:color w:val="auto"/>
              </w:rPr>
              <w:t>Third-party</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Borders>
              <w:bottom w:val="single" w:sz="8" w:color="CCEEFF"/>
              <w:right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CCEEFF"/>
              <w:right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18"/>
        </w:trPr>
        <w:tc>
          <w:tcPr>
            <w:tcW w:w="1260" w:type="dxa"/>
            <w:vAlign w:val="bottom"/>
            <w:tcBorders>
              <w:right w:val="single" w:sz="8" w:color="auto"/>
            </w:tcBorders>
            <w:shd w:val="clear" w:color="auto" w:fill="CCEEFF"/>
          </w:tcPr>
          <w:p>
            <w:pPr>
              <w:ind w:left="20"/>
              <w:spacing w:after="0" w:line="118" w:lineRule="exact"/>
              <w:rPr>
                <w:sz w:val="20"/>
                <w:szCs w:val="20"/>
                <w:color w:val="auto"/>
              </w:rPr>
            </w:pPr>
            <w:r>
              <w:rPr>
                <w:rFonts w:ascii="Arial" w:cs="Arial" w:eastAsia="Arial" w:hAnsi="Arial"/>
                <w:sz w:val="13"/>
                <w:szCs w:val="13"/>
                <w:i w:val="1"/>
                <w:iCs w:val="1"/>
                <w:color w:val="auto"/>
              </w:rPr>
              <w:t>Total Dx revenues</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Borders>
              <w:right w:val="single" w:sz="8" w:color="auto"/>
            </w:tcBorders>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Borders>
              <w:right w:val="single" w:sz="8" w:color="auto"/>
            </w:tcBorders>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189"/>
        </w:trPr>
        <w:tc>
          <w:tcPr>
            <w:tcW w:w="12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by payer</w:t>
            </w: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60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DD</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6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w w:val="95"/>
              </w:rPr>
              <w:t>Biopharmaceutical</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and medical device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35 %</w:t>
            </w:r>
          </w:p>
        </w:tc>
        <w:tc>
          <w:tcPr>
            <w:tcW w:w="120" w:type="dxa"/>
            <w:vAlign w:val="bottom"/>
            <w:tcBorders>
              <w:righ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Borders>
              <w:righ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1"/>
                <w:szCs w:val="11"/>
                <w:color w:val="auto"/>
              </w:rPr>
            </w:pP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186"/>
        </w:trPr>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companies</w:t>
            </w:r>
          </w:p>
        </w:tc>
        <w:tc>
          <w:tcPr>
            <w:tcW w:w="5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260" w:type="dxa"/>
            <w:vAlign w:val="bottom"/>
            <w:tcBorders>
              <w:right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82 %</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Dx Segment</w:t>
      </w:r>
    </w:p>
    <w:p>
      <w:pPr>
        <w:spacing w:after="0" w:line="131"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During 2020, the Dx segment generated $9,253.4 million in total revenues and $2,634.9 million in operating income, resulting in an operating margin of 28.5%.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5"/>
              </w:rPr>
              <w:t>Year Ended December 31,</w:t>
            </w:r>
          </w:p>
        </w:tc>
      </w:tr>
      <w:tr>
        <w:trPr>
          <w:trHeight w:val="237"/>
        </w:trPr>
        <w:tc>
          <w:tcPr>
            <w:tcW w:w="8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7,000.1</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2,634.9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1,086.0</w:t>
            </w:r>
          </w:p>
        </w:tc>
      </w:tr>
    </w:tbl>
    <w:p>
      <w:pPr>
        <w:spacing w:after="0" w:line="120" w:lineRule="exact"/>
        <w:rPr>
          <w:sz w:val="20"/>
          <w:szCs w:val="20"/>
          <w:color w:val="auto"/>
        </w:rPr>
      </w:pPr>
    </w:p>
    <w:p>
      <w:pPr>
        <w:jc w:val="both"/>
        <w:ind w:firstLine="283"/>
        <w:spacing w:after="0" w:line="286" w:lineRule="auto"/>
        <w:rPr>
          <w:sz w:val="20"/>
          <w:szCs w:val="20"/>
          <w:color w:val="auto"/>
        </w:rPr>
      </w:pPr>
      <w:r>
        <w:rPr>
          <w:rFonts w:ascii="Arial" w:cs="Arial" w:eastAsia="Arial" w:hAnsi="Arial"/>
          <w:sz w:val="17"/>
          <w:szCs w:val="17"/>
          <w:color w:val="auto"/>
        </w:rPr>
        <w:t>Dx is an independent clinical laboratory business. It offers a comprehensive menu of frequently requested and specialty testing through an integrated network of primary and specialty laboratories across the U.S. This network is supported by a sophisticated information technology system, with more than 75,000 electronic interfaces to deliver test results, nimble and efficient logistics, and local labs offering rapid response testing.</w:t>
      </w:r>
    </w:p>
    <w:p>
      <w:pPr>
        <w:spacing w:after="0" w:line="71" w:lineRule="exact"/>
        <w:rPr>
          <w:sz w:val="20"/>
          <w:szCs w:val="20"/>
          <w:color w:val="auto"/>
        </w:rPr>
      </w:pPr>
    </w:p>
    <w:p>
      <w:pPr>
        <w:jc w:val="both"/>
        <w:ind w:firstLine="283"/>
        <w:spacing w:after="0" w:line="261" w:lineRule="auto"/>
        <w:rPr>
          <w:sz w:val="20"/>
          <w:szCs w:val="20"/>
          <w:color w:val="auto"/>
        </w:rPr>
      </w:pPr>
      <w:r>
        <w:rPr>
          <w:rFonts w:ascii="Arial" w:cs="Arial" w:eastAsia="Arial" w:hAnsi="Arial"/>
          <w:sz w:val="17"/>
          <w:szCs w:val="17"/>
          <w:color w:val="auto"/>
        </w:rPr>
        <w:t>Dx also provides patient access points, strategically and conveniently located throughout the U.S., including nearly 2,000 patient service centers (PSCs) operated by Dx and more than 6,000 in-office phlebotomists who are located in customer offices and facilities. 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DNA testing to determine parentage and to assist in immigration eligibility determinations, environmental testing, wellness testing, toxicology testing, pain management testing, and medical drug monitoring. Dx offers an expansive test menu including a wide range of clinical, anatomic pathology, genetic and genomic tests, and regularly adds new tests and improves the methodology of existing tests to enhance patient care. Dx also offers consumer-initiated wellness testing available online through its Pixel by Labcorp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platform, which saw growth and increased consumer awareness in 2020 as a result of offering the first at-home collection kit for COVID-19 PCR testing to receive an EUA from the FDA and the first to receive an EUA for retail availability without a prescription. The COVID-19 at-home collection kits are also available for healthcare providers to order for their patients through Labcorp at Home.</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Through the dedicated effort of approximately 42,000 employees, Dx typically processes tests for more than 3 million patient encounters each week.</w:t>
      </w:r>
    </w:p>
    <w:p>
      <w:pPr>
        <w:spacing w:after="0" w:line="167"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As part of an ongoing commitment to be an efficient and high value provider of laboratory services, beginning in 2015, Dx implemented a comprehensive business process improvement initiative, referred to as LaunchPad, to reengineer its systems and processes to create a sustainable and more efficient business model, and to improve the experience of all stakeholders. Dx achieved its goals for the initial phase of LaunchPad of delivering both short- and long-term savings, and implementing system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process improvements that are expected to continue to yield benefits for the foreseeable future. Dx has subsequently extended LaunchPad, adding new enterprise-wide projects and establishing the initiative as an ongoing continuous improvement program. Dx’s LaunchPad initiative is currently on track to deliver approximately $200.0 million in net savings for the period of late 2018 through the end of 2021, while incurring approximately $40.0 million in one-time implementation costs.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Dx business can be categorized into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tcBorders>
              <w:bottom w:val="single" w:sz="8" w:color="auto"/>
            </w:tcBorders>
            <w:shd w:val="clear" w:color="auto" w:fill="000000"/>
          </w:tcPr>
          <w:p>
            <w:pPr>
              <w:ind w:left="840"/>
              <w:spacing w:after="0"/>
              <w:rPr>
                <w:sz w:val="20"/>
                <w:szCs w:val="20"/>
                <w:color w:val="auto"/>
              </w:rPr>
            </w:pPr>
            <w:r>
              <w:rPr>
                <w:rFonts w:ascii="Arial" w:cs="Arial" w:eastAsia="Arial" w:hAnsi="Arial"/>
                <w:sz w:val="18"/>
                <w:szCs w:val="18"/>
                <w:b w:val="1"/>
                <w:bCs w:val="1"/>
                <w:color w:val="FFFFFF"/>
              </w:rPr>
              <w:t>Service</w:t>
            </w:r>
          </w:p>
        </w:tc>
        <w:tc>
          <w:tcPr>
            <w:tcW w:w="260" w:type="dxa"/>
            <w:vAlign w:val="bottom"/>
            <w:tcBorders>
              <w:bottom w:val="single" w:sz="8" w:color="auto"/>
            </w:tcBorders>
            <w:shd w:val="clear" w:color="auto" w:fill="000000"/>
          </w:tcPr>
          <w:p>
            <w:pPr>
              <w:spacing w:after="0"/>
              <w:rPr>
                <w:sz w:val="19"/>
                <w:szCs w:val="19"/>
                <w:color w:val="auto"/>
              </w:rPr>
            </w:pPr>
          </w:p>
        </w:tc>
        <w:tc>
          <w:tcPr>
            <w:tcW w:w="8600" w:type="dxa"/>
            <w:vAlign w:val="bottom"/>
            <w:tcBorders>
              <w:bottom w:val="single" w:sz="8" w:color="auto"/>
            </w:tcBorders>
            <w:shd w:val="clear" w:color="auto" w:fill="000000"/>
          </w:tcPr>
          <w:p>
            <w:pPr>
              <w:ind w:left="3640"/>
              <w:spacing w:after="0"/>
              <w:rPr>
                <w:sz w:val="20"/>
                <w:szCs w:val="20"/>
                <w:color w:val="auto"/>
              </w:rPr>
            </w:pPr>
            <w:r>
              <w:rPr>
                <w:rFonts w:ascii="Arial" w:cs="Arial" w:eastAsia="Arial" w:hAnsi="Arial"/>
                <w:sz w:val="18"/>
                <w:szCs w:val="18"/>
                <w:b w:val="1"/>
                <w:bCs w:val="1"/>
                <w:color w:val="FFFFFF"/>
              </w:rPr>
              <w:t>Key Features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8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color w:val="auto"/>
              </w:rPr>
              <w:t>Network of PSCs offering specimen selection services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vMerge w:val="restart"/>
          </w:tcPr>
          <w:p>
            <w:pPr>
              <w:ind w:left="40"/>
              <w:spacing w:after="0"/>
              <w:rPr>
                <w:sz w:val="20"/>
                <w:szCs w:val="20"/>
                <w:color w:val="auto"/>
              </w:rPr>
            </w:pPr>
            <w:r>
              <w:rPr>
                <w:rFonts w:ascii="Arial" w:cs="Arial" w:eastAsia="Arial" w:hAnsi="Arial"/>
                <w:sz w:val="18"/>
                <w:szCs w:val="18"/>
                <w:color w:val="auto"/>
              </w:rPr>
              <w:t>Testing Operations and</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color w:val="auto"/>
                <w:w w:val="97"/>
              </w:rPr>
              <w:t>Comprehensive, nimble supply chain for transferring specimens across the entire life cycle of a patient sample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8600" w:type="dxa"/>
            <w:vAlign w:val="bottom"/>
            <w:vMerge w:val="restart"/>
          </w:tcPr>
          <w:p>
            <w:pPr>
              <w:ind w:left="40"/>
              <w:spacing w:after="0"/>
              <w:rPr>
                <w:sz w:val="20"/>
                <w:szCs w:val="20"/>
                <w:color w:val="auto"/>
              </w:rPr>
            </w:pPr>
            <w:r>
              <w:rPr>
                <w:rFonts w:ascii="Arial" w:cs="Arial" w:eastAsia="Arial" w:hAnsi="Arial"/>
                <w:sz w:val="18"/>
                <w:szCs w:val="18"/>
                <w:color w:val="auto"/>
                <w:w w:val="94"/>
              </w:rPr>
              <w:t>1-2 day turnaround time for most test results, with the vast majority of results delivered electronically to healthcare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80" w:type="dxa"/>
            <w:vAlign w:val="bottom"/>
            <w:vMerge w:val="restart"/>
          </w:tcPr>
          <w:p>
            <w:pPr>
              <w:ind w:left="40"/>
              <w:spacing w:after="0"/>
              <w:rPr>
                <w:sz w:val="20"/>
                <w:szCs w:val="20"/>
                <w:color w:val="auto"/>
              </w:rPr>
            </w:pPr>
            <w:r>
              <w:rPr>
                <w:rFonts w:ascii="Arial" w:cs="Arial" w:eastAsia="Arial" w:hAnsi="Arial"/>
                <w:sz w:val="18"/>
                <w:szCs w:val="18"/>
                <w:color w:val="auto"/>
              </w:rPr>
              <w:t>Productivity</w:t>
            </w:r>
          </w:p>
        </w:tc>
        <w:tc>
          <w:tcPr>
            <w:tcW w:w="260" w:type="dxa"/>
            <w:vAlign w:val="bottom"/>
            <w:vMerge w:val="continue"/>
          </w:tcPr>
          <w:p>
            <w:pPr>
              <w:spacing w:after="0"/>
              <w:rPr>
                <w:sz w:val="10"/>
                <w:szCs w:val="10"/>
                <w:color w:val="auto"/>
              </w:rPr>
            </w:pPr>
          </w:p>
        </w:tc>
        <w:tc>
          <w:tcPr>
            <w:tcW w:w="8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2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0" w:type="dxa"/>
            <w:vAlign w:val="bottom"/>
            <w:vMerge w:val="restart"/>
          </w:tcPr>
          <w:p>
            <w:pPr>
              <w:ind w:left="60"/>
              <w:spacing w:after="0"/>
              <w:rPr>
                <w:sz w:val="20"/>
                <w:szCs w:val="20"/>
                <w:color w:val="auto"/>
              </w:rPr>
            </w:pPr>
            <w:r>
              <w:rPr>
                <w:rFonts w:ascii="Arial" w:cs="Arial" w:eastAsia="Arial" w:hAnsi="Arial"/>
                <w:sz w:val="18"/>
                <w:szCs w:val="18"/>
                <w:color w:val="auto"/>
              </w:rPr>
              <w:t>providers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color w:val="auto"/>
              </w:rPr>
              <w:t>Rigorous standard of quality - 27 regional/specialty labs hold ISO 15189 certification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8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b w:val="1"/>
                <w:bCs w:val="1"/>
                <w:color w:val="auto"/>
                <w:w w:val="91"/>
              </w:rPr>
              <w:t xml:space="preserve">Standard Testing Services - </w:t>
            </w:r>
            <w:r>
              <w:rPr>
                <w:rFonts w:ascii="Arial" w:cs="Arial" w:eastAsia="Arial" w:hAnsi="Arial"/>
                <w:sz w:val="18"/>
                <w:szCs w:val="18"/>
                <w:color w:val="auto"/>
                <w:w w:val="91"/>
              </w:rPr>
              <w:t>frequently-ordered tests used in regular patient care include blood chemistry analyses,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w w:val="95"/>
              </w:rPr>
              <w:t>urinalyses, blood cell counts, thyroid tests, PAP tests, hemoglobin A1C, prostate-specific antigen (PSA), tests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w w:val="93"/>
              </w:rPr>
              <w:t>sexually transmitted diseases (e.g. chlamydia, gonorrhea, trichomoniasis and human immunodeficiency (HIV),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w w:val="93"/>
              </w:rPr>
              <w:t>hepatitis C (HCV)), vitamin D, microbiology cultures and procedures, and alcohol and other substance-abuse tests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8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b w:val="1"/>
                <w:bCs w:val="1"/>
                <w:color w:val="auto"/>
                <w:w w:val="88"/>
              </w:rPr>
              <w:t xml:space="preserve">Specialty Testing Services </w:t>
            </w:r>
            <w:r>
              <w:rPr>
                <w:rFonts w:ascii="Arial" w:cs="Arial" w:eastAsia="Arial" w:hAnsi="Arial"/>
                <w:sz w:val="18"/>
                <w:szCs w:val="18"/>
                <w:color w:val="auto"/>
                <w:w w:val="88"/>
              </w:rPr>
              <w:t>- industry leader in gene-based and esoteric testing; advanced tests target specific diseases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Arial" w:cs="Arial" w:eastAsia="Arial" w:hAnsi="Arial"/>
                <w:sz w:val="18"/>
                <w:szCs w:val="18"/>
                <w:color w:val="auto"/>
                <w:w w:val="94"/>
              </w:rPr>
              <w:t>Testing and Related Services</w:t>
            </w:r>
          </w:p>
        </w:tc>
        <w:tc>
          <w:tcPr>
            <w:tcW w:w="2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w w:val="93"/>
              </w:rPr>
              <w:t>and use new technologies including anatomic pathology/oncology, cardiovascular disease, coagulation, diagnostic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w w:val="97"/>
              </w:rPr>
              <w:t>genetics, endocrinology, infectious disease, women's health, pharmacogenetics, parentage and donor testing,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w w:val="98"/>
              </w:rPr>
              <w:t>occupational testing services, medical drug monitoring services, chronic disease programs, and kidney stone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prevention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color w:val="auto"/>
                <w:w w:val="91"/>
              </w:rPr>
              <w:t>Dx offers a range of health and wellness services to employers and MCOs, including health fairs, on-site and at-home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testing, vaccinations and health screenings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80" w:type="dxa"/>
            <w:vAlign w:val="bottom"/>
          </w:tcPr>
          <w:p>
            <w:pPr>
              <w:spacing w:after="0"/>
              <w:rPr>
                <w:sz w:val="19"/>
                <w:szCs w:val="19"/>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color w:val="auto"/>
              </w:rPr>
              <w:t>Approximately 100 new tests launched in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40"/>
              <w:spacing w:after="0"/>
              <w:rPr>
                <w:sz w:val="20"/>
                <w:szCs w:val="20"/>
                <w:color w:val="auto"/>
              </w:rPr>
            </w:pPr>
            <w:r>
              <w:rPr>
                <w:rFonts w:ascii="Arial" w:cs="Arial" w:eastAsia="Arial" w:hAnsi="Arial"/>
                <w:sz w:val="18"/>
                <w:szCs w:val="18"/>
                <w:color w:val="auto"/>
              </w:rPr>
              <w:t>Development of New Tests</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color w:val="auto"/>
                <w:w w:val="91"/>
              </w:rPr>
              <w:t>Active diagnostics and therpeutics research division: Nearly 700 studies, articles, and presentations produced in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600" w:type="dxa"/>
            <w:vAlign w:val="bottom"/>
          </w:tcPr>
          <w:p>
            <w:pPr>
              <w:ind w:left="40"/>
              <w:spacing w:after="0"/>
              <w:rPr>
                <w:sz w:val="20"/>
                <w:szCs w:val="20"/>
                <w:color w:val="auto"/>
              </w:rPr>
            </w:pPr>
            <w:r>
              <w:rPr>
                <w:rFonts w:ascii="Arial" w:cs="Arial" w:eastAsia="Arial" w:hAnsi="Arial"/>
                <w:sz w:val="18"/>
                <w:szCs w:val="18"/>
                <w:color w:val="auto"/>
                <w:w w:val="99"/>
              </w:rPr>
              <w:t>Continuous investing, internally and externally, in new testing technologies and advanced testing capabilities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-2716530</wp:posOffset>
            </wp:positionV>
            <wp:extent cx="7080885" cy="3883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0885" cy="3883025"/>
                    </a:xfrm>
                    <a:prstGeom prst="rect">
                      <a:avLst/>
                    </a:prstGeom>
                    <a:noFill/>
                  </pic:spPr>
                </pic:pic>
              </a:graphicData>
            </a:graphic>
          </wp:anchor>
        </w:drawing>
      </w:r>
    </w:p>
    <w:p>
      <w:pPr>
        <w:spacing w:after="0" w:line="33" w:lineRule="exact"/>
        <w:rPr>
          <w:sz w:val="20"/>
          <w:szCs w:val="20"/>
          <w:color w:val="auto"/>
        </w:rPr>
      </w:pPr>
    </w:p>
    <w:p>
      <w:pPr>
        <w:ind w:left="2260" w:right="680"/>
        <w:spacing w:after="0" w:line="258" w:lineRule="auto"/>
        <w:rPr>
          <w:sz w:val="20"/>
          <w:szCs w:val="20"/>
          <w:color w:val="auto"/>
        </w:rPr>
      </w:pPr>
      <w:r>
        <w:rPr>
          <w:rFonts w:ascii="Arial" w:cs="Arial" w:eastAsia="Arial" w:hAnsi="Arial"/>
          <w:sz w:val="18"/>
          <w:szCs w:val="18"/>
          <w:color w:val="auto"/>
        </w:rPr>
        <w:t>A range of services and support using proprietary technologies to improve the customer and patient experience and provide convenient access to data and analytics, including:</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 More than 6 million enhanced clinical decision support (CDS) reports delivered to physicians and health systems</w:t>
      </w:r>
    </w:p>
    <w:p>
      <w:pPr>
        <w:spacing w:after="0" w:line="21" w:lineRule="exact"/>
        <w:rPr>
          <w:sz w:val="20"/>
          <w:szCs w:val="20"/>
          <w:color w:val="auto"/>
        </w:rPr>
      </w:pPr>
    </w:p>
    <w:p>
      <w:pPr>
        <w:ind w:left="2420" w:right="640" w:hanging="2551"/>
        <w:spacing w:after="0" w:line="250" w:lineRule="auto"/>
        <w:tabs>
          <w:tab w:leader="none" w:pos="2400" w:val="left"/>
        </w:tabs>
        <w:rPr>
          <w:sz w:val="20"/>
          <w:szCs w:val="20"/>
          <w:color w:val="auto"/>
        </w:rPr>
      </w:pPr>
      <w:r>
        <w:rPr>
          <w:rFonts w:ascii="Arial" w:cs="Arial" w:eastAsia="Arial" w:hAnsi="Arial"/>
          <w:sz w:val="35"/>
          <w:szCs w:val="35"/>
          <w:color w:val="auto"/>
          <w:vertAlign w:val="subscript"/>
        </w:rPr>
        <w:t>Development of New Tests</w:t>
      </w:r>
      <w:r>
        <w:rPr>
          <w:sz w:val="20"/>
          <w:szCs w:val="20"/>
          <w:color w:val="auto"/>
        </w:rPr>
        <w:tab/>
      </w:r>
      <w:r>
        <w:rPr>
          <w:rFonts w:ascii="Arial" w:cs="Arial" w:eastAsia="Arial" w:hAnsi="Arial"/>
          <w:sz w:val="18"/>
          <w:szCs w:val="18"/>
          <w:color w:val="auto"/>
        </w:rPr>
        <w:t>• Online and mobile applications allowing patients to check test results, schedule appointments and manage their accounts</w:t>
      </w:r>
    </w:p>
    <w:p>
      <w:pPr>
        <w:spacing w:after="0" w:line="1" w:lineRule="exact"/>
        <w:rPr>
          <w:sz w:val="20"/>
          <w:szCs w:val="20"/>
          <w:color w:val="auto"/>
        </w:rPr>
      </w:pPr>
    </w:p>
    <w:p>
      <w:pPr>
        <w:ind w:left="2600" w:right="820" w:hanging="171"/>
        <w:spacing w:after="0" w:line="250" w:lineRule="auto"/>
        <w:tabs>
          <w:tab w:leader="none" w:pos="25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self-service apps for scheduling PSC visits, checking in upon arrival, and completing documentation, expediting and improving the patient experience</w:t>
      </w:r>
    </w:p>
    <w:p>
      <w:pPr>
        <w:ind w:left="2580" w:hanging="151"/>
        <w:spacing w:after="0"/>
        <w:tabs>
          <w:tab w:leader="none" w:pos="2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Online applications for MCOs and accountable care organizations (ACOs) to obtain test results and quality data</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Effect of U.S. Market Changes on the Clinical Laboratory Business</w:t>
      </w:r>
    </w:p>
    <w:p>
      <w:pPr>
        <w:spacing w:after="0" w:line="144" w:lineRule="exact"/>
        <w:rPr>
          <w:sz w:val="20"/>
          <w:szCs w:val="20"/>
          <w:color w:val="auto"/>
        </w:rPr>
      </w:pPr>
    </w:p>
    <w:p>
      <w:pPr>
        <w:jc w:val="both"/>
        <w:ind w:firstLine="283"/>
        <w:spacing w:after="0" w:line="273" w:lineRule="auto"/>
        <w:rPr>
          <w:sz w:val="20"/>
          <w:szCs w:val="20"/>
          <w:color w:val="auto"/>
        </w:rPr>
      </w:pPr>
      <w:r>
        <w:rPr>
          <w:rFonts w:ascii="Arial" w:cs="Arial" w:eastAsia="Arial" w:hAnsi="Arial"/>
          <w:sz w:val="17"/>
          <w:szCs w:val="17"/>
          <w:color w:val="auto"/>
        </w:rPr>
        <w:t>The delivery of, and reimbursement for, healthcare continues to change in the U.S., impacting all stakeholders, including the clinical laboratory business. 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and decreased test utilization for the clinical laboratory industry by imposing new, increasingly complex regulatory and administrative requirements. The government also has continued to adjust the Medicare and Medicaid fee schedules at the national and local level, and Dx believes that pressure to reduce government reimbursement will continue.</w:t>
      </w:r>
    </w:p>
    <w:p>
      <w:pPr>
        <w:spacing w:after="0" w:line="83" w:lineRule="exact"/>
        <w:rPr>
          <w:sz w:val="20"/>
          <w:szCs w:val="20"/>
          <w:color w:val="auto"/>
        </w:rPr>
      </w:pPr>
    </w:p>
    <w:p>
      <w:pPr>
        <w:jc w:val="both"/>
        <w:ind w:firstLine="283"/>
        <w:spacing w:after="0" w:line="296" w:lineRule="auto"/>
        <w:rPr>
          <w:sz w:val="20"/>
          <w:szCs w:val="20"/>
          <w:color w:val="auto"/>
        </w:rPr>
      </w:pPr>
      <w:r>
        <w:rPr>
          <w:rFonts w:ascii="Arial" w:cs="Arial" w:eastAsia="Arial" w:hAnsi="Arial"/>
          <w:sz w:val="16"/>
          <w:szCs w:val="16"/>
          <w:color w:val="auto"/>
        </w:rPr>
        <w:t>Fees for most laboratory services reimbursed by Medicare are established in the Clinical Laboratory Fee Schedule (CLFS) and fees for other testing reimbursed by Medicare, primarily related to pathology, are covered by the Physician Fee Schedule (PFS). During 2020, approximately 8.8% of Dx’s revenue was reimbursed under the CLFS (11.7% in 2019), and approximately 0.4% was reimbursed under the PFS (0.6% in 2019). Over the past several years, Dx has experienced governmental reimbursement reductions as a direct result of several Congressional acts and regulatory initiatives, the most significant of which was PAMA. PAMA, which became law on April 1, 2014, and which went into effect on January 1, 2018, resulted in 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reduction in reimbursement revenue of approximately $72.0 million in 2020 from all payers affected by the CLFS (approximately $107.0 million in 2019). These laws include provisions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68"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In 2020, Dx realized a net reduction of approximately $0.5 million in PFS revenue, driven by reductions in reimbursement for flow cytometry procedures ($1.9 million in 2019). In 2020, Dx realized an increase of approximately $10.1 million in aggregate Medicare reimbursement associated with the suspension of sequestration through December of 2020 as a result of provisions included in the CARES Act. In 2021, Dx anticipates it will realize increases of approximately $0.3 million in PFS revenue and $4.1 million in aggregate Medicare reimbursement associated with the extended suspension of sequestration through March 2021 as a result of provisions included in the Omnibus Appropriations and Coronavirus Relief Package.</w:t>
      </w:r>
    </w:p>
    <w:p>
      <w:pPr>
        <w:spacing w:after="0" w:line="82"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7"/>
          <w:szCs w:val="17"/>
          <w:color w:val="auto"/>
        </w:rPr>
        <w:t>Beginning in 2018, under PAMA, the Centers for Medicare and Medicaid Services (CMS) of the U.S. Department of Health and Human Services (HHS) set the CLFS using the weighted median of reported private payer prices paid to certain laboratories that receive a majority of their Medicare revenue from the CLFS and PFS and that bill Medicare under their own National Provider Identifier (NPI). Applicable labs, including Dx, were required to begin reporting their test-specific private payer payment amounts to CMS during the first quarter of 2017. CMS used that private market data to calculate weighted median prices for each test (based on applicable current procedural technology (CPT) codes) to represent the new CLFS rates beginning in 2018, subject to certain phase-in limits. For 2018-2020, a test price could not be reduced by more than 10.0% per year. As a result of provisions included within the CARES Act, passed by Congress in 2020, PAMA rate reductions for 2021 have been suspended, and therefore the Company will not experience any incremental reimbursement rate impact due to PAMA in 2021.</w:t>
      </w:r>
    </w:p>
    <w:p>
      <w:pPr>
        <w:spacing w:after="0" w:line="84" w:lineRule="exact"/>
        <w:rPr>
          <w:sz w:val="20"/>
          <w:szCs w:val="20"/>
          <w:color w:val="auto"/>
        </w:rPr>
      </w:pPr>
    </w:p>
    <w:p>
      <w:pPr>
        <w:jc w:val="both"/>
        <w:ind w:firstLine="283"/>
        <w:spacing w:after="0" w:line="293" w:lineRule="auto"/>
        <w:rPr>
          <w:sz w:val="20"/>
          <w:szCs w:val="20"/>
          <w:color w:val="auto"/>
        </w:rPr>
      </w:pPr>
      <w:r>
        <w:rPr>
          <w:rFonts w:ascii="Arial" w:cs="Arial" w:eastAsia="Arial" w:hAnsi="Arial"/>
          <w:sz w:val="16"/>
          <w:szCs w:val="16"/>
          <w:color w:val="auto"/>
        </w:rPr>
        <w:t>For 2022-2024, a test price cannot be reduced by more than 15.0% per year. The process of data reporting and repricing will be repeated every three years for Clinical Diagnostic Laboratory Tests (CDLTs) beginning in 2022. Under current law, as revised in the CARES Act, the next data reporting period for CDLTs (based on data collected in 2019) will occur during the first quarter of 2022, and new CLFS rates for CDLTs will be established based on that data beginning in 2023, subject to the previously described phase-in limits. The subsequent data reporting period for CDLTs (based on data collected in 2023) will occur during the first quarter of 2025, and new CLFS rates for CDLTs will be established based on that data beginning in 2026. CLFS rates for 2025 and subsequent periods will not be subject to phase-in limits. CLFS rates for Advanced Diagnostic Laboratory Tests will be updated annually.</w:t>
      </w:r>
    </w:p>
    <w:p>
      <w:pPr>
        <w:spacing w:after="0" w:line="83"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The American Clinical Laboratory Association (ACLA) has filed a federal civil action challenging the legal basis for the data collection methodology CMS used to derive the data from which the median prices were calculated. Since the initial data collection, CMS has revised its PAMA regulations to increase the number of hospital outreach labs that will be required to report private market data in future collections. Reports by the U.S. Government Accountability Office (GAO) and the HHS Office of Inspector General (OIG) on PAMA implementation have identified certain instances of actual or potential increased Medicare expenditures under PAMA that could result in further efforts to amend PAMA by Congress.</w:t>
      </w:r>
    </w:p>
    <w:p>
      <w:pPr>
        <w:spacing w:after="0" w:line="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ACLA continues to work with Congress on potential legislative reform of PAMA, which if adopted could reduce the negative impact of PAMA as currently implemented by CMS. Under the Laboratory Access for Beneficiaries (LAB) Act, the Medicare Payment Advisory Commission is required to conduct a study and make recommendations to Congress on ways to improve data collection, reporting, and rate setting under PAMA to achieve, in a less burdensome manner, CLFS rates that accurately and fairly reflect private market rates. The Company supports the ongoing efforts to prevent or lessen the negative impact of the changes to the CLFS pursuant to PAMA, and the full impact of those efforts, and what the long-term effect will be on the CLFS rates is not yet known.</w:t>
      </w:r>
    </w:p>
    <w:p>
      <w:pPr>
        <w:spacing w:after="0" w:line="98"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Further healthcare reform could occur in 2021, including changes to the ACA and Medicare reform, initiatives to address surprise billing and increased price transparency, as well as administrative requirements that may continue to affect coverage, reimbursement, and utilization of laboratory services in ways that are currently unpredictable.</w:t>
      </w:r>
    </w:p>
    <w:p>
      <w:pPr>
        <w:spacing w:after="0" w:line="103"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In addition, market-based changes have affected and will continue to affect the clinical laboratory business. Reimbursement from commercial payers for diagnostic testing may shift away from traditional, fee-for-service models to alternatives, including value-based, bundled pay-for-performance, and other risk-sharing payment models. The growth of the managed care sector and consolidation of MCOs present various challenges and opportunities to Dx and other clinical laboratories.</w:t>
      </w:r>
    </w:p>
    <w:p>
      <w:pPr>
        <w:spacing w:after="0" w:line="92"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 For the year ended December 31, 2020, capitated contracts with MCOs accounted for approximately $319.0 million, or 3.4%, of Dx's revenues. Dx's ability to attract and retain MCO customers has become even more important as the impact of various healthcare reform initiatives continues, including expanded health insurance exchanges and ACOs.</w:t>
      </w:r>
    </w:p>
    <w:p>
      <w:pPr>
        <w:spacing w:after="0" w:line="80" w:lineRule="exact"/>
        <w:rPr>
          <w:sz w:val="20"/>
          <w:szCs w:val="20"/>
          <w:color w:val="auto"/>
        </w:rPr>
      </w:pPr>
    </w:p>
    <w:p>
      <w:pPr>
        <w:jc w:val="both"/>
        <w:ind w:firstLine="283"/>
        <w:spacing w:after="0" w:line="273" w:lineRule="auto"/>
        <w:rPr>
          <w:sz w:val="20"/>
          <w:szCs w:val="20"/>
          <w:color w:val="auto"/>
        </w:rPr>
      </w:pPr>
      <w:r>
        <w:rPr>
          <w:rFonts w:ascii="Arial" w:cs="Arial" w:eastAsia="Arial" w:hAnsi="Arial"/>
          <w:sz w:val="17"/>
          <w:szCs w:val="17"/>
          <w:color w:val="auto"/>
        </w:rPr>
        <w:t>In addition to reductions in test reimbursement, the Company also anticipates potential declines in test volumes as a result of increased controls over the utilization of laboratory services by Medicare, Medicaid, and other third-party payers, particularly MCOs. MCOs are implementing, directly or through third parties, various types of laboratory benefit management programs, which may include lab networks, utilization management tools (such as prior authorization and/or prior notification), and claims edits, which impact coverage and reimbursement of clinical laboratory tests. Some of these programs address clinical laboratory testing broadly, while others are focused on certain types of testing, including molecular, genetic and toxicology testing. In addition, continued movement by patients into consumer-driven health plans may have an impact on the utilization of laboratory testing.</w:t>
      </w:r>
    </w:p>
    <w:p>
      <w:pPr>
        <w:spacing w:after="0" w:line="83" w:lineRule="exact"/>
        <w:rPr>
          <w:sz w:val="20"/>
          <w:szCs w:val="20"/>
          <w:color w:val="auto"/>
        </w:rPr>
      </w:pPr>
    </w:p>
    <w:p>
      <w:pPr>
        <w:jc w:val="both"/>
        <w:ind w:firstLine="283"/>
        <w:spacing w:after="0" w:line="270" w:lineRule="auto"/>
        <w:rPr>
          <w:sz w:val="20"/>
          <w:szCs w:val="20"/>
          <w:color w:val="auto"/>
        </w:rPr>
      </w:pPr>
      <w:r>
        <w:rPr>
          <w:rFonts w:ascii="Arial" w:cs="Arial" w:eastAsia="Arial" w:hAnsi="Arial"/>
          <w:sz w:val="17"/>
          <w:szCs w:val="17"/>
          <w:color w:val="auto"/>
        </w:rPr>
        <w:t>Despite the overall negative market changes regarding reimbursement discussed above, Dx believes that the volume of clinical laboratory testing is positively influenced by several factors, including the expansion of Medicaid, managed care, and private insurance exchanges. In addition, Dx believes that increased knowledge of the human genome and continued innovation in laboratory medicine will continue to foster greater appreciation of the value of gene-based diagnostic assays. Additional factors that may lead to future volume growth include an increase in the number and types of tests that are readily available (due to advances in technology and increased cost efficiencies) for the diagnosis of disease, and the general aging of the U.S. population. Dx also believes that it and other large, independent clinical laboratory testing companies will be able to increase their share of the overall clinical laboratory testing market due to a number of market factors, primarily related to a continued drive to improve outcomes and reduce costs across the healthcare system. Dx believes that its enhanced and growing esoteric menu of tests, leading position with companion diagnostics, broad geographic footprint, and operating efficiency provide a strong platform for growth.</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DD Segment</w:t>
      </w:r>
    </w:p>
    <w:p>
      <w:pPr>
        <w:spacing w:after="0" w:line="13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2020, the DD segment generated $4,877.7 million in total revenue and $37.3 million in operating income, resulting in an operating margin of 0.8%.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5"/>
              </w:rPr>
              <w:t>Year Ended December 31,</w:t>
            </w:r>
          </w:p>
        </w:tc>
      </w:tr>
      <w:tr>
        <w:trPr>
          <w:trHeight w:val="236"/>
        </w:trPr>
        <w:tc>
          <w:tcPr>
            <w:tcW w:w="8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4,578.1</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411.5</w:t>
            </w:r>
          </w:p>
        </w:tc>
      </w:tr>
    </w:tbl>
    <w:p>
      <w:pPr>
        <w:spacing w:after="0" w:line="106" w:lineRule="exact"/>
        <w:rPr>
          <w:sz w:val="20"/>
          <w:szCs w:val="20"/>
          <w:color w:val="auto"/>
        </w:rPr>
      </w:pPr>
    </w:p>
    <w:p>
      <w:pPr>
        <w:jc w:val="both"/>
        <w:ind w:firstLine="251"/>
        <w:spacing w:after="0" w:line="254" w:lineRule="auto"/>
        <w:tabs>
          <w:tab w:leader="none" w:pos="5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provides end-to-end drug development, medical device and companion diagnostic development solutions from early-stage research to clinical development and commercial market access. Its customers are comprised of biopharmaceutical, medical device, and diagnostic companies across the world. With more than 28,000 employees worldwide and a global network of operations, DD offers deep expertise in early development and clinical trials in each therapeutic area. DD collaborated on 87% of the novel drugs approved by the U.S. FDA in 2020, including 86% of the novel oncology drugs and 88% of the rare and orphan disease drugs. Through its industry-leading central laboratory business it supports clinical trial activity in approximately 100 countries. In late 2018, the Company commenced a series of LaunchPad projects focused on DD, which delivered in excess of $150.0 million of net savings through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30"/>
        </w:trPr>
        <w:tc>
          <w:tcPr>
            <w:tcW w:w="226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tc>
        <w:tc>
          <w:tcPr>
            <w:tcW w:w="28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bottom w:val="single" w:sz="8" w:color="auto"/>
              <w:right w:val="single" w:sz="8" w:color="auto"/>
            </w:tcBorders>
            <w:shd w:val="clear" w:color="auto" w:fill="000000"/>
          </w:tcPr>
          <w:p>
            <w:pPr>
              <w:ind w:left="840"/>
              <w:spacing w:after="0"/>
              <w:rPr>
                <w:sz w:val="20"/>
                <w:szCs w:val="20"/>
                <w:color w:val="auto"/>
              </w:rPr>
            </w:pPr>
            <w:r>
              <w:rPr>
                <w:rFonts w:ascii="Arial" w:cs="Arial" w:eastAsia="Arial" w:hAnsi="Arial"/>
                <w:sz w:val="18"/>
                <w:szCs w:val="18"/>
                <w:b w:val="1"/>
                <w:bCs w:val="1"/>
                <w:color w:val="FFFFFF"/>
              </w:rPr>
              <w:t>Service</w:t>
            </w:r>
          </w:p>
        </w:tc>
        <w:tc>
          <w:tcPr>
            <w:tcW w:w="280" w:type="dxa"/>
            <w:vAlign w:val="bottom"/>
            <w:tcBorders>
              <w:bottom w:val="single" w:sz="8" w:color="auto"/>
            </w:tcBorders>
            <w:shd w:val="clear" w:color="auto" w:fill="000000"/>
          </w:tcPr>
          <w:p>
            <w:pPr>
              <w:spacing w:after="0"/>
              <w:rPr>
                <w:sz w:val="19"/>
                <w:szCs w:val="19"/>
                <w:color w:val="auto"/>
              </w:rPr>
            </w:pPr>
          </w:p>
        </w:tc>
        <w:tc>
          <w:tcPr>
            <w:tcW w:w="8700" w:type="dxa"/>
            <w:vAlign w:val="bottom"/>
            <w:tcBorders>
              <w:bottom w:val="single" w:sz="8" w:color="auto"/>
              <w:right w:val="single" w:sz="8" w:color="auto"/>
            </w:tcBorders>
            <w:shd w:val="clear" w:color="auto" w:fill="000000"/>
          </w:tcPr>
          <w:p>
            <w:pPr>
              <w:ind w:left="3680"/>
              <w:spacing w:after="0"/>
              <w:rPr>
                <w:sz w:val="20"/>
                <w:szCs w:val="20"/>
                <w:color w:val="auto"/>
              </w:rPr>
            </w:pPr>
            <w:r>
              <w:rPr>
                <w:rFonts w:ascii="Arial" w:cs="Arial" w:eastAsia="Arial" w:hAnsi="Arial"/>
                <w:sz w:val="18"/>
                <w:szCs w:val="18"/>
                <w:b w:val="1"/>
                <w:bCs w:val="1"/>
                <w:color w:val="FFFFFF"/>
              </w:rPr>
              <w:t>Key Features</w:t>
            </w:r>
          </w:p>
        </w:tc>
        <w:tc>
          <w:tcPr>
            <w:tcW w:w="0" w:type="dxa"/>
            <w:vAlign w:val="bottom"/>
          </w:tcPr>
          <w:p>
            <w:pPr>
              <w:spacing w:after="0"/>
              <w:rPr>
                <w:sz w:val="1"/>
                <w:szCs w:val="1"/>
                <w:color w:val="auto"/>
              </w:rPr>
            </w:pPr>
          </w:p>
        </w:tc>
      </w:tr>
      <w:tr>
        <w:trPr>
          <w:trHeight w:val="218"/>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Lead optimization</w:t>
            </w:r>
            <w:r>
              <w:rPr>
                <w:rFonts w:ascii="Arial" w:cs="Arial" w:eastAsia="Arial" w:hAnsi="Arial"/>
                <w:sz w:val="18"/>
                <w:szCs w:val="18"/>
                <w:color w:val="auto"/>
              </w:rPr>
              <w:t>: connects early discovery activities to regulated pre-clinical studies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5"/>
              </w:rPr>
              <w:t>Analytical services</w:t>
            </w:r>
            <w:r>
              <w:rPr>
                <w:rFonts w:ascii="Arial" w:cs="Arial" w:eastAsia="Arial" w:hAnsi="Arial"/>
                <w:sz w:val="18"/>
                <w:szCs w:val="18"/>
                <w:color w:val="auto"/>
                <w:w w:val="95"/>
              </w:rPr>
              <w:t>: bioanalytical testing services offering appropriate dose and frequency of drug administration</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tcPr>
          <w:p>
            <w:pPr>
              <w:spacing w:after="0"/>
              <w:rPr>
                <w:sz w:val="19"/>
                <w:szCs w:val="19"/>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4"/>
              </w:rPr>
              <w:t>Safety assessment</w:t>
            </w:r>
            <w:r>
              <w:rPr>
                <w:rFonts w:ascii="Arial" w:cs="Arial" w:eastAsia="Arial" w:hAnsi="Arial"/>
                <w:sz w:val="18"/>
                <w:szCs w:val="18"/>
                <w:color w:val="auto"/>
                <w:w w:val="94"/>
              </w:rPr>
              <w:t>: general, genetic, and immunotoxicology services; nonclinical pathology; safety pharmacology</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services; preclinical medical device services; respiratory services; and developmental and reproductive toxicology</w:t>
            </w:r>
          </w:p>
        </w:tc>
        <w:tc>
          <w:tcPr>
            <w:tcW w:w="0" w:type="dxa"/>
            <w:vAlign w:val="bottom"/>
          </w:tcPr>
          <w:p>
            <w:pPr>
              <w:spacing w:after="0"/>
              <w:rPr>
                <w:sz w:val="1"/>
                <w:szCs w:val="1"/>
                <w:color w:val="auto"/>
              </w:rPr>
            </w:pPr>
          </w:p>
        </w:tc>
      </w:tr>
      <w:tr>
        <w:trPr>
          <w:trHeight w:val="212"/>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(DART) studies</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Preclinical Services</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Chemistry manufacturing services</w:t>
            </w:r>
            <w:r>
              <w:rPr>
                <w:rFonts w:ascii="Arial" w:cs="Arial" w:eastAsia="Arial" w:hAnsi="Arial"/>
                <w:sz w:val="18"/>
                <w:szCs w:val="18"/>
                <w:color w:val="auto"/>
                <w:w w:val="92"/>
              </w:rPr>
              <w:t>: robust, cost-effective solutions in the areas of safety, identity, strength, quality,</w:t>
            </w:r>
          </w:p>
        </w:tc>
        <w:tc>
          <w:tcPr>
            <w:tcW w:w="0" w:type="dxa"/>
            <w:vAlign w:val="bottom"/>
          </w:tcPr>
          <w:p>
            <w:pPr>
              <w:spacing w:after="0"/>
              <w:rPr>
                <w:sz w:val="1"/>
                <w:szCs w:val="1"/>
                <w:color w:val="auto"/>
              </w:rPr>
            </w:pPr>
          </w:p>
        </w:tc>
      </w:tr>
      <w:tr>
        <w:trPr>
          <w:trHeight w:val="212"/>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purity assessments for biologics</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tcPr>
          <w:p>
            <w:pPr>
              <w:spacing w:after="0"/>
              <w:rPr>
                <w:sz w:val="19"/>
                <w:szCs w:val="19"/>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5"/>
              </w:rPr>
              <w:t>Early phase development solutions</w:t>
            </w:r>
            <w:r>
              <w:rPr>
                <w:rFonts w:ascii="Arial" w:cs="Arial" w:eastAsia="Arial" w:hAnsi="Arial"/>
                <w:sz w:val="18"/>
                <w:szCs w:val="18"/>
                <w:color w:val="auto"/>
                <w:w w:val="95"/>
              </w:rPr>
              <w:t>: focused, multidisciplinary teams of experts that craft integrated solutions to</w:t>
            </w:r>
          </w:p>
        </w:tc>
        <w:tc>
          <w:tcPr>
            <w:tcW w:w="0" w:type="dxa"/>
            <w:vAlign w:val="bottom"/>
          </w:tcPr>
          <w:p>
            <w:pPr>
              <w:spacing w:after="0"/>
              <w:rPr>
                <w:sz w:val="1"/>
                <w:szCs w:val="1"/>
                <w:color w:val="auto"/>
              </w:rPr>
            </w:pPr>
          </w:p>
        </w:tc>
      </w:tr>
      <w:tr>
        <w:trPr>
          <w:trHeight w:val="212"/>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identify and develop lead drug candidates and reduce development challenges</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tcPr>
          <w:p>
            <w:pPr>
              <w:spacing w:after="0"/>
              <w:rPr>
                <w:sz w:val="19"/>
                <w:szCs w:val="19"/>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3"/>
              </w:rPr>
              <w:t>Crop protection and chemical testing</w:t>
            </w:r>
            <w:r>
              <w:rPr>
                <w:rFonts w:ascii="Arial" w:cs="Arial" w:eastAsia="Arial" w:hAnsi="Arial"/>
                <w:sz w:val="18"/>
                <w:szCs w:val="18"/>
                <w:color w:val="auto"/>
                <w:w w:val="93"/>
              </w:rPr>
              <w:t>: Consulting services for chemical manufacturers and other firms engaged in</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development of modern crop protection technology</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Clinical laboratory services for individuals participating in clinical studies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Provided to biopharmaceutical customers through its global network of central laboratories in the U.S., Europe, and</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Asia</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Central Laboratory Services</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Operates world's largest automated clinical trial sample collection kit production line that enables kits to be produced</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5.5 sigma precision</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Seven ISO 15189-certified laboratories</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Collaborated with more than 60 clients on more than 180 companion diagnostic projects in 2020</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Comprehensive range of services including the full service delivery of Phase I through IV clinical studies, along with a</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wide offering of functional service provider solutions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Clinical Development and</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Dedicated group experienced in conduct of trials for medical devices and diagnostics to provide services for expanding</w:t>
            </w:r>
          </w:p>
        </w:tc>
        <w:tc>
          <w:tcPr>
            <w:tcW w:w="0" w:type="dxa"/>
            <w:vAlign w:val="bottom"/>
          </w:tcPr>
          <w:p>
            <w:pPr>
              <w:spacing w:after="0"/>
              <w:rPr>
                <w:sz w:val="1"/>
                <w:szCs w:val="1"/>
                <w:color w:val="auto"/>
              </w:rPr>
            </w:pPr>
          </w:p>
        </w:tc>
      </w:tr>
      <w:tr>
        <w:trPr>
          <w:trHeight w:val="95"/>
        </w:trPr>
        <w:tc>
          <w:tcPr>
            <w:tcW w:w="2260" w:type="dxa"/>
            <w:vAlign w:val="bottom"/>
            <w:tcBorders>
              <w:left w:val="single" w:sz="8" w:color="auto"/>
              <w:right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8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market in medical devices</w:t>
            </w:r>
          </w:p>
        </w:tc>
        <w:tc>
          <w:tcPr>
            <w:tcW w:w="0" w:type="dxa"/>
            <w:vAlign w:val="bottom"/>
          </w:tcPr>
          <w:p>
            <w:pPr>
              <w:spacing w:after="0"/>
              <w:rPr>
                <w:sz w:val="1"/>
                <w:szCs w:val="1"/>
                <w:color w:val="auto"/>
              </w:rPr>
            </w:pPr>
          </w:p>
        </w:tc>
      </w:tr>
      <w:tr>
        <w:trPr>
          <w:trHeight w:val="121"/>
        </w:trPr>
        <w:tc>
          <w:tcPr>
            <w:tcW w:w="22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8"/>
              </w:rPr>
              <w:t>Commercialization Services</w:t>
            </w:r>
          </w:p>
        </w:tc>
        <w:tc>
          <w:tcPr>
            <w:tcW w:w="280" w:type="dxa"/>
            <w:vAlign w:val="bottom"/>
          </w:tcPr>
          <w:p>
            <w:pPr>
              <w:spacing w:after="0"/>
              <w:rPr>
                <w:sz w:val="10"/>
                <w:szCs w:val="10"/>
                <w:color w:val="auto"/>
              </w:rPr>
            </w:pPr>
          </w:p>
        </w:tc>
        <w:tc>
          <w:tcPr>
            <w:tcW w:w="8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260" w:type="dxa"/>
            <w:vAlign w:val="bottom"/>
            <w:tcBorders>
              <w:left w:val="single" w:sz="8" w:color="auto"/>
              <w:right w:val="single" w:sz="8" w:color="auto"/>
            </w:tcBorders>
            <w:vMerge w:val="continue"/>
          </w:tcPr>
          <w:p>
            <w:pPr>
              <w:spacing w:after="0"/>
              <w:rPr>
                <w:sz w:val="9"/>
                <w:szCs w:val="9"/>
                <w:color w:val="auto"/>
              </w:rPr>
            </w:pP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Leader in clinical pharmacology</w:t>
            </w:r>
          </w:p>
        </w:tc>
        <w:tc>
          <w:tcPr>
            <w:tcW w:w="0" w:type="dxa"/>
            <w:vAlign w:val="bottom"/>
          </w:tcPr>
          <w:p>
            <w:pPr>
              <w:spacing w:after="0"/>
              <w:rPr>
                <w:sz w:val="1"/>
                <w:szCs w:val="1"/>
                <w:color w:val="auto"/>
              </w:rPr>
            </w:pPr>
          </w:p>
        </w:tc>
      </w:tr>
      <w:tr>
        <w:trPr>
          <w:trHeight w:val="106"/>
        </w:trPr>
        <w:tc>
          <w:tcPr>
            <w:tcW w:w="2260" w:type="dxa"/>
            <w:vAlign w:val="bottom"/>
            <w:tcBorders>
              <w:left w:val="single" w:sz="8" w:color="auto"/>
              <w:right w:val="single" w:sz="8" w:color="auto"/>
            </w:tcBorders>
          </w:tcPr>
          <w:p>
            <w:pPr>
              <w:spacing w:after="0"/>
              <w:rPr>
                <w:sz w:val="9"/>
                <w:szCs w:val="9"/>
                <w:color w:val="auto"/>
              </w:rPr>
            </w:pPr>
          </w:p>
        </w:tc>
        <w:tc>
          <w:tcPr>
            <w:tcW w:w="280" w:type="dxa"/>
            <w:vAlign w:val="bottom"/>
            <w:vMerge w:val="continue"/>
          </w:tcPr>
          <w:p>
            <w:pPr>
              <w:spacing w:after="0"/>
              <w:rPr>
                <w:sz w:val="9"/>
                <w:szCs w:val="9"/>
                <w:color w:val="auto"/>
              </w:rPr>
            </w:pPr>
          </w:p>
        </w:tc>
        <w:tc>
          <w:tcPr>
            <w:tcW w:w="8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Wide range of commercialization solutions including life cycle management and post-approval studies</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Market access solutions</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89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89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Proprietary digital tools and services providing customer with greater access to key insights and results, as well as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improved trial management, enhanced transparency, quality, and speed of clinical trials, that results in reduced costs and</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89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increased market potential for customers: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Technology Solutions</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Patient-facing software applications supporting virtual, hybrid, and traditional trials</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Metrics and benchmarking applications for trial performance monitoring and optimization</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Award-winning informatics software suite for risk-based quality management across clinical trials</w:t>
            </w: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right w:val="single" w:sz="8" w:color="auto"/>
            </w:tcBorders>
          </w:tcPr>
          <w:p>
            <w:pPr>
              <w:spacing w:after="0"/>
              <w:rPr>
                <w:sz w:val="20"/>
                <w:szCs w:val="20"/>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8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Patient randomization and Clinical Supply Management</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purpose-driven mission of the Company is “improving health and improving lives.” Given the nature of the Company's global life sciences business, the Company's employees are critical to its success. It takes the efforts and focus of all of the Company's specialized and highly skilled employees to deliver the power of the combined Dx and DD segments to patients and customers throughout the world. The COVID-19 pandemic during 2020 provided unique challenges to the Company, and its employees were paramount to the Company's ability to meet the increasing needs of patients and customers.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Workforce Demographics</w:t>
      </w:r>
    </w:p>
    <w:p>
      <w:pPr>
        <w:spacing w:after="0" w:line="1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Company's future success is dependent on its continued capabilities to recruit, develop, and retain a specialized and highly skilled global workforce, and the Company believes that it has good working relationships with its employees. The Company's 72,400 employees are globally dispersed, with 77% in the U.S. and Canada, 10% in the Asia region, 13% in the EMEA region, and less than 1% in the Latin American region. The Company's workforce is 61% in the Dx segment and 39% in the DD segment, with 90% full-time, and 10% part-time. Approximately 3.6% of the Company's global workforce is employed under a collective bargaining agreement. To manage fluctuations in volume and other business demands, the Company uses contingent labor to supplement its workforce by approximately 10%.</w:t>
      </w:r>
    </w:p>
    <w:p>
      <w:pPr>
        <w:spacing w:after="0" w:line="9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Throughout the pandemic, a significant portion of the Company's employees have been working diligently to serve patients and customers. To meet the increased demands of the pandemic, the Company increased its global workforce by 12.5% during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2020. To promote the safety and welfare of its employees, the Company transitioned those employees who do not work with patients, animals, in labs or logistics, to remote working.</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44" w:lineRule="exact"/>
        <w:rPr>
          <w:sz w:val="20"/>
          <w:szCs w:val="20"/>
          <w:color w:val="auto"/>
        </w:rPr>
      </w:pPr>
    </w:p>
    <w:p>
      <w:pPr>
        <w:jc w:val="both"/>
        <w:ind w:right="40" w:firstLine="243"/>
        <w:spacing w:after="0" w:line="277" w:lineRule="auto"/>
        <w:rPr>
          <w:sz w:val="20"/>
          <w:szCs w:val="20"/>
          <w:color w:val="auto"/>
        </w:rPr>
      </w:pPr>
      <w:r>
        <w:rPr>
          <w:rFonts w:ascii="Arial" w:cs="Arial" w:eastAsia="Arial" w:hAnsi="Arial"/>
          <w:sz w:val="18"/>
          <w:szCs w:val="18"/>
          <w:color w:val="auto"/>
        </w:rPr>
        <w:t>The Company has a diverse workforce with a broad range of unique experiences and talents. The Company believes that the diversity of its employees and its inclusive programs contribute to a healthy, productive, and respectful work environment.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Workforce Diversity Profile: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Gender and Ethnicity</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900" w:type="dxa"/>
            <w:vAlign w:val="bottom"/>
            <w:tcBorders>
              <w:left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U.S. Employees</w:t>
            </w:r>
          </w:p>
        </w:tc>
        <w:tc>
          <w:tcPr>
            <w:tcW w:w="980" w:type="dxa"/>
            <w:vAlign w:val="bottom"/>
            <w:tcBorders>
              <w:right w:val="single" w:sz="8" w:color="auto"/>
            </w:tcBorders>
            <w:shd w:val="clear" w:color="auto" w:fill="000000"/>
          </w:tcPr>
          <w:p>
            <w:pPr>
              <w:jc w:val="right"/>
              <w:ind w:right="230"/>
              <w:spacing w:after="0"/>
              <w:rPr>
                <w:sz w:val="20"/>
                <w:szCs w:val="20"/>
                <w:color w:val="auto"/>
              </w:rPr>
            </w:pPr>
            <w:r>
              <w:rPr>
                <w:rFonts w:ascii="Arial" w:cs="Arial" w:eastAsia="Arial" w:hAnsi="Arial"/>
                <w:sz w:val="18"/>
                <w:szCs w:val="18"/>
                <w:color w:val="FFFFFF"/>
              </w:rPr>
              <w:t>Male</w:t>
            </w:r>
          </w:p>
        </w:tc>
        <w:tc>
          <w:tcPr>
            <w:tcW w:w="1000" w:type="dxa"/>
            <w:vAlign w:val="bottom"/>
            <w:tcBorders>
              <w:right w:val="single" w:sz="8" w:color="auto"/>
            </w:tcBorders>
            <w:shd w:val="clear" w:color="auto" w:fill="000000"/>
          </w:tcPr>
          <w:p>
            <w:pPr>
              <w:jc w:val="right"/>
              <w:ind w:right="170"/>
              <w:spacing w:after="0"/>
              <w:rPr>
                <w:sz w:val="20"/>
                <w:szCs w:val="20"/>
                <w:color w:val="auto"/>
              </w:rPr>
            </w:pPr>
            <w:r>
              <w:rPr>
                <w:rFonts w:ascii="Arial" w:cs="Arial" w:eastAsia="Arial" w:hAnsi="Arial"/>
                <w:sz w:val="18"/>
                <w:szCs w:val="18"/>
                <w:color w:val="FFFFFF"/>
              </w:rPr>
              <w:t>Female</w:t>
            </w:r>
          </w:p>
        </w:tc>
        <w:tc>
          <w:tcPr>
            <w:tcW w:w="1000" w:type="dxa"/>
            <w:vAlign w:val="bottom"/>
            <w:tcBorders>
              <w:right w:val="single" w:sz="8" w:color="auto"/>
            </w:tcBorders>
            <w:shd w:val="clear" w:color="auto" w:fill="000000"/>
          </w:tcPr>
          <w:p>
            <w:pPr>
              <w:jc w:val="right"/>
              <w:ind w:right="210"/>
              <w:spacing w:after="0"/>
              <w:rPr>
                <w:sz w:val="20"/>
                <w:szCs w:val="20"/>
                <w:color w:val="auto"/>
              </w:rPr>
            </w:pPr>
            <w:r>
              <w:rPr>
                <w:rFonts w:ascii="Arial" w:cs="Arial" w:eastAsia="Arial" w:hAnsi="Arial"/>
                <w:sz w:val="18"/>
                <w:szCs w:val="18"/>
                <w:color w:val="FFFFFF"/>
              </w:rPr>
              <w:t>White</w:t>
            </w:r>
          </w:p>
        </w:tc>
        <w:tc>
          <w:tcPr>
            <w:tcW w:w="1000" w:type="dxa"/>
            <w:vAlign w:val="bottom"/>
            <w:tcBorders>
              <w:right w:val="single" w:sz="8" w:color="auto"/>
            </w:tcBorders>
            <w:shd w:val="clear" w:color="auto" w:fill="000000"/>
          </w:tcPr>
          <w:p>
            <w:pPr>
              <w:jc w:val="right"/>
              <w:ind w:right="70"/>
              <w:spacing w:after="0"/>
              <w:rPr>
                <w:sz w:val="20"/>
                <w:szCs w:val="20"/>
                <w:color w:val="auto"/>
              </w:rPr>
            </w:pPr>
            <w:r>
              <w:rPr>
                <w:rFonts w:ascii="Arial" w:cs="Arial" w:eastAsia="Arial" w:hAnsi="Arial"/>
                <w:sz w:val="18"/>
                <w:szCs w:val="18"/>
                <w:color w:val="FFFFFF"/>
              </w:rPr>
              <w:t>Total Non</w:t>
            </w:r>
          </w:p>
        </w:tc>
        <w:tc>
          <w:tcPr>
            <w:tcW w:w="1020" w:type="dxa"/>
            <w:vAlign w:val="bottom"/>
            <w:tcBorders>
              <w:right w:val="single" w:sz="8" w:color="auto"/>
            </w:tcBorders>
            <w:shd w:val="clear" w:color="auto" w:fill="000000"/>
          </w:tcPr>
          <w:p>
            <w:pPr>
              <w:jc w:val="right"/>
              <w:ind w:right="230"/>
              <w:spacing w:after="0"/>
              <w:rPr>
                <w:sz w:val="20"/>
                <w:szCs w:val="20"/>
                <w:color w:val="auto"/>
              </w:rPr>
            </w:pPr>
            <w:r>
              <w:rPr>
                <w:rFonts w:ascii="Arial" w:cs="Arial" w:eastAsia="Arial" w:hAnsi="Arial"/>
                <w:sz w:val="18"/>
                <w:szCs w:val="18"/>
                <w:color w:val="FFFFFF"/>
              </w:rPr>
              <w:t>Black</w:t>
            </w:r>
          </w:p>
        </w:tc>
        <w:tc>
          <w:tcPr>
            <w:tcW w:w="1180" w:type="dxa"/>
            <w:vAlign w:val="bottom"/>
            <w:tcBorders>
              <w:right w:val="single" w:sz="8" w:color="auto"/>
            </w:tcBorders>
            <w:shd w:val="clear" w:color="auto" w:fill="000000"/>
          </w:tcPr>
          <w:p>
            <w:pPr>
              <w:jc w:val="right"/>
              <w:ind w:right="190"/>
              <w:spacing w:after="0"/>
              <w:rPr>
                <w:sz w:val="20"/>
                <w:szCs w:val="20"/>
                <w:color w:val="auto"/>
              </w:rPr>
            </w:pPr>
            <w:r>
              <w:rPr>
                <w:rFonts w:ascii="Arial" w:cs="Arial" w:eastAsia="Arial" w:hAnsi="Arial"/>
                <w:sz w:val="18"/>
                <w:szCs w:val="18"/>
                <w:color w:val="FFFFFF"/>
              </w:rPr>
              <w:t>Hispanic</w:t>
            </w:r>
          </w:p>
        </w:tc>
        <w:tc>
          <w:tcPr>
            <w:tcW w:w="1160" w:type="dxa"/>
            <w:vAlign w:val="bottom"/>
            <w:tcBorders>
              <w:right w:val="single" w:sz="8" w:color="auto"/>
            </w:tcBorders>
            <w:shd w:val="clear" w:color="auto" w:fill="000000"/>
          </w:tcPr>
          <w:p>
            <w:pPr>
              <w:jc w:val="right"/>
              <w:ind w:right="290"/>
              <w:spacing w:after="0"/>
              <w:rPr>
                <w:sz w:val="20"/>
                <w:szCs w:val="20"/>
                <w:color w:val="auto"/>
              </w:rPr>
            </w:pPr>
            <w:r>
              <w:rPr>
                <w:rFonts w:ascii="Arial" w:cs="Arial" w:eastAsia="Arial" w:hAnsi="Arial"/>
                <w:sz w:val="18"/>
                <w:szCs w:val="18"/>
                <w:color w:val="FFFFFF"/>
              </w:rPr>
              <w:t>Asian</w:t>
            </w:r>
          </w:p>
        </w:tc>
        <w:tc>
          <w:tcPr>
            <w:tcW w:w="1020" w:type="dxa"/>
            <w:vAlign w:val="bottom"/>
            <w:tcBorders>
              <w:right w:val="single" w:sz="8" w:color="auto"/>
            </w:tcBorders>
            <w:shd w:val="clear" w:color="auto" w:fill="000000"/>
          </w:tcPr>
          <w:p>
            <w:pPr>
              <w:jc w:val="right"/>
              <w:ind w:right="230"/>
              <w:spacing w:after="0"/>
              <w:rPr>
                <w:sz w:val="20"/>
                <w:szCs w:val="20"/>
                <w:color w:val="auto"/>
              </w:rPr>
            </w:pPr>
            <w:r>
              <w:rPr>
                <w:rFonts w:ascii="Arial" w:cs="Arial" w:eastAsia="Arial" w:hAnsi="Arial"/>
                <w:sz w:val="18"/>
                <w:szCs w:val="18"/>
                <w:color w:val="FFFFFF"/>
              </w:rPr>
              <w:t>Other</w:t>
            </w:r>
          </w:p>
        </w:tc>
      </w:tr>
      <w:tr>
        <w:trPr>
          <w:trHeight w:val="237"/>
        </w:trPr>
        <w:tc>
          <w:tcPr>
            <w:tcW w:w="2900" w:type="dxa"/>
            <w:vAlign w:val="bottom"/>
            <w:tcBorders>
              <w:left w:val="single" w:sz="8" w:color="auto"/>
              <w:bottom w:val="single" w:sz="8" w:color="auto"/>
              <w:right w:val="single" w:sz="8" w:color="auto"/>
            </w:tcBorders>
            <w:shd w:val="clear" w:color="auto" w:fill="000000"/>
          </w:tcPr>
          <w:p>
            <w:pPr>
              <w:spacing w:after="0"/>
              <w:rPr>
                <w:sz w:val="20"/>
                <w:szCs w:val="20"/>
                <w:color w:val="auto"/>
              </w:rPr>
            </w:pPr>
          </w:p>
        </w:tc>
        <w:tc>
          <w:tcPr>
            <w:tcW w:w="980" w:type="dxa"/>
            <w:vAlign w:val="bottom"/>
            <w:tcBorders>
              <w:bottom w:val="single" w:sz="8" w:color="auto"/>
              <w:right w:val="single" w:sz="8" w:color="auto"/>
            </w:tcBorders>
            <w:shd w:val="clear" w:color="auto" w:fill="000000"/>
          </w:tcPr>
          <w:p>
            <w:pPr>
              <w:spacing w:after="0"/>
              <w:rPr>
                <w:sz w:val="20"/>
                <w:szCs w:val="20"/>
                <w:color w:val="auto"/>
              </w:rPr>
            </w:pPr>
          </w:p>
        </w:tc>
        <w:tc>
          <w:tcPr>
            <w:tcW w:w="1000" w:type="dxa"/>
            <w:vAlign w:val="bottom"/>
            <w:tcBorders>
              <w:bottom w:val="single" w:sz="8" w:color="auto"/>
              <w:right w:val="single" w:sz="8" w:color="auto"/>
            </w:tcBorders>
            <w:shd w:val="clear" w:color="auto" w:fill="000000"/>
          </w:tcPr>
          <w:p>
            <w:pPr>
              <w:spacing w:after="0"/>
              <w:rPr>
                <w:sz w:val="20"/>
                <w:szCs w:val="20"/>
                <w:color w:val="auto"/>
              </w:rPr>
            </w:pPr>
          </w:p>
        </w:tc>
        <w:tc>
          <w:tcPr>
            <w:tcW w:w="1000" w:type="dxa"/>
            <w:vAlign w:val="bottom"/>
            <w:tcBorders>
              <w:bottom w:val="single" w:sz="8" w:color="auto"/>
              <w:right w:val="single" w:sz="8" w:color="auto"/>
            </w:tcBorders>
            <w:shd w:val="clear" w:color="auto" w:fill="000000"/>
          </w:tcPr>
          <w:p>
            <w:pPr>
              <w:spacing w:after="0"/>
              <w:rPr>
                <w:sz w:val="20"/>
                <w:szCs w:val="20"/>
                <w:color w:val="auto"/>
              </w:rPr>
            </w:pPr>
          </w:p>
        </w:tc>
        <w:tc>
          <w:tcPr>
            <w:tcW w:w="1000" w:type="dxa"/>
            <w:vAlign w:val="bottom"/>
            <w:tcBorders>
              <w:bottom w:val="single" w:sz="8" w:color="auto"/>
              <w:right w:val="single" w:sz="8" w:color="auto"/>
            </w:tcBorders>
            <w:shd w:val="clear" w:color="auto" w:fill="000000"/>
          </w:tcPr>
          <w:p>
            <w:pPr>
              <w:jc w:val="right"/>
              <w:ind w:right="210"/>
              <w:spacing w:after="0"/>
              <w:rPr>
                <w:sz w:val="20"/>
                <w:szCs w:val="20"/>
                <w:color w:val="auto"/>
              </w:rPr>
            </w:pPr>
            <w:r>
              <w:rPr>
                <w:rFonts w:ascii="Arial" w:cs="Arial" w:eastAsia="Arial" w:hAnsi="Arial"/>
                <w:sz w:val="18"/>
                <w:szCs w:val="18"/>
                <w:color w:val="FFFFFF"/>
              </w:rPr>
              <w:t>White</w:t>
            </w:r>
          </w:p>
        </w:tc>
        <w:tc>
          <w:tcPr>
            <w:tcW w:w="1020" w:type="dxa"/>
            <w:vAlign w:val="bottom"/>
            <w:tcBorders>
              <w:bottom w:val="single" w:sz="8" w:color="auto"/>
              <w:right w:val="single" w:sz="8" w:color="auto"/>
            </w:tcBorders>
            <w:shd w:val="clear" w:color="auto" w:fill="000000"/>
          </w:tcPr>
          <w:p>
            <w:pPr>
              <w:spacing w:after="0"/>
              <w:rPr>
                <w:sz w:val="20"/>
                <w:szCs w:val="20"/>
                <w:color w:val="auto"/>
              </w:rPr>
            </w:pPr>
          </w:p>
        </w:tc>
        <w:tc>
          <w:tcPr>
            <w:tcW w:w="1180" w:type="dxa"/>
            <w:vAlign w:val="bottom"/>
            <w:tcBorders>
              <w:bottom w:val="single" w:sz="8" w:color="auto"/>
              <w:right w:val="single" w:sz="8" w:color="auto"/>
            </w:tcBorders>
            <w:shd w:val="clear" w:color="auto" w:fill="000000"/>
          </w:tcPr>
          <w:p>
            <w:pPr>
              <w:spacing w:after="0"/>
              <w:rPr>
                <w:sz w:val="20"/>
                <w:szCs w:val="20"/>
                <w:color w:val="auto"/>
              </w:rPr>
            </w:pPr>
          </w:p>
        </w:tc>
        <w:tc>
          <w:tcPr>
            <w:tcW w:w="1160" w:type="dxa"/>
            <w:vAlign w:val="bottom"/>
            <w:tcBorders>
              <w:bottom w:val="single" w:sz="8" w:color="auto"/>
              <w:right w:val="single" w:sz="8" w:color="auto"/>
            </w:tcBorders>
            <w:shd w:val="clear" w:color="auto" w:fill="000000"/>
          </w:tcPr>
          <w:p>
            <w:pPr>
              <w:spacing w:after="0"/>
              <w:rPr>
                <w:sz w:val="20"/>
                <w:szCs w:val="20"/>
                <w:color w:val="auto"/>
              </w:rPr>
            </w:pPr>
          </w:p>
        </w:tc>
        <w:tc>
          <w:tcPr>
            <w:tcW w:w="1020" w:type="dxa"/>
            <w:vAlign w:val="bottom"/>
            <w:tcBorders>
              <w:bottom w:val="single" w:sz="8" w:color="auto"/>
              <w:right w:val="single" w:sz="8" w:color="auto"/>
            </w:tcBorders>
            <w:shd w:val="clear" w:color="auto" w:fill="000000"/>
          </w:tcPr>
          <w:p>
            <w:pPr>
              <w:spacing w:after="0"/>
              <w:rPr>
                <w:sz w:val="20"/>
                <w:szCs w:val="20"/>
                <w:color w:val="auto"/>
              </w:rPr>
            </w:pPr>
          </w:p>
        </w:tc>
      </w:tr>
      <w:tr>
        <w:trPr>
          <w:trHeight w:val="250"/>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Executive/Managerial</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Professional and Sales</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Technician/Admin/Operatives</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Totals</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23%</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Total U.S. headcount on payroll as of 12/31/20, excluding casual employees and event workers employed by Labcorp Staffing Solutions</w:t>
      </w:r>
      <w:r>
        <w:rPr>
          <w:rFonts w:ascii="Arial" w:cs="Arial" w:eastAsia="Arial" w:hAnsi="Arial"/>
          <w:sz w:val="16"/>
          <w:szCs w:val="16"/>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Global: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85745" cy="2143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Total U.S. headcount on payroll as of 12/31/20, excluding casual employees and event workers employed by Labcorp Staffing Solutions</w:t>
      </w:r>
      <w:r>
        <w:rPr>
          <w:rFonts w:ascii="Arial" w:cs="Arial" w:eastAsia="Arial" w:hAnsi="Arial"/>
          <w:sz w:val="16"/>
          <w:szCs w:val="16"/>
          <w:color w:val="auto"/>
        </w:rPr>
        <w:t>.</w:t>
      </w:r>
    </w:p>
    <w:p>
      <w:pPr>
        <w:spacing w:after="0" w:line="149"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social unrest and unique impact of the pandemic around the world in 2020 provided the Company an opportunity to refocus efforts to further improve its diversity profile for the benefit of employees, patients, and customers. The Company appointed a new Chief Diversity and Inclusion Officer (CDIO), who reports dually to the Chief Executive Officer (CEO) and Chief Human Resources Officer (CHRO). The CDIO also provides periodic reports to the Compensation and Human Capital Committee of the Board of Directors.</w:t>
      </w:r>
    </w:p>
    <w:p>
      <w:pPr>
        <w:spacing w:after="0" w:line="106"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The Company’s key diversity and inclusion priorities going forward include: empowering inclusive leadership, developing and sustaining a diverse talent pipeline, and creating an environment for engagement across the Company and in its communities. The Company's leadership is engaging with its six employee resource groups with 50 chapters around the world, to drive these diversity and inclusion priorities.</w:t>
      </w:r>
    </w:p>
    <w:p>
      <w:pPr>
        <w:spacing w:after="0" w:line="89" w:lineRule="exact"/>
        <w:rPr>
          <w:sz w:val="20"/>
          <w:szCs w:val="20"/>
          <w:color w:val="auto"/>
        </w:rPr>
      </w:pPr>
    </w:p>
    <w:p>
      <w:pPr>
        <w:jc w:val="both"/>
        <w:ind w:right="20" w:firstLine="243"/>
        <w:spacing w:after="0" w:line="281" w:lineRule="auto"/>
        <w:rPr>
          <w:sz w:val="20"/>
          <w:szCs w:val="20"/>
          <w:color w:val="auto"/>
        </w:rPr>
      </w:pPr>
      <w:r>
        <w:rPr>
          <w:rFonts w:ascii="Arial" w:cs="Arial" w:eastAsia="Arial" w:hAnsi="Arial"/>
          <w:sz w:val="16"/>
          <w:szCs w:val="16"/>
          <w:color w:val="auto"/>
        </w:rPr>
        <w:t xml:space="preserve">In 2021, the Company was recognized for the fourth consecutive year as a </w:t>
      </w:r>
      <w:r>
        <w:rPr>
          <w:rFonts w:ascii="Arial" w:cs="Arial" w:eastAsia="Arial" w:hAnsi="Arial"/>
          <w:sz w:val="16"/>
          <w:szCs w:val="16"/>
          <w:i w:val="1"/>
          <w:iCs w:val="1"/>
          <w:color w:val="auto"/>
        </w:rPr>
        <w:t>Best Place to Work for LGBTQ Equality</w:t>
      </w:r>
      <w:r>
        <w:rPr>
          <w:rFonts w:ascii="Arial" w:cs="Arial" w:eastAsia="Arial" w:hAnsi="Arial"/>
          <w:sz w:val="16"/>
          <w:szCs w:val="16"/>
          <w:color w:val="auto"/>
        </w:rPr>
        <w:t xml:space="preserve"> with a perfect score from Human Rights Campaign's Corporate Equality Index, the nation's premier benchmarking survey and report on corporate policies and practices related to LGBTQ workplace equality. The Company was also named to FORTUNE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magazine's 2021 List of World's Most Admired Companies, making the annual list for the third time, as well as the </w:t>
      </w:r>
      <w:r>
        <w:rPr>
          <w:rFonts w:ascii="Arial" w:cs="Arial" w:eastAsia="Arial" w:hAnsi="Arial"/>
          <w:sz w:val="16"/>
          <w:szCs w:val="16"/>
          <w:i w:val="1"/>
          <w:iCs w:val="1"/>
          <w:color w:val="auto"/>
        </w:rPr>
        <w:t>2020 List of World's Best Employers</w:t>
      </w:r>
      <w:r>
        <w:rPr>
          <w:rFonts w:ascii="Arial" w:cs="Arial" w:eastAsia="Arial" w:hAnsi="Arial"/>
          <w:sz w:val="16"/>
          <w:szCs w:val="16"/>
          <w:color w:val="auto"/>
        </w:rPr>
        <w:t xml:space="preserve"> and as one of Forbes' </w:t>
      </w:r>
      <w:r>
        <w:rPr>
          <w:rFonts w:ascii="Arial" w:cs="Arial" w:eastAsia="Arial" w:hAnsi="Arial"/>
          <w:sz w:val="16"/>
          <w:szCs w:val="16"/>
          <w:i w:val="1"/>
          <w:iCs w:val="1"/>
          <w:color w:val="auto"/>
        </w:rPr>
        <w:t>2020 List of the Best Employers for New Graduates</w:t>
      </w:r>
      <w:r>
        <w:rPr>
          <w:rFonts w:ascii="Arial" w:cs="Arial" w:eastAsia="Arial" w:hAnsi="Arial"/>
          <w:sz w:val="16"/>
          <w:szCs w:val="16"/>
          <w:color w:val="auto"/>
        </w:rPr>
        <w:t>.</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44" w:lineRule="exact"/>
        <w:rPr>
          <w:sz w:val="20"/>
          <w:szCs w:val="20"/>
          <w:color w:val="auto"/>
        </w:rPr>
      </w:pPr>
    </w:p>
    <w:p>
      <w:pPr>
        <w:jc w:val="both"/>
        <w:ind w:right="20" w:firstLine="243"/>
        <w:spacing w:after="0" w:line="311" w:lineRule="auto"/>
        <w:rPr>
          <w:sz w:val="20"/>
          <w:szCs w:val="20"/>
          <w:color w:val="auto"/>
        </w:rPr>
      </w:pPr>
      <w:r>
        <w:rPr>
          <w:rFonts w:ascii="Arial" w:cs="Arial" w:eastAsia="Arial" w:hAnsi="Arial"/>
          <w:sz w:val="16"/>
          <w:szCs w:val="16"/>
          <w:color w:val="auto"/>
        </w:rPr>
        <w:t>As the Company's business becomes increasingly complex, global, mobile, and technology-enabled, it recognizes the importance of having compensation and benefits programs that provide sufficient flexibility to attract and retain the specialized and skilled talent needed to move the business forward. The Company continually monitors market activity and employee movement to maintain competitiveness in a dynamic life sciences industry.</w:t>
      </w:r>
    </w:p>
    <w:p>
      <w:pPr>
        <w:sectPr>
          <w:pgSz w:w="11900" w:h="16838" w:orient="portrait"/>
          <w:cols w:equalWidth="0" w:num="1">
            <w:col w:w="11260"/>
          </w:cols>
          <w:pgMar w:left="32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During the pandemic, the Company has taken steps to protect our competitive positioning with a focus on front line workers, given their on-premises direct interaction with patients and the handling of specimens and results throughout the supply chain and operations. Although the Company initially suspended discretionary payments, such as the annual merit adjustments and U.S. 401K company contributions, in July 2020, as business improved, the Company retroactively reinstated both programs, returning over $100 million back to our employees globally. In addition, during 2020, the company provided over $50 million in discretionary incentives and awards to our employees globally to thank and reward them for their response to the pandemic. The Company also made over $8 million in broad, off-cycle wage rate adjustments, primarily to its U.S. non-exempt employees.</w:t>
      </w:r>
    </w:p>
    <w:p>
      <w:pPr>
        <w:spacing w:after="0" w:line="7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 is focusing on enhancing our benefits positioning by not increasing employee contributions in 2021 for the U.S. non-union medical, dental, and vision plans, as well as providing disability coverage at no cost to U.S. non-union employees. In the area of wellness, the Company covered the cost or provided a subsidy to all global employees for flu shots to protect their health and safety, as well as the health and safety of patients and customers. The Company built these enhancements on top of other benefits and wellness programs, such as in the U.S. medical plans where the Company subsidizes part of the monthly contributions for employees earning less than $50,000 annually and provides up to $1,000 in medical reimbursements for engaging in healthy activities. The Company also provides U.S. employees a $300 fitness reimbursement to encourage healthy lifestyles.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Development and Training</w:t>
      </w:r>
    </w:p>
    <w:p>
      <w:pPr>
        <w:spacing w:after="0" w:line="13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Because the life sciences industry is heavily regulated, the Dx and DD segments require a significant investment in technical training to prepare their workforces to meet the necessary standards to run and manage business operations. Across the enterprise considerable attention is focused on employee skills training.</w:t>
      </w:r>
    </w:p>
    <w:p>
      <w:pPr>
        <w:spacing w:after="0" w:line="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While the technical training is important to the Company’s success in differentiating its science and technology, the Company also invests in training for the professional development of its talent and to retain its best employees for future opportunities in the Company. In 2020, 3,500 employees attended professional development webinars consisting of 7,000 hours of professional development. To strengthen leadership capabilities, the organization provided 6,200 hours of core leadership training to early in career leaders. Finally, the expanded mentoring program had 2,100 employees participate with 10,200 mentoring hours recorded from April to December 2020.</w:t>
      </w:r>
    </w:p>
    <w:p>
      <w:pPr>
        <w:spacing w:after="0" w:line="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pandemic has provided challenges to the ability to provide both technical and leadership training. The Company has adapted by utilizing technology to deliver unique virtual learning and development opportunities.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nature of the Dx and DD business segments requires employees to work directly with patients, handle, process or test human specimens on a daily basis. As a result, the health and safety of the Company's employees is a primary concern. The Company has established procedures, processes and controls, including providing personal protective equipment (PPE) to protect our employees. During the pandemic, the Company supplied more than 250 million units of PPE to employees, including personal cloth facemasks for each employee, N95 respirators, and ear-loop masks, gloves, face shields and disposable lab coats.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Giving</w:t>
      </w:r>
    </w:p>
    <w:p>
      <w:pPr>
        <w:spacing w:after="0" w:line="13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COVID-19 crisis left many communities and individuals facing health challenges and financial crisis. Through the Company’s U.S. annual Employee Giving Campaign, donations helped to support the American Cancer Society, American Heart Association, American Diabetes Association, American Red Cross Disaster Relief, United Way, and the National Urban League. The National Urban League was added based on feedback from the Company's employees requesting a charity focused on social and economic justice. The Company and its employees focused their efforts on helping the underserved in 2020 by donating to local food pantries and shelters, by supporting educational programs aimed at helping to provide students and teachers with the resources they needed during the pandemic and supporting a number of patient assistance programs aimed at helping the underserved while they received care. In addition, the Company established the Labcorp Charitable Foundation which supports the Company’s strategic mission of improving health and improving lives with contributions focused on health and welfare, education and community.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provides its services to a broad range of customers across Dx and DD. The primary customer groups serviced by the Company include:</w:t>
      </w:r>
    </w:p>
    <w:p>
      <w:pPr>
        <w:spacing w:after="0" w:line="167"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MCOs. </w:t>
      </w:r>
      <w:r>
        <w:rPr>
          <w:rFonts w:ascii="Arial" w:cs="Arial" w:eastAsia="Arial" w:hAnsi="Arial"/>
          <w:sz w:val="18"/>
          <w:szCs w:val="18"/>
          <w:color w:val="auto"/>
        </w:rPr>
        <w:t>The Company serves many MCOs, each of which operate on a national, regional, or local basis.</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5" w:lineRule="exact"/>
        <w:rPr>
          <w:rFonts w:ascii="Arial" w:cs="Arial" w:eastAsia="Arial" w:hAnsi="Arial"/>
          <w:sz w:val="18"/>
          <w:szCs w:val="18"/>
          <w:b w:val="1"/>
          <w:bCs w:val="1"/>
          <w:i w:val="1"/>
          <w:iCs w:val="1"/>
          <w:color w:val="auto"/>
        </w:rPr>
      </w:pPr>
    </w:p>
    <w:p>
      <w:pPr>
        <w:ind w:left="55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60" w:hanging="252"/>
        <w:spacing w:after="0" w:line="263" w:lineRule="auto"/>
        <w:tabs>
          <w:tab w:leader="none" w:pos="2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Biopharmaceutical, Medical Device, and Diagnostics Companies. </w:t>
      </w:r>
      <w:r>
        <w:rPr>
          <w:rFonts w:ascii="Arial" w:cs="Arial" w:eastAsia="Arial" w:hAnsi="Arial"/>
          <w:sz w:val="18"/>
          <w:szCs w:val="18"/>
          <w:color w:val="auto"/>
        </w:rPr>
        <w:t>The Company provides development services to hundreds of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pharmaceutical and biotechnology-based organizations), medical device, and diagnostics companies, ranging from the world's largest multi-nationals to emerging, mid-market companies.</w:t>
      </w:r>
    </w:p>
    <w:p>
      <w:pPr>
        <w:spacing w:after="0" w:line="102" w:lineRule="exact"/>
        <w:rPr>
          <w:rFonts w:ascii="Arial" w:cs="Arial" w:eastAsia="Arial" w:hAnsi="Arial"/>
          <w:sz w:val="18"/>
          <w:szCs w:val="18"/>
          <w:b w:val="1"/>
          <w:bCs w:val="1"/>
          <w:i w:val="1"/>
          <w:iCs w:val="1"/>
          <w:color w:val="auto"/>
        </w:rPr>
      </w:pPr>
    </w:p>
    <w:p>
      <w:pPr>
        <w:ind w:left="260" w:hanging="252"/>
        <w:spacing w:after="0" w:line="277" w:lineRule="auto"/>
        <w:tabs>
          <w:tab w:leader="none" w:pos="2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Physicians and Other Healthcare Providers. </w:t>
      </w:r>
      <w:r>
        <w:rPr>
          <w:rFonts w:ascii="Arial" w:cs="Arial" w:eastAsia="Arial" w:hAnsi="Arial"/>
          <w:sz w:val="18"/>
          <w:szCs w:val="18"/>
          <w:color w:val="auto"/>
        </w:rPr>
        <w:t>Physicians who require clinical laboratory testing for their patients are a primary source of requests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Dx's testing services.</w:t>
      </w:r>
    </w:p>
    <w:p>
      <w:pPr>
        <w:spacing w:after="0" w:line="75" w:lineRule="exact"/>
        <w:rPr>
          <w:rFonts w:ascii="Arial" w:cs="Arial" w:eastAsia="Arial" w:hAnsi="Arial"/>
          <w:sz w:val="18"/>
          <w:szCs w:val="18"/>
          <w:b w:val="1"/>
          <w:bCs w:val="1"/>
          <w:i w:val="1"/>
          <w:iCs w:val="1"/>
          <w:color w:val="auto"/>
        </w:rPr>
      </w:pPr>
    </w:p>
    <w:p>
      <w:pPr>
        <w:jc w:val="both"/>
        <w:ind w:left="260" w:hanging="252"/>
        <w:spacing w:after="0" w:line="311" w:lineRule="auto"/>
        <w:tabs>
          <w:tab w:leader="none" w:pos="255"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Hospitals and Health Systems. </w:t>
      </w:r>
      <w:r>
        <w:rPr>
          <w:rFonts w:ascii="Arial" w:cs="Arial" w:eastAsia="Arial" w:hAnsi="Arial"/>
          <w:sz w:val="16"/>
          <w:szCs w:val="16"/>
          <w:color w:val="auto"/>
        </w:rPr>
        <w:t>The Company provides hospitals and health systems with services ranging from core and specialty testing to supply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chain and technical support services, and the opportunity to be a research partner for participation in studies and clinical trials with DD. In some cases, a hospital’s on-site laboratory may be operated or managed by an outside contractor or independent laboratory, including the Company.</w:t>
      </w:r>
    </w:p>
    <w:p>
      <w:pPr>
        <w:spacing w:after="0" w:line="51" w:lineRule="exact"/>
        <w:rPr>
          <w:rFonts w:ascii="Arial" w:cs="Arial" w:eastAsia="Arial" w:hAnsi="Arial"/>
          <w:sz w:val="16"/>
          <w:szCs w:val="16"/>
          <w:b w:val="1"/>
          <w:bCs w:val="1"/>
          <w:i w:val="1"/>
          <w:iCs w:val="1"/>
          <w:color w:val="auto"/>
        </w:rPr>
      </w:pPr>
    </w:p>
    <w:p>
      <w:pPr>
        <w:ind w:left="260" w:hanging="252"/>
        <w:spacing w:after="0" w:line="313" w:lineRule="auto"/>
        <w:tabs>
          <w:tab w:leader="none" w:pos="255"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Other Customers. </w:t>
      </w:r>
      <w:r>
        <w:rPr>
          <w:rFonts w:ascii="Arial" w:cs="Arial" w:eastAsia="Arial" w:hAnsi="Arial"/>
          <w:sz w:val="17"/>
          <w:szCs w:val="17"/>
          <w:color w:val="auto"/>
        </w:rPr>
        <w:t>The Company serves a broad range of other customers,</w:t>
      </w:r>
      <w:r>
        <w:rPr>
          <w:rFonts w:ascii="Arial" w:cs="Arial" w:eastAsia="Arial" w:hAnsi="Arial"/>
          <w:sz w:val="17"/>
          <w:szCs w:val="17"/>
          <w:b w:val="1"/>
          <w:bCs w:val="1"/>
          <w:i w:val="1"/>
          <w:iCs w:val="1"/>
          <w:color w:val="auto"/>
        </w:rPr>
        <w:t xml:space="preserve"> </w:t>
      </w:r>
      <w:r>
        <w:rPr>
          <w:rFonts w:ascii="Arial" w:cs="Arial" w:eastAsia="Arial" w:hAnsi="Arial"/>
          <w:sz w:val="18"/>
          <w:szCs w:val="18"/>
          <w:color w:val="auto"/>
        </w:rPr>
        <w:t>incl</w:t>
      </w:r>
      <w:r>
        <w:rPr>
          <w:rFonts w:ascii="Arial" w:cs="Arial" w:eastAsia="Arial" w:hAnsi="Arial"/>
          <w:sz w:val="17"/>
          <w:szCs w:val="17"/>
          <w:color w:val="auto"/>
        </w:rPr>
        <w:t>uding, but not limited to, governmental agencies, employers, patients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consumers, CROs, crop protection and chemical companies, academic institutions and independent clinical laboratories.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Service</w:t>
      </w:r>
    </w:p>
    <w:p>
      <w:pPr>
        <w:spacing w:after="0" w:line="1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offers its services through a sales force focused on serving the specific needs of customers in different market segments. The Company's sales force is responsible for both new sales and for customer retention and relationship building.</w:t>
      </w:r>
    </w:p>
    <w:p>
      <w:pPr>
        <w:spacing w:after="0" w:line="7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For Dx, these market segments generally include primary care, women's health, specialty medicine (e.g., infectious diseases, endocrinology, gastroenterology, and rheumatology), oncology, ACOs, and hospitals and health systems, with different representatives focused on each segment to better understand and respond to the unique needs of each clinical area. DD’s global sales organization provides customer coverage across the biopharmaceutical industry for services including lead optimization, preclinical safety assessment, analytical services, clinical trials, central laboratories, biomarkers, and companion diagnostics, market access and technology solutions. As part of its ongoing strategic priority to maximize the power of the combined, sales representatives from each business segment work together on outreach to potential customers of each business, including hospitals and health systems that may purchase testing and participate in clinical trials, or biopharmaceutical companies whose studies may benefit from use of Dx’s specialty testing or network of PSCs.</w:t>
      </w:r>
    </w:p>
    <w:p>
      <w:pPr>
        <w:spacing w:after="0" w:line="21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2020, the Company initiated a greater emphasis on establishing a centralized marketing program to support both of its primary business segments, rather than separate programs for each segment. The Company anticipates that this will provide further support for fully leveraging the power of its combined capabilities, and it is also aligned with the Company’s rebranding initiative, which was launched in December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Dx</w:t>
      </w:r>
    </w:p>
    <w:p>
      <w:pPr>
        <w:spacing w:after="0" w:line="117"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8"/>
          <w:szCs w:val="18"/>
          <w:color w:val="auto"/>
        </w:rPr>
        <w:t>The Company believes that in 2020, the U.S. clinical laboratory testing industry generated revenues of more than $80 billion. The clinical laboratory industry consists primarily of three types of providers: hospital-based laboratories, physician-office laboratories and independent clinical and anatomical pathology laboratories, such as those operated by Dx.</w:t>
      </w:r>
    </w:p>
    <w:p>
      <w:pPr>
        <w:spacing w:after="0" w:line="20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8"/>
          <w:szCs w:val="18"/>
          <w:color w:val="auto"/>
        </w:rPr>
        <w:t>The clinical laboratory business is intensely competitive. CMS has estimated that in 2020 there were approximately 9,100 hospital-based laboratories, more than 121,000 physician-office laboratories and approximately 6,500 independent clinical and anatomic pathology laboratories in the U.S. Dx competes with all of those laboratories.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Dx believes that the selection of a laboratory is primarily based on the following factors, all of which the Company believes it competes favorably in:</w:t>
      </w:r>
    </w:p>
    <w:p>
      <w:pPr>
        <w:spacing w:after="0" w:line="6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timeliness and consistency in reporting test results;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reputation of the laboratory in the medical community or field of specialty;</w:t>
      </w: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relationships with MCOs;</w:t>
      </w: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service capability and convenience;</w:t>
      </w: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and type of tests performed;</w:t>
      </w:r>
    </w:p>
    <w:p>
      <w:pPr>
        <w:ind w:left="660" w:hanging="328"/>
        <w:spacing w:after="0" w:line="23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connectivity solutions offered;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of the laboratory’s services.</w:t>
      </w:r>
    </w:p>
    <w:p>
      <w:pPr>
        <w:spacing w:after="0" w:line="223"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18"/>
          <w:szCs w:val="18"/>
          <w:color w:val="auto"/>
        </w:rPr>
        <w:t>Dx believes that consolidation in the clinical laboratory testing business will continue. In addition, Dx believes that it and other large, independent clinical laboratory testing companies will be able to increase their share of the overall clinical laboratory testing market due to a number of factors, including cost efficiencies afforded by large-scale automated testing, mergers and acquisitions of complementary businesses, changes in payment models to performance and value-based reimbursement to deliver better outcomes at lower cost, and the increasing importance of large, integrated service networks. In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 legal restrictions on physician referrals and physician ownership of laboratories, as well as ongoing regulation of laboratories, are expected to continue to contribute to the ongoing consolidation of the industry.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DD</w:t>
      </w:r>
    </w:p>
    <w:p>
      <w:pPr>
        <w:spacing w:after="0" w:line="104" w:lineRule="exact"/>
        <w:rPr>
          <w:sz w:val="20"/>
          <w:szCs w:val="20"/>
          <w:color w:val="auto"/>
        </w:rPr>
      </w:pPr>
    </w:p>
    <w:p>
      <w:pPr>
        <w:jc w:val="both"/>
        <w:ind w:right="20" w:firstLine="300"/>
        <w:spacing w:after="0" w:line="277" w:lineRule="auto"/>
        <w:rPr>
          <w:sz w:val="20"/>
          <w:szCs w:val="20"/>
          <w:color w:val="auto"/>
        </w:rPr>
      </w:pPr>
      <w:r>
        <w:rPr>
          <w:rFonts w:ascii="Arial" w:cs="Arial" w:eastAsia="Arial" w:hAnsi="Arial"/>
          <w:sz w:val="18"/>
          <w:szCs w:val="18"/>
          <w:color w:val="auto"/>
        </w:rPr>
        <w:t>Drug development services companies like DD are also referred to as CROs and typically derive substantially all of their revenue from research and development (R&amp;D), as well as marketing expenditures, of the biopharmaceutical industry.</w:t>
      </w:r>
    </w:p>
    <w:p>
      <w:pPr>
        <w:spacing w:after="0" w:line="89"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 xml:space="preserve">Outsourcing of R&amp;D services by biopharmaceutical companies to CROs has increased in the past, and is expected to continue increasing in the future. Increasing pressures to improve return on investment, to increase R&amp;D productivity, to stay abreast of scientific advances and to comply with stringent government regulations have all contributed to this outsourcing to CROs. A </w:t>
      </w:r>
      <w:r>
        <w:rPr>
          <w:rFonts w:ascii="Arial" w:cs="Arial" w:eastAsia="Arial" w:hAnsi="Arial"/>
          <w:sz w:val="16"/>
          <w:szCs w:val="16"/>
          <w:color w:val="333333"/>
        </w:rPr>
        <w:t>CRO provides biopharmaceutical companies flexibility in aligning resources to</w:t>
      </w:r>
      <w:r>
        <w:rPr>
          <w:rFonts w:ascii="Arial" w:cs="Arial" w:eastAsia="Arial" w:hAnsi="Arial"/>
          <w:sz w:val="16"/>
          <w:szCs w:val="16"/>
          <w:color w:val="auto"/>
        </w:rPr>
        <w:t xml:space="preserve"> </w:t>
      </w:r>
      <w:r>
        <w:rPr>
          <w:rFonts w:ascii="Arial" w:cs="Arial" w:eastAsia="Arial" w:hAnsi="Arial"/>
          <w:sz w:val="16"/>
          <w:szCs w:val="16"/>
          <w:color w:val="333333"/>
        </w:rPr>
        <w:t xml:space="preserve">demand. </w:t>
      </w:r>
      <w:r>
        <w:rPr>
          <w:rFonts w:ascii="Arial" w:cs="Arial" w:eastAsia="Arial" w:hAnsi="Arial"/>
          <w:sz w:val="16"/>
          <w:szCs w:val="16"/>
          <w:color w:val="000000"/>
        </w:rPr>
        <w:t>In the face of mounting complexity, the investment and amount of time required to develop new products are significant and have been increasing.</w:t>
      </w:r>
      <w:r>
        <w:rPr>
          <w:rFonts w:ascii="Arial" w:cs="Arial" w:eastAsia="Arial" w:hAnsi="Arial"/>
          <w:sz w:val="16"/>
          <w:szCs w:val="16"/>
          <w:color w:val="333333"/>
        </w:rPr>
        <w:t xml:space="preserve"> </w:t>
      </w:r>
      <w:r>
        <w:rPr>
          <w:rFonts w:ascii="Arial" w:cs="Arial" w:eastAsia="Arial" w:hAnsi="Arial"/>
          <w:sz w:val="16"/>
          <w:szCs w:val="16"/>
          <w:color w:val="000000"/>
        </w:rPr>
        <w:t>These trends create opportunities for DD and other CROs that can help make the development process more efficient.</w:t>
      </w:r>
    </w:p>
    <w:p>
      <w:pPr>
        <w:spacing w:after="0" w:line="6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drug development industry has many participants ranging from hundreds of small providers to a limited number of large CROs with global capabilities. DD competes against these small and large CROs, as well as in-house departments of biopharmaceutical, medical device and diagnostic companies, and to a lesser extent, selected academic research centers, universities and teaching hospitals.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DD believes that customers selecting a CRO often consider the following factors, all of which the Company believes it competes favorably in:</w:t>
      </w:r>
    </w:p>
    <w:p>
      <w:pPr>
        <w:spacing w:after="0" w:line="156" w:lineRule="exact"/>
        <w:rPr>
          <w:sz w:val="20"/>
          <w:szCs w:val="20"/>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reputation for quality and regulatory compliance;</w:t>
      </w:r>
    </w:p>
    <w:p>
      <w:pPr>
        <w:spacing w:after="0" w:line="23"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efficient, timely performance;</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expertise and experience in operations;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application of technology and innovation;</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specific therapeutic and scientific expertise;</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and analytical capabilities;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 approval and market access services;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recruit patients;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scope of service offerings;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strengths in various geographic markets;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of facilities;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of relationships, including investigator and patient;</w:t>
      </w:r>
    </w:p>
    <w:p>
      <w:pPr>
        <w:spacing w:after="0" w:line="9" w:lineRule="exact"/>
        <w:rPr>
          <w:rFonts w:ascii="Arial" w:cs="Arial" w:eastAsia="Arial" w:hAnsi="Arial"/>
          <w:sz w:val="18"/>
          <w:szCs w:val="18"/>
          <w:color w:val="auto"/>
        </w:rPr>
      </w:pPr>
    </w:p>
    <w:p>
      <w:pPr>
        <w:ind w:left="660" w:right="20" w:hanging="409"/>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manage large-scale clinical trials both domestically and internationally, including the recruitment of appropriate and sufficient clinical trial subjects;</w:t>
      </w: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and scale; and</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 to talent.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13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Dx and DD have comprehensive quality systems and processes appropriate for their respective businesses. The Company's quality programs are overseen by Dx's National Office of Quality, DD’s Global Regulatory Compliance and Quality Assurance Unit, DD's clinical trial services global vendor management department, DD's central laboratory services expanded laboratory management services department, and the Company's global supply chain management department and project management staff. The Company has procedures for monitoring its internal performance, as well as that of its vendors, suppliers, and other key stakeholders. In addition, various groups and departments within the Company provide oversight to monitor and control vendor products and performance, and play an essential role in the Company’s approach to quality through improvements in processes and automation.</w:t>
      </w:r>
    </w:p>
    <w:p>
      <w:pPr>
        <w:spacing w:after="0" w:line="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Virtually all facets of the Company’s services are subject to quality programs and procedures, including accuracy and reproducibility of tests; turnaround time; customer service; data integrity; patient satisfaction; and billing. The Company’s quality program includes measures that compare current performance against desired performance goals to monitor critical aspects of service to its customers and patients. This includes licensing, credentialing, training and competency of professional and technical staff, and internal auditing. In addition to the Company's own quality programs, the Company’s laboratories, facilities and processes are subject to on-site regulatory agency inspections and accreditation evaluations, in addition to surveys and proficiency testing, by local or national government agencies; independent external accrediting programs; and inspections and audits by customers.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Thirty-four of the Company's laboratories have received ISO-15189 accreditation, demonstrating that they meet international standards for quality and technical competence.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1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is committed to developing and commercializing technology-enabled solutions to support its operations and provide better care. The Company operates standard platforms for its core business services and its financial and reporting systems. These standard systems provide consistency within workflows and information as well as a high level of system availability, security, and stability. The primary laboratory systems include standardized support for molecular diagnostics, digital pathology and enhanced specialty laboratory solutions. The Company's centralized information systems are responsible for tremendous operational efficiencies, enabling the Company to achieve consistent, structured, and standardized operating results and superior patient care.</w:t>
      </w:r>
    </w:p>
    <w:p>
      <w:pPr>
        <w:spacing w:after="0" w:line="9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Dx and DD each offer proprietary and industry-leading information systems, which are discussed in more detail in the sections dedicated to each of those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35"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Occasionally,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82"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Patents covering the Company's technologies are subject to challenges. Issued patents may be successfully challenged, invalidated, circumvented, or declared unenforceable so that patent rights would not create an effective competitive barrier. In addition, the laws of some countries may not protect proprietary rights to the same extent as do the laws of the U.S.</w:t>
      </w:r>
    </w:p>
    <w:p>
      <w:pPr>
        <w:spacing w:after="0" w:line="10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Parties may file claims asserting that the Company's technologies infringe on their intellectual property. The Company cannot predict whether parties will assert such claims against it, or whether those claims will harm its business. If the Company is forced to defend against such claims, the Company could face costly litigation and diversion of management’s attention and resources. As result of such disputes, the Company may have to develop costly non-infringing technology or enter into licensing agreements. These agreements, if necessary, may require financial or other terms that could have an adverse effect on the Company's business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Reimbursement</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Because the Company operates in a number of distinct environments and in a variety of locations worldwide, it is subject to numerous, and sometimes overlapping, regulatory requirements.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 services, healthcare fraud and abuse, drug development services, security and confidentiality of health information, quality, and environmental and occupational safety.</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Clinical Laboratories</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Virtually all clinical laboratories operating in the U.S. must be certified by the federal government or by a federally approved accreditation agency. In most cases, that certification is regulated by CMS through CLIA, which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106"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103" w:lineRule="exact"/>
        <w:rPr>
          <w:sz w:val="20"/>
          <w:szCs w:val="20"/>
          <w:color w:val="auto"/>
        </w:rPr>
      </w:pPr>
    </w:p>
    <w:p>
      <w:pPr>
        <w:jc w:val="both"/>
        <w:ind w:firstLine="283"/>
        <w:spacing w:after="0" w:line="286"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71" w:lineRule="exact"/>
        <w:rPr>
          <w:sz w:val="20"/>
          <w:szCs w:val="20"/>
          <w:color w:val="auto"/>
        </w:rPr>
      </w:pPr>
    </w:p>
    <w:p>
      <w:pPr>
        <w:jc w:val="both"/>
        <w:ind w:firstLine="283"/>
        <w:spacing w:after="0" w:line="286" w:lineRule="auto"/>
        <w:rPr>
          <w:sz w:val="20"/>
          <w:szCs w:val="20"/>
          <w:color w:val="auto"/>
        </w:rPr>
      </w:pPr>
      <w:r>
        <w:rPr>
          <w:rFonts w:ascii="Arial" w:cs="Arial" w:eastAsia="Arial" w:hAnsi="Arial"/>
          <w:sz w:val="17"/>
          <w:szCs w:val="17"/>
          <w:color w:val="auto"/>
        </w:rPr>
        <w:t>The Company believes that it is in compliance in all material respects with all laboratory requirements applicable to its laboratories operating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FDA and Other Regulatory Agency Laws and Regulations</w:t>
      </w:r>
    </w:p>
    <w:p>
      <w:pPr>
        <w:spacing w:after="0" w:line="144" w:lineRule="exact"/>
        <w:rPr>
          <w:sz w:val="20"/>
          <w:szCs w:val="20"/>
          <w:color w:val="auto"/>
        </w:rPr>
      </w:pPr>
    </w:p>
    <w:p>
      <w:pPr>
        <w:jc w:val="both"/>
        <w:ind w:firstLine="283"/>
        <w:spacing w:after="0" w:line="270" w:lineRule="auto"/>
        <w:rPr>
          <w:sz w:val="20"/>
          <w:szCs w:val="20"/>
          <w:color w:val="auto"/>
        </w:rPr>
      </w:pPr>
      <w:r>
        <w:rPr>
          <w:rFonts w:ascii="Arial" w:cs="Arial" w:eastAsia="Arial" w:hAnsi="Arial"/>
          <w:sz w:val="17"/>
          <w:szCs w:val="17"/>
          <w:color w:val="auto"/>
        </w:rPr>
        <w:t>Various regulatory agencies, including the FDA in the U.S., have regulatory responsibility over the development, testing, manufacturing, labeling, advertising, marketing, distribution, storage, import, export, and surveillance of diagnostic and therapeutic products and services, including certain products and services offered by the Company, and the development of therapeutic products that comprise the majority of DD’s business. The FDA and other regulatory agencies periodically inspect and review the manufacturing processes and product performance of diagnostic and therapeutic products. The FDA and other regulatory agencies also periodically inspect clinical study sites and CROs that conduct clinical trials, including test facilities that perform tests on samples from human subjects enrolled in such clinical studies of drugs, biologics, and medical devices. These agencies have the authority to take various administrative and legal actions for noncompliance, such as fines, withdrawal of product approval, warning or untitled letters, seizures, recalls, injunctions and other civil and criminal sanctions. There are similar national and regional regulatory agencies in the jurisdictions outside the U.S. in which the Company operates.</w:t>
      </w:r>
    </w:p>
    <w:p>
      <w:pPr>
        <w:spacing w:after="0" w:line="86" w:lineRule="exact"/>
        <w:rPr>
          <w:sz w:val="20"/>
          <w:szCs w:val="20"/>
          <w:color w:val="auto"/>
        </w:rPr>
      </w:pPr>
    </w:p>
    <w:p>
      <w:pPr>
        <w:jc w:val="both"/>
        <w:ind w:firstLine="283"/>
        <w:spacing w:after="0" w:line="273" w:lineRule="auto"/>
        <w:rPr>
          <w:sz w:val="20"/>
          <w:szCs w:val="20"/>
          <w:color w:val="auto"/>
        </w:rPr>
      </w:pPr>
      <w:r>
        <w:rPr>
          <w:rFonts w:ascii="Arial" w:cs="Arial" w:eastAsia="Arial" w:hAnsi="Arial"/>
          <w:sz w:val="17"/>
          <w:szCs w:val="17"/>
          <w:color w:val="auto"/>
        </w:rPr>
        <w:t>Since 2014, there have been ongoing discussions and advocacy between stakeholders, including the clinical laboratory industry, the FDA, and Congress, about potential FDA regulation of laboratory-developed tests (LDTs), which are assays developed and performed in-house by clinical laboratories and can be made available to the public without pre-market review by the FDA (although COVID-19 diagnostic PCR LDTs have been subject to FDA pre-market requirements as modified by guidance issued by FDA on February 29, 2020, as a consequence of the national health emergency). Various regulatory and legislative proposals are under consideration, including some that could increase general FDA oversight of clinical laboratories and LDTs. The outcome and ultimate impact of such proposals on the Company is difficult to predict at this time.</w:t>
      </w:r>
    </w:p>
    <w:p>
      <w:pPr>
        <w:spacing w:after="0" w:line="8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DD’s laboratory facilities and Dx's clinical laboratory facilities that perform testing in support of clinical trials, must conform to a range of standards and regulations, including good laboratory practice (GLP) and good clinical practice (GCP), good manufacturing practice (cGMP), human subject protection and investigational product exemption regulations, and quality system regulation (QSR) requirements, as applicable. The preclinical and clinical studies that the Company conducts are subject to periodic inspections by the FDA as well as other regulatory agencies in the jurisdictions outside the U.S. in which the Company operates, which may include, without limitation, the Medicines and Healthcare products Regulatory Agency (MHRA) in the U.K., the European Medicines Agency, the National Medical Products Administration in China, and the Pharmaceuticals and Medical Devices Agency in Japan, to determine compliance with GLP and GCP as well as other applicable standards and regulations. If a regulatory agency determines during an inspection that the Company’s equipment, facilities, laboratories, operations, or processes do not comply with applicable regulations and GLP and/or GCP standards, the regulatory agency may issue a formal notice, which may be followed by a warning letter if observations are not addressed satisfactorily. Noncompliance may result in, among other things, unanticipated compliance expenditures, or the regulatory agency seeking civil, criminal or administrative sanctions and/or remedies against the Company, including suspension of its operations.</w:t>
      </w:r>
    </w:p>
    <w:p>
      <w:pPr>
        <w:spacing w:after="0" w:line="10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Additionally, certain DD services and activities, such as chemistry, manufacturing, and controls (CMC) services and manufacturing of investigational medicinal products for use in certain Phase I studies managed by DD, must conform to cGMP. DD is subject to periodic inspections by the FDA and the MHRA, as well as other regulatory agencies in the jurisdictions outside the U.S. in which the Company operates, in order to assess, among other things, cGMP compliance. If a regulatory agency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among other things, fines, warnings or untitled letters, unanticipated compliance expenditures, suspension of manufacturing, enforcement actions, product seizures or recalls, injunctions, or 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Animal Welfare Laws and Regulations</w:t>
      </w:r>
    </w:p>
    <w:p>
      <w:pPr>
        <w:spacing w:after="0" w:line="14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conduct of animal research at DD’s facilities in the U.S. must be in compliance with the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DD complies with licensing and registration requirement standards set by the USDA and similar agencies in foreign jurisdictions such as the European Union, the U.K., and China for the care and use of regulated species. If the USDA determines that DD’s equipment, facilities, laboratories or processes do not comply with applicable AWA standards, it may issue an inspection report documenting the deficiencies and setting deadlines for any required corrective actions. The USDA may impose fines, suspend and/or revoke licenses and registrations, or confiscate research animals. Other countries where the Company conducts business have similar laws and regulations with which the Company must also comply. In addition, certain of DD’s animal-related activities may be subject to regulation by the U.S. Centers for Disease Control and Prevention (CDC), the Office of Laboratory Animal Welfare of the National Institutes of Health, the U.S. Fish and Wildlife Service, and similar organizations in other jurisdictions.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Payment for Clinical Laboratory Services</w:t>
      </w:r>
    </w:p>
    <w:p>
      <w:pPr>
        <w:spacing w:after="0" w:line="131"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In 2020, Dx derived approximately 11.3% of its revenue directly from traditional Medicare and Medicaid programs. In addition, Dx's other commercial laboratory testing business that is not directly related to Medicare or Medicaid nevertheless depends significantly on continued participation in these programs and in other government healthcare programs, in part because customers often want a single laboratory to perform all of their testing services. In recent years, both governmental and private sector payers have made efforts to contain or reduce healthcare costs, including reducing reimbursement for clinical laboratory services.</w:t>
      </w:r>
    </w:p>
    <w:p>
      <w:pPr>
        <w:spacing w:after="0" w:line="107" w:lineRule="exact"/>
        <w:rPr>
          <w:sz w:val="20"/>
          <w:szCs w:val="20"/>
          <w:color w:val="auto"/>
        </w:rPr>
      </w:pPr>
    </w:p>
    <w:p>
      <w:pPr>
        <w:jc w:val="both"/>
        <w:ind w:firstLine="283"/>
        <w:spacing w:after="0" w:line="255" w:lineRule="auto"/>
        <w:rPr>
          <w:sz w:val="20"/>
          <w:szCs w:val="20"/>
          <w:color w:val="auto"/>
        </w:rPr>
      </w:pPr>
      <w:r>
        <w:rPr>
          <w:rFonts w:ascii="Arial" w:cs="Arial" w:eastAsia="Arial" w:hAnsi="Arial"/>
          <w:sz w:val="18"/>
          <w:szCs w:val="18"/>
          <w:color w:val="auto"/>
        </w:rPr>
        <w:t>Reimbursement under the Medicare PFS is capped at different rates in each Medicare Administrative Contractor's jurisdiction. Pursuant to PAMA, reimbursement under the CLFS is set at a national rate that is updated every three years for most tests.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 Approximately 8.8% of Dx's revenue is reimbursed directly by Medicare under the CLFS.</w:t>
      </w:r>
    </w:p>
    <w:p>
      <w:pPr>
        <w:spacing w:after="0" w:line="98" w:lineRule="exact"/>
        <w:rPr>
          <w:sz w:val="20"/>
          <w:szCs w:val="20"/>
          <w:color w:val="auto"/>
        </w:rPr>
      </w:pPr>
    </w:p>
    <w:p>
      <w:pPr>
        <w:jc w:val="both"/>
        <w:ind w:firstLine="283"/>
        <w:spacing w:after="0" w:line="288" w:lineRule="auto"/>
        <w:rPr>
          <w:sz w:val="20"/>
          <w:szCs w:val="20"/>
          <w:color w:val="auto"/>
        </w:rPr>
      </w:pPr>
      <w:r>
        <w:rPr>
          <w:rFonts w:ascii="Arial" w:cs="Arial" w:eastAsia="Arial" w:hAnsi="Arial"/>
          <w:sz w:val="16"/>
          <w:szCs w:val="16"/>
          <w:color w:val="auto"/>
        </w:rPr>
        <w:t>Many pathology services performed by Dx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previously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The Medicare Access and CHIP Reauthorization Act of 2015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no updates for 2020-2025, and updates that vary based on participation in alternative payment models in subsequent years. These changes to the conversion factor may be offset by reductions to the relative value units, as was the case with the 2016 PFS reductions. Approximately 0.4% of Dx's revenue is reimbursed under the PFS.</w:t>
      </w:r>
    </w:p>
    <w:p>
      <w:pPr>
        <w:spacing w:after="0" w:line="74" w:lineRule="exact"/>
        <w:rPr>
          <w:sz w:val="20"/>
          <w:szCs w:val="20"/>
          <w:color w:val="auto"/>
        </w:rPr>
      </w:pPr>
    </w:p>
    <w:p>
      <w:pPr>
        <w:jc w:val="both"/>
        <w:ind w:firstLine="283"/>
        <w:spacing w:after="0" w:line="255" w:lineRule="auto"/>
        <w:rPr>
          <w:sz w:val="20"/>
          <w:szCs w:val="20"/>
          <w:color w:val="auto"/>
        </w:rPr>
      </w:pPr>
      <w:r>
        <w:rPr>
          <w:rFonts w:ascii="Arial" w:cs="Arial" w:eastAsia="Arial" w:hAnsi="Arial"/>
          <w:sz w:val="18"/>
          <w:szCs w:val="18"/>
          <w:color w:val="auto"/>
        </w:rPr>
        <w:t>In addition to changes in reimbursement rates, Dx is also impacted by changes in coverage policies for laboratory tests and annual CPT coding revisions. Medicare, Medicaid and private payer diagnosis code requirements and payment policies negatively impact Dx's ability to be paid for some of the tests it performs. Further, some payers require additional information to process claims, employ third-party utilization management tools, or have implemented prior authorization policies which delay or prohibit payment. In 2020, with the exception of those specifically related to COVID-19 testing, there were limited coding and billing changes. While limited changes are expected to be implemented in 2021, the Company typically expects some delays in pricing and reimbursement as new codes are introduced.</w:t>
      </w:r>
    </w:p>
    <w:p>
      <w:pPr>
        <w:spacing w:after="0" w:line="111"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Future changes in national, state and local laws and regulations (or in the interpretation of current regulations) affecting government payment for clinical laboratory testing could have a material adverse effect on the Company.</w:t>
      </w:r>
    </w:p>
    <w:p>
      <w:pPr>
        <w:spacing w:after="0" w:line="76"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Further healthcare reform could occur in 2021, including changes to the ACA and Medicare reform, initiatives to address surprise billing and increased price transparency, as well as administrative requirements that may continue to affect coverage, reimbursement, and utilization of laboratory services in ways that are currently unpredictable.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Privacy, Security and Confidentiality of Health Information and Other Personal Information</w:t>
      </w:r>
    </w:p>
    <w:p>
      <w:pPr>
        <w:spacing w:after="0" w:line="144" w:lineRule="exact"/>
        <w:rPr>
          <w:sz w:val="20"/>
          <w:szCs w:val="20"/>
          <w:color w:val="auto"/>
        </w:rPr>
      </w:pPr>
    </w:p>
    <w:p>
      <w:pPr>
        <w:jc w:val="both"/>
        <w:ind w:firstLine="283"/>
        <w:spacing w:after="0" w:line="253" w:lineRule="auto"/>
        <w:rPr>
          <w:sz w:val="20"/>
          <w:szCs w:val="20"/>
          <w:color w:val="auto"/>
        </w:rPr>
      </w:pPr>
      <w:r>
        <w:rPr>
          <w:rFonts w:ascii="Arial" w:cs="Arial" w:eastAsia="Arial" w:hAnsi="Arial"/>
          <w:sz w:val="18"/>
          <w:szCs w:val="18"/>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and healthcare providers that conduct standard transactions electronically and healthcare clearinghouses (covered entities). Six such regulations include: (i) the Transactions and Code Sets Rule; (ii) the Privacy Rule; (iii) the Security Rule; (iv) the Standard Unique Employer Identifier Rule, which requires the use of a unique employer identifier in connection with certain electronic transactions; (v) the National Provider Identifier Rule, which requires the use of a unique healthcare provider identifier in connection with certain electronic transactions; and (vi) the Health Plan Identifier Rule, which required the use of a unique health plan identifier in connection with certain electronic transactions. The Company believes that it is in compliance in all material respects with each of the HIPAA Rules identified above.</w:t>
      </w:r>
    </w:p>
    <w:p>
      <w:pPr>
        <w:spacing w:after="0" w:line="102"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the creation, receipt, maintenance, or transmission of PHI. The Company believes that it is in compliance in all material respects with the requirements of the HIPAA Privacy Rule.</w:t>
      </w:r>
    </w:p>
    <w:p>
      <w:pPr>
        <w:spacing w:after="0" w:line="82"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 The Company believes its policies and procedures and privacy notice comply with the Privacy Rule access requirements.</w:t>
      </w:r>
    </w:p>
    <w:p>
      <w:pPr>
        <w:spacing w:after="0" w:line="106"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On December 12, 2018, HHS issued a request for information (RFI) seeking input from the public on how the HIPAA regulations and the Privacy Rule, in particular, could be modified to amend existing, or impose additional, obligations relating to the processing of PHI. Subsequent to the RFI, on January 21, 2021, HHS published a notice of proposed rulemaking (NPRM) containing potential modifications to the Privacy Rule addressing standards that may impede the transition to value-based health care. The Company is monitoring the NPRM process. If modifications to the Privacy Rule are adopted, they may impact the Company's compliance obligations under HIPAA.</w:t>
      </w:r>
    </w:p>
    <w:p>
      <w:pPr>
        <w:spacing w:after="0" w:line="93"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8"/>
          <w:szCs w:val="18"/>
          <w:color w:val="auto"/>
        </w:rPr>
        <w:t>The U.S. Health Information Technology for Economic and Clinical Health Act (HITECH), which was enacted in February 2009, with regulations effective on September 23, 2013, strengthened and expanded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 The Company believes its policies and procedures are fully compliant with HIPAA as modified by the HITECH requirements.</w:t>
      </w:r>
    </w:p>
    <w:p>
      <w:pPr>
        <w:spacing w:after="0" w:line="9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an NPI to identify themselves in standard HIPAA transactions. NPI replaces the unique provider identification number and other provider numbers previously assigned by payers and other entities for the purpose of identifying healthcare providers in standard electronic transactions. The Company believes that it is in compliance with the HIPAA National Provider Identifier Rule in all material respects.</w:t>
      </w:r>
    </w:p>
    <w:p>
      <w:pPr>
        <w:spacing w:after="0" w:line="11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Health Plan Identifier (HPID) was a unique identifier designed to furnish a standard way to identify health plans in electronic transactions. CMS published the final rule adopting the HPID for health plans required by HIPAA on September 12, 2012. Effective October 31, 2014, CMS announced a delay, until further notice, in enforcement of regulations pertaining to health plan enumeration and use of the HPID in HIPAA transactions adopted in the HPID final rule. On October 28, 2019, CMS published a final rule rescinding the adopted standard unique HPID and implementation specifications and requirements for its use and other entity identifier and implementation specifications for its use, effective December 27, 2019. This delay remains in effect. The Company will continue to monitor future developments related to the HPID and respond accordingly.</w:t>
      </w:r>
    </w:p>
    <w:p>
      <w:pPr>
        <w:spacing w:after="0" w:line="83"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Violations of the HIPAA provisions could result in civil and/or criminal penalties, including significant fines and up to 10 years in prison. HITECH also significantly strengthened HIPAA enforcement by increasing the civil penalty amounts that may be imposed, requiring HHS to conduct periodic audits to confirm compliance and authorizing state attorneys general to bring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civil actions seeking either injunctions or damages in response to violations of the HIPAA privacy and security regulations that affect the privacy of state residents.</w:t>
      </w:r>
    </w:p>
    <w:p>
      <w:pPr>
        <w:spacing w:after="0" w:line="89" w:lineRule="exact"/>
        <w:rPr>
          <w:sz w:val="20"/>
          <w:szCs w:val="20"/>
          <w:color w:val="auto"/>
        </w:rPr>
      </w:pPr>
    </w:p>
    <w:p>
      <w:pPr>
        <w:jc w:val="both"/>
        <w:ind w:right="20" w:firstLine="283"/>
        <w:spacing w:after="0" w:line="308" w:lineRule="auto"/>
        <w:rPr>
          <w:sz w:val="20"/>
          <w:szCs w:val="20"/>
          <w:color w:val="auto"/>
        </w:rPr>
      </w:pPr>
      <w:r>
        <w:rPr>
          <w:rFonts w:ascii="Arial" w:cs="Arial" w:eastAsia="Arial" w:hAnsi="Arial"/>
          <w:sz w:val="17"/>
          <w:szCs w:val="17"/>
          <w:color w:val="auto"/>
        </w:rPr>
        <w:t>The total cost associated with meeting the ongoing requirements of HIPAA and HITECH is not expected to be material to the Company’s operations or cash flows. However, future regulations and interpretations of HIPAA and HITECH could impose significant costs on the Company.</w:t>
      </w:r>
    </w:p>
    <w:p>
      <w:pPr>
        <w:spacing w:after="0" w:line="52" w:lineRule="exact"/>
        <w:rPr>
          <w:sz w:val="20"/>
          <w:szCs w:val="20"/>
          <w:color w:val="auto"/>
        </w:rPr>
      </w:pPr>
    </w:p>
    <w:p>
      <w:pPr>
        <w:jc w:val="both"/>
        <w:ind w:firstLine="283"/>
        <w:spacing w:after="0" w:line="301" w:lineRule="auto"/>
        <w:rPr>
          <w:sz w:val="20"/>
          <w:szCs w:val="20"/>
          <w:color w:val="auto"/>
        </w:rPr>
      </w:pPr>
      <w:r>
        <w:rPr>
          <w:rFonts w:ascii="Arial" w:cs="Arial" w:eastAsia="Arial" w:hAnsi="Arial"/>
          <w:sz w:val="16"/>
          <w:szCs w:val="16"/>
          <w:color w:val="auto"/>
        </w:rPr>
        <w:t>In addition to the HIPAA regulations described above, numerous other data protection, privacy and similar laws govern the confidentiality, security, use, and disclosure of personal information. These laws vary by jurisdiction, but they most commonly regulate or restrict the collection, use, and disclosure of medical and financial information and other personal information. In the U.S., some state laws are more restrictive and, therefore, are not preempted by HIPAA. Penalties for violation of these laws may include sanctions against a laboratory's licensure, as well as civil and/or criminal penalties.</w:t>
      </w:r>
    </w:p>
    <w:p>
      <w:pPr>
        <w:spacing w:after="0" w:line="63" w:lineRule="exact"/>
        <w:rPr>
          <w:sz w:val="20"/>
          <w:szCs w:val="20"/>
          <w:color w:val="auto"/>
        </w:rPr>
      </w:pPr>
    </w:p>
    <w:p>
      <w:pPr>
        <w:jc w:val="both"/>
        <w:ind w:firstLine="283"/>
        <w:spacing w:after="0" w:line="294" w:lineRule="auto"/>
        <w:rPr>
          <w:sz w:val="20"/>
          <w:szCs w:val="20"/>
          <w:color w:val="auto"/>
        </w:rPr>
      </w:pPr>
      <w:r>
        <w:rPr>
          <w:rFonts w:ascii="Arial" w:cs="Arial" w:eastAsia="Arial" w:hAnsi="Arial"/>
          <w:sz w:val="16"/>
          <w:szCs w:val="16"/>
          <w:color w:val="auto"/>
        </w:rPr>
        <w:t>Congress and state legislatures also have been considering new legislation relating to privacy and data protection. For example, on June 28, 2018, the California legislature passed the California Consumer Privacy Act (CCPA), which became effective January 1, 2020. The CCPA created new transparency requirements and granted California residents several new rights with regard to their personal information. In addition, in November 2020, California voters approved the California Privacy Rights Act (CPRA) ballot initiative, which introduced significant amendments to the CCPA and established and</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funded a dedicated California privacy regulator, the California Privacy Protection Agency (CPPA). The amendments introduced by the CPRA go into effect on January 1, 2023, and new implementing regulations are expected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The Company implemented processes to manage compliance with the CCPA and continues to assess the impact of the CPRA on the Company’s business as additional information and guidance becomes available.</w:t>
      </w:r>
    </w:p>
    <w:p>
      <w:pPr>
        <w:spacing w:after="0" w:line="111"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Effective August 14, 2020, the Substance Abuse and Mental Health Services Administration of HHS (SAMHSA) announced the finalization of proposed changes to the Confidentiality of Substance Use Disorder Patient Records regulation, 42 Code of Federal Regulations Part 2. This regulation protects the confidentiality of patient records relating to the identity, diagnosis, prognosis, or treatment that are maintained in connection with the performance of any federally assisted program or activity relating to substance use disorder education, prevention, training, treatment, rehabilitation, or research. Under the regulation, patient identifying information may only be released with the individual’s written consent, subject to certain limited exceptions. The latest changes to this regulation seek to better facilitate care coordination, while maintaining more stringent confidentiality of substance use disorder information. The Company adopted changes to its policies and procedures necessary for compliance.</w:t>
      </w:r>
    </w:p>
    <w:p>
      <w:pPr>
        <w:spacing w:after="0" w:line="83" w:lineRule="exact"/>
        <w:rPr>
          <w:sz w:val="20"/>
          <w:szCs w:val="20"/>
          <w:color w:val="auto"/>
        </w:rPr>
      </w:pPr>
    </w:p>
    <w:p>
      <w:pPr>
        <w:jc w:val="both"/>
        <w:ind w:firstLine="283"/>
        <w:spacing w:after="0" w:line="287" w:lineRule="auto"/>
        <w:rPr>
          <w:sz w:val="20"/>
          <w:szCs w:val="20"/>
          <w:color w:val="auto"/>
        </w:rPr>
      </w:pPr>
      <w:r>
        <w:rPr>
          <w:rFonts w:ascii="Arial" w:cs="Arial" w:eastAsia="Arial" w:hAnsi="Arial"/>
          <w:sz w:val="16"/>
          <w:szCs w:val="16"/>
          <w:color w:val="auto"/>
        </w:rPr>
        <w:t>The European Union General Data Protection Regulation (GDPR) Regulation (EU) 2016/679, became effective May 25, 2018, replacing Directive 95/46/EC. The GDPR established requirements applicable to the use and transfer of personal data and imposes penalties for noncompliance of up to the greater of €20 million or 4% of worldwide revenue. The GDPR requires transparency with regard to the means and purposes of processing of personal data; collection of consent to process personal data in certain circumstances; the ability to provide records of processing upon request by a supervisory authority or data controller; implementation of appropriate technical and organizational measures to maintain security of personal data; notification of personal data breaches to supervisory authorities, data controllers, and individuals within expedient time frames; and performance of data protection impact assessments for certain processing activities. Personal data may only be transferred outside of the European Union to a country that offers an adequate level of data protection under standards set by the European Union. The GDPR also provides individual data subjects with certain rights, where applicable, including the right of access, the right to rectification, the right to be forgotten, the right to restrict or object to processing, and the right to data portability. The Company has established processes and frameworks to manage compliance with the GDPR and other global privacy and data protection requirements, and to manage preparation for future enacted regulations. Compliance could impose significant costs on the Company.</w:t>
      </w:r>
    </w:p>
    <w:p>
      <w:pPr>
        <w:spacing w:after="0" w:line="77"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In addition to the GDPR, numerous other countries have laws governing the collection, use, disclosure, and transmission (including cross-border transfer) of personal information, including medical information. The legislative and regulatory landscape for privacy and data protection is complex and continually evolving. Data protection regulations have been enacted or updated in regions where the Company does business including in Asia, Latin America, and Europe, and in countries such as Canada and the UK. Failure to comply with these regulations may result in, among other things, civil, criminal and contractual liability, fines, regulatory sanctions and damage to the Company’s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Fraud and Abuse Laws and Regulations</w:t>
      </w:r>
    </w:p>
    <w:p>
      <w:pPr>
        <w:spacing w:after="0" w:line="144"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7"/>
          <w:szCs w:val="17"/>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OIG and various state agencies. Historically, the clinical laboratory industry has been the focus of major governmental enforcement initiatives. The U.S. government's enforcement efforts have been conducted under regulations such as HIPAA, which includes several provisions related to fraud and abuse enforcement, including the establishment of a program to coordinate and fund U.S., state and local law enforcement efforts, and the Deficit Reduction Act of 2005, which includes requirements directed at Medicaid fraud, including increased spending on enforcement and financial incentives for states to adopt false claims act provisions similar to the U.S. False Claims Act. Amendments to the False Claims Act, and other enhancements to the U.S. fraud and abuse laws enacted as part of the ACA, have further increased fraud and abuse enforcement efforts and compliance risks. For example, the ACA established an obligation to report and refund overpayments from Medicare or Medicaid within 60 days of identification (whether or not paid through any fault of the recipient); failure to comply with this requirement can give rise to additional liability under the False Claims Act and Civil Monetary Penalties statute.</w:t>
      </w:r>
    </w:p>
    <w:p>
      <w:pPr>
        <w:spacing w:after="0" w:line="87" w:lineRule="exact"/>
        <w:rPr>
          <w:sz w:val="20"/>
          <w:szCs w:val="20"/>
          <w:color w:val="auto"/>
        </w:rPr>
      </w:pPr>
    </w:p>
    <w:p>
      <w:pPr>
        <w:jc w:val="both"/>
        <w:ind w:firstLine="283"/>
        <w:spacing w:after="0" w:line="293" w:lineRule="auto"/>
        <w:rPr>
          <w:sz w:val="20"/>
          <w:szCs w:val="20"/>
          <w:color w:val="auto"/>
        </w:rPr>
      </w:pPr>
      <w:r>
        <w:rPr>
          <w:rFonts w:ascii="Arial" w:cs="Arial" w:eastAsia="Arial" w:hAnsi="Arial"/>
          <w:sz w:val="16"/>
          <w:szCs w:val="16"/>
          <w:color w:val="auto"/>
        </w:rPr>
        <w:t>The U.S. Anti-Kickback Statute prohibits knowingly providing anything of value in return for, or to induce the referral of, Medicare, Medicaid or other U.S. healthcare program business. Violations can result in imprisonment, fines, penalties, and/or exclusion from participation in U.S.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case-by-case basis. Many states have their own Medicaid anti-kickback laws, and several states also have anti-kickback laws that apply to all payers (i.e., not just government healthcare programs).</w:t>
      </w:r>
    </w:p>
    <w:p>
      <w:pPr>
        <w:spacing w:after="0" w:line="70" w:lineRule="exact"/>
        <w:rPr>
          <w:sz w:val="20"/>
          <w:szCs w:val="20"/>
          <w:color w:val="auto"/>
        </w:rPr>
      </w:pPr>
    </w:p>
    <w:p>
      <w:pPr>
        <w:jc w:val="both"/>
        <w:ind w:firstLine="283"/>
        <w:spacing w:after="0" w:line="287" w:lineRule="auto"/>
        <w:rPr>
          <w:sz w:val="20"/>
          <w:szCs w:val="20"/>
          <w:color w:val="auto"/>
        </w:rPr>
      </w:pPr>
      <w:r>
        <w:rPr>
          <w:rFonts w:ascii="Arial" w:cs="Arial" w:eastAsia="Arial" w:hAnsi="Arial"/>
          <w:sz w:val="16"/>
          <w:szCs w:val="16"/>
          <w:color w:val="auto"/>
        </w:rPr>
        <w:t>From time to time, the OIG issues alerts and other guidance on certain practices in the healthcare industry that implicate the Anti-Kickback Statute or other fraud and abuse laws. OIG Special Fraud Alerts and Advisory Opinions relevant to the Company set forth a number of practices allegedly engaged in by some clinical laboratories and healthcare providers that raise issues under the U.S. fraud and abuse laws, including the Anti-Kickback Statute. These practices include: (i) providing employees to furnish valuable services for physicians (other than collecting patient specimens for testing) that are typically the responsibility of the physicians’ staff; (ii) offering certain laboratory services at prices below fair market value in return for referrals of other tests that are billed to Medicare at higher rates;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(vi) providing free testing for healthcare providers, their families and their employees (i.e., so-called “professional courtesy” testing); (vii) compensation paid by laboratories to physicians for blood specimen processing and for submitting patient data to registries; and (viii) the provision of discounts on laboratory services billed to customers in return for the referral of U.S. healthcare program business.</w:t>
      </w:r>
    </w:p>
    <w:p>
      <w:pPr>
        <w:spacing w:after="0" w:line="9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to the Anti-Kickback Statute, in October 2018, the U.S. enacted the Eliminating Kickbacks in Recovery Act of 2018 (EKRA), as part of the Substance Use-Disorder Prevention that Promotes Opioid Recovery and Treatment for Patients and Communities Act (SUPPORT Act). EKRA is an all-payer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As drafted, an EKRA prohibition on incentive compensation to sales employees is inconsistent with the federal anti-kickback statute and regulations, which permit payment of employee incentive compensation, a practice that is common in the industry. Significantly, EKRA permits the U.S. Department of Justice to issue regulations clarifying EKRA’s exceptions or adding additional exceptions, but such regulations have not yet been issued. The Company is working through its trade association to address the scope of EKRA and is seeking clarification or correction.</w:t>
      </w:r>
    </w:p>
    <w:p>
      <w:pPr>
        <w:spacing w:after="0" w:line="86"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Enrollment and re-enrollment in U.S. healthcare programs, including Medicare and Medicaid, are subject to certain program integrity requirements intended to protect the programs from fraud, waste, and abuse. In September 2019, CMS published a final rule implementing program integrity enhancements to provider enrollment requiring Medicare, Medicaid, and Children’s Health Insurance Program (CHIP) providers and suppliers to disclose on an enrollment application or a revalidation application any current or previous direct or indirect affiliation with a provider or supplier that (1) has uncollected debt; (2) has been or is subject to a payment suspension under a federal health care program; (3) has been or is excluded by the OIG from Medicare, Medicaid, or CHIP; or (4) has had its Medicare, Medicaid, or CHIP billing privileges denied or revoked. This rule permits CMS to deny enrollment based on such an affiliation when CMS determines that the affiliation poses an undue risk of</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fraud, waste, or abuse. CMS is phasing in this new affiliation disclosure requirement.</w:t>
      </w:r>
    </w:p>
    <w:p>
      <w:pPr>
        <w:spacing w:after="0" w:line="144" w:lineRule="exact"/>
        <w:rPr>
          <w:sz w:val="20"/>
          <w:szCs w:val="20"/>
          <w:color w:val="auto"/>
        </w:rPr>
      </w:pPr>
    </w:p>
    <w:p>
      <w:pPr>
        <w:jc w:val="both"/>
        <w:ind w:firstLine="283"/>
        <w:spacing w:after="0" w:line="270" w:lineRule="auto"/>
        <w:rPr>
          <w:sz w:val="20"/>
          <w:szCs w:val="20"/>
          <w:color w:val="auto"/>
        </w:rPr>
      </w:pPr>
      <w:r>
        <w:rPr>
          <w:rFonts w:ascii="Arial" w:cs="Arial" w:eastAsia="Arial" w:hAnsi="Arial"/>
          <w:sz w:val="17"/>
          <w:szCs w:val="17"/>
          <w:color w:val="auto"/>
        </w:rPr>
        <w:t>Under another U.S. statute, known as the Stark Law or “physician self-referral” prohibition, physicians who have a financial or a compensation relationship with a commercial laboratory may not, unless an exception applies, refer Medicare or Medicaid patients for testing to the laboratory, regardless of the intent of the parties. Similarly, laboratories may not bill Medicare or Medicaid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commercial laboratory services; iii)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86"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In December 2020, the OIG and CMS published final rules to amend the regulations implementing the Anti-Kickback Statute and the Stark Law, respectively. The amendments are primarily intended to alleviate perceived impediments to coordinated care and value-based compensation arrangements through new safe harbors to the Anti-Kickback Statute and new exceptions to the Stark Law, and have varying degrees of applicability to laboratories. The CMS final rule incorporates laboratories and permits support for value-based arrangements, under certain conditions for purposes of the Stark Law. However, the OIG final rule excludes laboratories from protection under the Anti-Kickback Statute safe harbors for value-based arrangements.</w:t>
      </w:r>
    </w:p>
    <w:p>
      <w:pPr>
        <w:spacing w:after="0" w:line="67" w:lineRule="exact"/>
        <w:rPr>
          <w:sz w:val="20"/>
          <w:szCs w:val="20"/>
          <w:color w:val="auto"/>
        </w:rPr>
      </w:pPr>
    </w:p>
    <w:p>
      <w:pPr>
        <w:jc w:val="both"/>
        <w:ind w:firstLine="283"/>
        <w:spacing w:after="0" w:line="291" w:lineRule="auto"/>
        <w:rPr>
          <w:sz w:val="20"/>
          <w:szCs w:val="20"/>
          <w:color w:val="auto"/>
        </w:rPr>
      </w:pPr>
      <w:r>
        <w:rPr>
          <w:rFonts w:ascii="Arial" w:cs="Arial" w:eastAsia="Arial" w:hAnsi="Arial"/>
          <w:sz w:val="16"/>
          <w:szCs w:val="16"/>
          <w:color w:val="auto"/>
        </w:rPr>
        <w:t>There are a variety of other types of U.S. and state fraud and abuse laws, including laws prohibiting submission of false or fraudulent claims.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131" w:lineRule="exact"/>
        <w:rPr>
          <w:sz w:val="20"/>
          <w:szCs w:val="20"/>
          <w:color w:val="auto"/>
        </w:rPr>
      </w:pPr>
    </w:p>
    <w:p>
      <w:pPr>
        <w:jc w:val="both"/>
        <w:ind w:firstLine="283"/>
        <w:spacing w:after="0" w:line="270" w:lineRule="auto"/>
        <w:rPr>
          <w:sz w:val="20"/>
          <w:szCs w:val="20"/>
          <w:color w:val="auto"/>
        </w:rPr>
      </w:pPr>
      <w:r>
        <w:rPr>
          <w:rFonts w:ascii="Arial" w:cs="Arial" w:eastAsia="Arial" w:hAnsi="Arial"/>
          <w:sz w:val="17"/>
          <w:szCs w:val="17"/>
          <w:color w:val="auto"/>
        </w:rPr>
        <w:t>The Company is subject to licensing and regulation under laws and regulations relating to the protection of the environment, and human health and safety laws and regulations relating to the handling, transportation and disposal of medical specimens and hazardous materials, infectious and hazardous waste and radioactive materials. All Company laboratories are subject to applicable laws and regulations relating to biohazard disposal of all laboratory specimens, and the Company generally utilizes outside vendors for disposal of such specimens. In addition, the U.S. Occupational Safety and Health Administration (OSHA) has established extensive requirements relating to workplace safety for healthcare employers, including clinical laboratories, whose workers may be exposed to blood-borne pathogens such as HIV, HCV and hepatitis B virus (HCB). These regulations, among other things, require work practice controls, protective clothing and equipment, training, medical follow-up, vaccinations, and other measures designed to minimize exposure to, and transmission of, blood-borne pathogens. Other countries where the Company conducts business have similar laws and regulations concerning the environment and human health and safety with which the Company must also comply.</w:t>
      </w:r>
    </w:p>
    <w:p>
      <w:pPr>
        <w:spacing w:after="0" w:line="8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is committed to reducing its carbon footprint. Energy-saving measures are continuing at Company facilities, including installation of energy-saving LED lighting, engaging in waste-to-energy projects, and helping reduce waste going to landfills, as well as capital investments to systems to improve energy and water usage. Funding for these and similar projects continued through 2020 and are continuing in 2021.</w:t>
      </w:r>
    </w:p>
    <w:p>
      <w:pPr>
        <w:spacing w:after="0" w:line="84"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The Company seeks to comply with all relevant environmental and human health and safety laws and regulations. Failure to comply could subject the Company to various administrative and/or other enforcement actions.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Drug Testing</w:t>
      </w:r>
    </w:p>
    <w:p>
      <w:pPr>
        <w:spacing w:after="0" w:line="131"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Spokane, Washington; and St. Paul, Minnesota are all SAMHSA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144" w:lineRule="exact"/>
        <w:rPr>
          <w:sz w:val="20"/>
          <w:szCs w:val="20"/>
          <w:color w:val="auto"/>
        </w:rPr>
      </w:pPr>
    </w:p>
    <w:p>
      <w:pPr>
        <w:jc w:val="both"/>
        <w:ind w:firstLine="291"/>
        <w:spacing w:after="0" w:line="263" w:lineRule="auto"/>
        <w:tabs>
          <w:tab w:leader="none" w:pos="5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handles controlled substances as part of the services it provides in preclinical testing and clinical trials. The use of controlled substances in testing for drugs of abuse is regulated by the U.S. Drug Enforcement Administration. The Company seeks to conduct its business in compliance with these regulations as applicable. Violations of these rules may result in criminal and civil fines and penalties.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135"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8"/>
          <w:szCs w:val="18"/>
          <w:color w:val="auto"/>
        </w:rPr>
        <w:t>The Company maintains a comprehensive, global compliance program that includes ongoing evaluation and monitoring of its compliance with the laws and regulations of the U.S. and the other countries in which it has operations. The objective of the Company’s compliance program is to develop, implement, monitor, and update compliance safeguards, as appropriate. Although the Company is subject to a broad range of regulations, its compliance program has a particular focus on regulations related to healthcare fraud and abuse, anti-kickback, physician self-referral, government reimbursement programs, anti-bribery/anti-corruption, anti-human trafficking and trade sanctions, among others. Emphasis is placed on developing and implementing compliance policies and guidelines, personnel training programs, monitoring and auditing activities, and providing systems for reporting and investigation of potential or actual compliance concerns. The compliance program demonstrates the Company's commitment to conducting business at the highest standards of ethical conduct and integrity.</w:t>
      </w:r>
    </w:p>
    <w:p>
      <w:pPr>
        <w:spacing w:after="0" w:line="111" w:lineRule="exact"/>
        <w:rPr>
          <w:sz w:val="20"/>
          <w:szCs w:val="20"/>
          <w:color w:val="auto"/>
        </w:rPr>
      </w:pPr>
    </w:p>
    <w:p>
      <w:pPr>
        <w:jc w:val="both"/>
        <w:ind w:firstLine="283"/>
        <w:spacing w:after="0" w:line="290" w:lineRule="auto"/>
        <w:rPr>
          <w:sz w:val="20"/>
          <w:szCs w:val="20"/>
          <w:color w:val="auto"/>
        </w:rPr>
      </w:pPr>
      <w:r>
        <w:rPr>
          <w:rFonts w:ascii="Arial" w:cs="Arial" w:eastAsia="Arial" w:hAnsi="Arial"/>
          <w:sz w:val="16"/>
          <w:szCs w:val="16"/>
          <w:color w:val="auto"/>
        </w:rPr>
        <w:t>The Company seeks to conduct its business in compliance with all statutes, regulations, and other requirements applicable to its clinical laboratory operations and drug development business. The clinical laboratory industry and drug development industries are, however, subject to extensive regulation, and many of these statutes and regulations have not been interpreted by the courts. In addition, the applicability or interpretation of statutes and regulations may not be clear in light of emerging changes in clinical testing science, healthcare technology, and healthcare organizations. Applicable statutes and regulations may be interpreted or applied by a prosecutorial, regulatory or judicial authority in a manner that would materially adversely affect the Company. Potential sanctions for violation of these statutes and regulations include significant civil and criminal penalties, fines, exclusion from participation in governmental healthcare programs, and the loss of various licenses, certificates, and authorizations necessary to operate, as well as potential liabilities from third-party claims, all of which could have a material adverse effect on the Company’s business.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w:t>
      </w:r>
    </w:p>
    <w:p>
      <w:pPr>
        <w:spacing w:after="0" w:line="135" w:lineRule="exact"/>
        <w:rPr>
          <w:sz w:val="20"/>
          <w:szCs w:val="20"/>
          <w:color w:val="auto"/>
        </w:rPr>
      </w:pPr>
    </w:p>
    <w:p>
      <w:pPr>
        <w:jc w:val="both"/>
        <w:ind w:left="40" w:right="40" w:firstLine="243"/>
        <w:spacing w:after="0" w:line="257" w:lineRule="auto"/>
        <w:rPr>
          <w:sz w:val="20"/>
          <w:szCs w:val="20"/>
          <w:color w:val="auto"/>
        </w:rPr>
      </w:pPr>
      <w:r>
        <w:rPr>
          <w:rFonts w:ascii="Arial" w:cs="Arial" w:eastAsia="Arial" w:hAnsi="Arial"/>
          <w:sz w:val="18"/>
          <w:szCs w:val="18"/>
          <w:color w:val="auto"/>
        </w:rPr>
        <w:t>Information security is one of the Company's top priorities. Securing personal and health information is critical to the Company’s business operations and to future growth, as the Company is committed to using technology to improve the delivery of care. A security breach could have a material adverse operational, financial, regulatory, and reputational impact to the Company. The Company employs a secure technology framework that enables continuous operations of laboratory devices, computers, and communications systems. The Company has experienced and expects to continue to confront attempts by cybercriminals who seek access to its systems and data.</w:t>
      </w:r>
    </w:p>
    <w:p>
      <w:pPr>
        <w:spacing w:after="0" w:line="107" w:lineRule="exact"/>
        <w:rPr>
          <w:sz w:val="20"/>
          <w:szCs w:val="20"/>
          <w:color w:val="auto"/>
        </w:rPr>
      </w:pPr>
    </w:p>
    <w:p>
      <w:pPr>
        <w:jc w:val="both"/>
        <w:ind w:left="40" w:right="40" w:firstLine="243"/>
        <w:spacing w:after="0" w:line="296" w:lineRule="auto"/>
        <w:rPr>
          <w:sz w:val="20"/>
          <w:szCs w:val="20"/>
          <w:color w:val="auto"/>
        </w:rPr>
      </w:pPr>
      <w:r>
        <w:rPr>
          <w:rFonts w:ascii="Arial" w:cs="Arial" w:eastAsia="Arial" w:hAnsi="Arial"/>
          <w:sz w:val="16"/>
          <w:szCs w:val="16"/>
          <w:color w:val="auto"/>
        </w:rPr>
        <w:t>The Company uses state-of-the art tools and advanced analytics to proactively identify and protect against potential information system disruptions and breaches; to monitor, test and secure key networks and services; and to facilitate prompt resumption of operations if a system disruption or interruption should occur. The Company has implemented policies and procedures designed to comply with global laws and regulations related to the privacy and security of personal or health information. In addition, the Company follows protocols for evaluating the cybersecurity status of vendors or third-parties that will have access to the Company's data or information technology systems. The Company also carries cybercrime and business interruption insurance.</w:t>
      </w:r>
    </w:p>
    <w:p>
      <w:pPr>
        <w:spacing w:after="0" w:line="67" w:lineRule="exact"/>
        <w:rPr>
          <w:sz w:val="20"/>
          <w:szCs w:val="20"/>
          <w:color w:val="auto"/>
        </w:rPr>
      </w:pPr>
    </w:p>
    <w:p>
      <w:pPr>
        <w:jc w:val="both"/>
        <w:ind w:left="40" w:right="40" w:firstLine="243"/>
        <w:spacing w:after="0" w:line="259" w:lineRule="auto"/>
        <w:rPr>
          <w:sz w:val="20"/>
          <w:szCs w:val="20"/>
          <w:color w:val="auto"/>
        </w:rPr>
      </w:pPr>
      <w:r>
        <w:rPr>
          <w:rFonts w:ascii="Arial" w:cs="Arial" w:eastAsia="Arial" w:hAnsi="Arial"/>
          <w:sz w:val="18"/>
          <w:szCs w:val="18"/>
          <w:color w:val="auto"/>
        </w:rPr>
        <w:t>Over the past several years, the Company has significantly increased its investment in cybersecurity technology and training to help protect its information technology systems and operations in response to the ever-evolving cyber threat landscape. Additional resources have been and will be dedicated to expanding the Company’s ability to investigate and remediate any cybersecurity vulnerabilities, and to manage any impact of a cybersecurity event on its business and operations.</w:t>
      </w:r>
    </w:p>
    <w:p>
      <w:pPr>
        <w:spacing w:after="0" w:line="92" w:lineRule="exact"/>
        <w:rPr>
          <w:sz w:val="20"/>
          <w:szCs w:val="20"/>
          <w:color w:val="auto"/>
        </w:rPr>
      </w:pPr>
    </w:p>
    <w:p>
      <w:pPr>
        <w:jc w:val="both"/>
        <w:ind w:left="40" w:right="40" w:firstLine="243"/>
        <w:spacing w:after="0" w:line="259" w:lineRule="auto"/>
        <w:rPr>
          <w:sz w:val="20"/>
          <w:szCs w:val="20"/>
          <w:color w:val="auto"/>
        </w:rPr>
      </w:pPr>
      <w:r>
        <w:rPr>
          <w:rFonts w:ascii="Arial" w:cs="Arial" w:eastAsia="Arial" w:hAnsi="Arial"/>
          <w:sz w:val="18"/>
          <w:szCs w:val="18"/>
          <w:color w:val="auto"/>
        </w:rPr>
        <w:t>In July 2018, the Company experienced a ransomware incident which affected certain Dx information technology systems. The incident temporarily affected test processing and customer access to test results, and also affected certain other information technology systems involved in conducting Company-wide operations. The investigation determined that the ransomware did not and could not transfer patient or client data outside of Company systems and that there was no theft or misuse of patient or client data.</w:t>
      </w:r>
    </w:p>
    <w:p>
      <w:pPr>
        <w:spacing w:after="0" w:line="106" w:lineRule="exact"/>
        <w:rPr>
          <w:sz w:val="20"/>
          <w:szCs w:val="20"/>
          <w:color w:val="auto"/>
        </w:rPr>
      </w:pPr>
    </w:p>
    <w:p>
      <w:pPr>
        <w:jc w:val="both"/>
        <w:ind w:left="40" w:right="40" w:firstLine="243"/>
        <w:spacing w:after="0" w:line="259" w:lineRule="auto"/>
        <w:rPr>
          <w:sz w:val="20"/>
          <w:szCs w:val="20"/>
          <w:color w:val="auto"/>
        </w:rPr>
      </w:pPr>
      <w:r>
        <w:rPr>
          <w:rFonts w:ascii="Arial" w:cs="Arial" w:eastAsia="Arial" w:hAnsi="Arial"/>
          <w:sz w:val="18"/>
          <w:szCs w:val="18"/>
          <w:color w:val="auto"/>
        </w:rPr>
        <w:t>The Company is also exposed to risks related to information security arising from the information technology systems and operations of third parties, including those of the Company's vendors and partners. For example, on May 14, 2019, Retrieval-Masters Credit Bureau, Inc. d/b/a/ American Medical Collections Agency (AMCA), an external collection agency, notified the Company about a security incident AMCA experienced that may have involved certain personal information about some of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40" w:right="40"/>
        <w:spacing w:after="0" w:line="286" w:lineRule="auto"/>
        <w:rPr>
          <w:sz w:val="20"/>
          <w:szCs w:val="20"/>
          <w:color w:val="auto"/>
        </w:rPr>
      </w:pPr>
      <w:r>
        <w:rPr>
          <w:rFonts w:ascii="Arial" w:cs="Arial" w:eastAsia="Arial" w:hAnsi="Arial"/>
          <w:sz w:val="16"/>
          <w:szCs w:val="16"/>
          <w:color w:val="auto"/>
        </w:rPr>
        <w:t>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on behalf of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will be provided free of charge for 24 months. The Company has incurred, and expects to continue to incur, costs related to the AMCA Incident. The Company is involved in pending and threatened litigation related to the AMCA Incident, as well as various government and regulatory inquiries and processes. For additional information about the AMCA Incident, see Note 16 Commitments and Contingencies to the Consolidated Financial Statements.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should carefully consider all of the information set forth in this Annual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effects of the outbreak of the COVID-19 pandemic could have material adverse impacts on the Company’s business, results of operations, cash flows, and financial position.</w:t>
      </w:r>
    </w:p>
    <w:p>
      <w:pPr>
        <w:spacing w:after="0" w:line="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is closely monitoring the impact of the COVID-19 pandemic on all aspects of its business. In the second half of March 2020, daily volume for routine tests started to decline as a result of decreased consumer demand driven by a significant reduction in physician office visits, the cancellation of elective medical procedures, and the negative impacts on discretionary spending resulting from the economic downturn, among other factors. In addition, the performance of the Company’s drug development business was challenged by COVID-19 due to actions that clients have taken and are taking that slowed clinical trial progress and the associated testing as well as restrictions in trial site access in certain countries and interruptions in the supply chain. Given the continued unpredictability pertaining to the COVID-19 pandemic and the corresponding government restrictions and customer behavior, the impact on the Company's business continues to be uncertain and depends on a number of evolving factors that the Company may not be able to predict or effectively respond to.</w:t>
      </w:r>
    </w:p>
    <w:p>
      <w:pPr>
        <w:spacing w:after="0" w:line="8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further spread of COVID-19, including the rise of variants, and the Company’s initiatives to help limit the spread of the illness, will impact the Company’s ability to carry out its business as usual, which could materially adversely impact its business and financial condition. The Company has incurred additional costs in order to provide for the safety of its employees and the continuity of its operations, including increased frequency of deep cleaning and sanitation at each of its physical locations, additional safety training and processes, enhanced hygiene practices and materials, flexible and remote working where possible, and allowing for greater social distancing for the Company’s employees who must work on-site. Additionally, the Company has made a number of changes at the Company’s patient service centers for the comfort and safety of the patients, many of which have also increased costs for the Company. For example, the Company has set aside the first business hour of every day for vulnerable patients, launched a mobile check-in process that allows patients to wait for their appointment from within their car or other nearby location, and increased sanitation and disinfection in check-in areas, waiting rooms, bathrooms, and hallways with CDC-approved disinfectants.</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faces increased cybersecurity risks due to the number of employees that are working remotely in regions impacted by stay-at-home orders. Increased levels of remote access create additional opportunities for cybercriminals to exploit vulnerabilities, and employees may be more susceptible to phishing and social engineering attempts. The Company may also be subject to increased cyber-attacks, such as phishing attacks by threat actors using the attention placed on the pandemic as a method for targeting the Company's personnel. In addition, technological resources may be strained due to the number of remote users.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Adverse changes in government and third-party payer regulations, reimbursement, or coverage policies (or in the interpretation of current regulations) relating to COVID-19 testing could materially impact the Company's results of operations, cash flows and financial position.</w:t>
      </w:r>
    </w:p>
    <w:p>
      <w:pPr>
        <w:spacing w:after="0" w:line="8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 expects to continue to incur additional costs, which may be significant, as it continues to implement operational changes in response to this pandemic. Further, the COVID-19 outbreak has disrupted and could continue to disrupt the Company’s supply chain, including by impacting its ability to secure test collection supplies, equipment and testing supplies for its facilities, personal protective equipment for its employees in its testing locations, patient service centers, and drug development clinics. For similar reasons, the COVID-19 pandemic has also adversely impacted, and may continue to adversely impact, third parties that are critical to the Company’s business, including vendors, suppliers, and business partners. These developments, and others that are difficult or impossible to predict, could materially impact the Company’s business, financial results, cash flows, and financial position.</w:t>
      </w:r>
    </w:p>
    <w:p>
      <w:pPr>
        <w:spacing w:after="0" w:line="7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2020, the Company diverted resources to developing and enhancing the accessibility of COVID-19 testing, while at the same time taking certain steps with respect to its business strategy in order to increase cash flexibility. For example, the Company temporarily suspended its share repurchase program, applied a heightened threshold to acquisition activity, and delayed some of its non-COVID-19 related capital expenditures. These measures, and any other measures the Company has taken and will continue to take to mitigate COVID-19, may be insufficient to ensure the financial stability of the Company, or may have other adverse impacts on the Company’s business, results of operations, cash flows, and financial position. Additionally, if the pandemic continues for an extended period of time, the Company may be forced to prioritize its application of resources to the continued mitigation of COVID-19, at the expense of other potentially profitable opportunities or initiatives, such as through the development of new products or selected business acquisitions.</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the Company does not respond appropriately to the ongoing COVID-19 pandemic, or if the Company’s customers do not perceive its response to be adequate, the Company could suffer damage to its reputation, which could adversely affect its business.</w:t>
      </w:r>
    </w:p>
    <w:p>
      <w:pPr>
        <w:spacing w:after="0" w:line="63"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On March 11, 2020, the outbreak of COVID-19 was declared a global pandemic and containment and mitigation measures were recommended; six days prior to this characterization, the Company announced the availability of its Labcorp 2019 Novel Coronavirus (COVID-19) PCR test, which detects the presence of the underlying virus that causes COVID-19, for use with patients who meet current guidance for evaluation of infection with COVID-19. On April 9, 2020, the Company announced an agreement to collaborate on a comprehensive U.S.-based COVID-19 patient data registry. The Company also launched a self-collection kit for its COVID-19 PCR test under an emergency use authorization from the FDA, expanded availability of antibody tests to detect antibodies to the virus that causes COVID-19, and launched a series of innovations to increase test capacity, throughput, and efficiency to maximize the use of supplies. The Company performed approximately 35 million COVID-19 tests in 2020, which represents about 31 million PCR tests and over 4 million antibody tests. As of February 25, 2021, the Company has the capacity to perform 275,000 PCR tests per day, but the Company's testing capacity is dependent on access to multiple testing platforms and the availability of equipment and testing supplies and key personnel. The Company's central laboratory business has also seen a significant increase in demand for sample collection supplies and kits and for clinical trials testing, which has put some pressure on the Company's supply chain and caused some delays in delivery of kit orders and clinical trial testing result delivery. Despite the Company's efforts to obtain adequate clinical trial kit and testing supplies and expand its capacity to make clinical trials collection kits and perform clinical trials testing, the Company may not be successful in meeting the increased demand, and the Company’s customers and other stakeholders may perceive the Company’s responses to the pandemic as insufficient, inadequate or not equivalent to or better than competitors, including with respect to the availability of testing, collection kits, and the amount of time it takes for delivery of test results or fulfillment of kit orders. Factors that may be out of the Company’s control, such as the availability of equipment, supplies, and key personnel and geographical changes in demand, may impact the Company’s ability to meet customer demand and the Company's other responses to the COVID-19 pandemic, and may have an adverse effect on the Company’s operations. Any such disruptions could result in negative publicity, and the Company could suffer damage to its reputation, which could adversely affect its business, results of operations, cash flows, and financial position.</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the Company is dependent in part on the efforts of its management team and employees, and the COVID-19 pandemic could divert or hinder the Company’s human capital resources, which may adversely affect the Company’s operations.</w:t>
      </w:r>
    </w:p>
    <w:p>
      <w:pPr>
        <w:spacing w:after="0" w:line="71"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The Company’s management team and employees have been acutely focused on efforts to respond to and mitigate COVID-19, including developing COVID-19 Testing. The Company has been continuously working to increase the number of tests that can be performed and improve the time for delivering test results. The Company’s management team is also working closely with federal and state authorities, health officials, and other key constituencies to make testing available to patients who meet the CDC criteria for who should be tested, and HHS guidance for prioritization of testing. These response efforts have required, and will continue to require, a large investment of time and resources that would otherwise be focused on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and growth of the Company. Further, the Company's ability to maintain and expand testing capacity depend upon maintaining and expanding its employee population. If the Company’s management team or employees become unavailable due to illness or from other related factors, its operations could be materially adversely affected.</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ongoing COVID-19 pandemic has created significant volatility, uncertainty, and economic disruption that could have an adverse impact on the Company’s financial position.</w:t>
      </w:r>
    </w:p>
    <w:p>
      <w:pPr>
        <w:spacing w:after="0" w:line="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7"/>
          <w:szCs w:val="17"/>
          <w:color w:val="auto"/>
        </w:rPr>
        <w:t>While the Company believes that it maintains a solid financial position, including a strong balance sheet, investment grade ratings, and significant access to credit, the sweeping nature of the ongoing COVID-19 pandemic has created cascading effects, all of which are difficult to predict. The Company may also experience greater than normal impact due to fluctuations in foreign exchange rates and interest rates, decreased sales volumes, changes in employment rates and health insurance coverage, the speed of the anticipated recovery, the ability of its customers to pay for its services, and governmental and business reactions to the pandemic, all of which are highly uncertain and cannot be predicted. In March of 2020, the Company implemented several measures in order to increase cash flexibility in light of these economic uncertainties, including temporarily suspending its share repurchase program, applying a heightened threshold to acquisition activity, and delaying some of its non-COVID-19 related capital expenditures. In October of 2020, the Company reinstituted its share repurchase program. If the pandemic creates further disruptions or turmoil in the credit and financial markets, the Company’s ability to access capital on favorable terms and continue to meet its liquidity needs in the future could be adversely impacted which may have other adverse impacts on the Company’s business, results of operations, cash flows, and financial position.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Changes in payer regulations or policies (or in the interpretation of current regulations or policies), insurance regulations or approvals, or changes in other laws, regulations or policies in the U.S., may adversely affect U.S. governmental and third-party coverage or reimbursement for clinical laboratory testing and may have a material adverse effect upon the Company.</w:t>
      </w:r>
    </w:p>
    <w:p>
      <w:pPr>
        <w:spacing w:after="0" w:line="85" w:lineRule="exact"/>
        <w:rPr>
          <w:sz w:val="20"/>
          <w:szCs w:val="20"/>
          <w:color w:val="auto"/>
        </w:rPr>
      </w:pPr>
    </w:p>
    <w:p>
      <w:pPr>
        <w:jc w:val="both"/>
        <w:ind w:firstLine="289"/>
        <w:spacing w:after="0" w:line="269" w:lineRule="auto"/>
        <w:rPr>
          <w:sz w:val="20"/>
          <w:szCs w:val="20"/>
          <w:color w:val="auto"/>
        </w:rPr>
      </w:pPr>
      <w:r>
        <w:rPr>
          <w:rFonts w:ascii="Arial" w:cs="Arial" w:eastAsia="Arial" w:hAnsi="Arial"/>
          <w:sz w:val="17"/>
          <w:szCs w:val="17"/>
          <w:color w:val="auto"/>
        </w:rPr>
        <w:t>U.S. and state government payers, such as Medicare and Medicaid, as well as insurers, including MCOs, have increased their efforts to control the cost, utilization and delivery of healthcare services. From time to time, Congress has considered and implemented changes in Medicare fee schedules in conjunction with budgetary legislation. The first phase of reductions pursuant to PAMA came into effect on January 1, 2018, and will continue annually subject to certain phase-in limits through 2025, and without limitations for subsequent periods. Further reductions due to changes in policy regarding coverage of tests or other requirements for payment, such as prior authorization, diagnosis code and other claims edits, may be implemented from time to time. Reimbursement for pathology services performed by Dx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effect on Dx's business. Actions by federal and state agencies regulating insurance, including healthcare exchanges, or changes in other laws, regulations, or policies may also have a material adverse effect upon Dx's business.</w:t>
      </w:r>
    </w:p>
    <w:p>
      <w:pPr>
        <w:spacing w:after="0" w:line="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Company could face significant monetary damages and penalties and/or exclusion from government programs if it violates anti-fraud and abuse laws.</w:t>
      </w:r>
    </w:p>
    <w:p>
      <w:pPr>
        <w:spacing w:after="0" w:line="85"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8"/>
          <w:szCs w:val="18"/>
          <w:color w:val="auto"/>
        </w:rPr>
        <w:t>The Company is subject to extensive government regulation at the federal, state, and local levels in the U.S. and other countries where it operates. The Company’s failure to meet governmental requirements under these regulations, including those relating to billing practices and financial relationships with physicians, hospitals, and health systems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This risk includes, but is not limited to, the potential that government enforcement authorities may take a contrary position with respect to the Eliminating Kickbacks in Recovery Act, given the lack of associated regulations to clarify or add exceptions. Such occurrences, regardless of their outcome, could damage the Company’s reputation and adversely affect important business relationships.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Company’s business could be harmed from the loss or suspension of a license or imposition of a fine or penalties under, or future changes in, or interpretations of, the law or regulations of CLIA, Medicare, Medicaid or other national, state or local agencies in the U.S. and other countries where the Company operates laboratories.</w:t>
      </w:r>
    </w:p>
    <w:p>
      <w:pPr>
        <w:spacing w:after="0" w:line="99"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106"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comply with privacy and security laws and regulations could result in fines, penalties and damage to the Company’s reputation with customers and have a material adverse effect upon the Company’s business.</w:t>
      </w:r>
    </w:p>
    <w:p>
      <w:pPr>
        <w:spacing w:after="0" w:line="8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If the Company does not comply with existing or new laws and regulations related to protecting the privacy and security of personal or health information, it could be subject to monetary fines, civil penalties or criminal sanctions.</w:t>
      </w:r>
    </w:p>
    <w:p>
      <w:pPr>
        <w:spacing w:after="0" w:line="7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U.S., the Health Insurance Portability and Accountability Act of 1996 (HIPAA) privacy and security regulations, including the expanded requirements under U.S. Health Information Technology for Economic and Clinical Health Act (HITECH), establish comprehensive standards with respect to the use and disclosure of protected health information (PHI), by covered entities, in addition to setting standards to protect the confidentiality, integrity and security of PHI.</w:t>
      </w:r>
    </w:p>
    <w:p>
      <w:pPr>
        <w:spacing w:after="0" w:line="92"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HIPAA restricts the Company’s ability to use or disclose PHI, without patient authorization, for purposes other than payment, treatment or healthcare operations (as defined by HIPAA), except for disclosures for various public policy purposes and other permitted purposes outlined in the privacy regulations. HIPAA and HITECH provide for significant fines and other penalties for wrongful use or disclosure of PHI in violation of the privacy and security regulations, including potential civil and criminal fines and penalties. The regulations establish a complex regulatory framework on a variety of subjects, including:</w:t>
      </w:r>
    </w:p>
    <w:p>
      <w:pPr>
        <w:spacing w:after="0" w:line="107" w:lineRule="exact"/>
        <w:rPr>
          <w:sz w:val="20"/>
          <w:szCs w:val="20"/>
          <w:color w:val="auto"/>
        </w:rPr>
      </w:pPr>
    </w:p>
    <w:p>
      <w:pPr>
        <w:ind w:left="260" w:right="20" w:hanging="252"/>
        <w:spacing w:after="0" w:line="274"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content of notices of privacy practices for PHI;</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 and</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16" w:lineRule="exact"/>
        <w:rPr>
          <w:sz w:val="20"/>
          <w:szCs w:val="20"/>
          <w:color w:val="auto"/>
        </w:rPr>
      </w:pPr>
    </w:p>
    <w:p>
      <w:pPr>
        <w:jc w:val="both"/>
        <w:ind w:firstLine="283"/>
        <w:spacing w:after="0" w:line="273" w:lineRule="auto"/>
        <w:rPr>
          <w:sz w:val="20"/>
          <w:szCs w:val="20"/>
          <w:color w:val="auto"/>
        </w:rPr>
      </w:pPr>
      <w:r>
        <w:rPr>
          <w:rFonts w:ascii="Arial" w:cs="Arial" w:eastAsia="Arial" w:hAnsi="Arial"/>
          <w:sz w:val="17"/>
          <w:szCs w:val="17"/>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including pursuant to an action brought by a private party for the wrongful use or disclosure of health information or other personal information.</w:t>
      </w:r>
    </w:p>
    <w:p>
      <w:pPr>
        <w:spacing w:after="0" w:line="83"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8"/>
          <w:szCs w:val="18"/>
          <w:color w:val="auto"/>
        </w:rPr>
        <w:t>The Company may also be required to comply with the data privacy and security laws of other countries in which it operates or with which it transfers and receives data. For example, the EU's General Data Protection Regulation (GDPR), which took effect May 25, 2018, created a range of compliance obligations for subject companies and imposes penalties for noncompliance of up to the greater of €20 million or 4% of worldwide revenue. The Company has established processes and frameworks to manage compliance with the GDPR. Potential fines and penalties in the event of a violation of the GDPR could have a material adverse effect on the Company’s business and operations. In addition, similar data protection regulations addressing access, use, disclosure and transfer of personal data have been enacted or updated in regions where the Company does business, including in Asia, Latin America, and Europe. The Company expects to make changes to its business practices and to incur additional costs associated with compliance with these evolving and complex regulations.</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international operations could subject it to additional risks and expenses that could adversely impact the business or results of operations.</w:t>
      </w:r>
    </w:p>
    <w:p>
      <w:pPr>
        <w:spacing w:after="0" w:line="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Company's international operations expose it to risks from potential failure to comply with foreign laws and regulations that differ from those under which the Company operates in the U.S. In addition, the Company may be adversely affected by other risks of expanded operations in foreign countries, including, but not limited to, changes in reimbursement by foreign governments for services provided by the Company; compliance with export controls and trade regulations; changes in tax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 reach mutually satisfactory arrangements could adversely affect the business and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Expanded international operations may increase the Company’s exposure to liabilities under the anti-corruption laws.</w:t>
      </w:r>
    </w:p>
    <w:p>
      <w:pPr>
        <w:spacing w:after="0" w:line="1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Anti-corruption laws in the countries where the Company conducts business, including the U.S. Foreign Corrupt Practices Act (FCPA), U.K.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some parts of the world where corruption may be common and where anti-corruption laws may conflict to some degree with local customs and practices. The Company maintains an anti-corruption program including policies, procedures, training and safeguards in the engagement and management of third parties acting on the Company’s behalf. Despite these safeguards, the Company cannot guarantee protection from corrupt acts committed by employees or third parties associated with the Company. Violations or allegations of violations of anti-corruption laws could have a significant adverse effect on the business or results of operations.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Failure to comply with the regulations of pharmaceutical and medical device regulatory agencies, such as the FDA, the Medicines and Healthcare Products Regulatory Agency in the United Kingdom (U.K.), the European Medicines Agency, the National Medical Products Administration in China (NMPA), and the Pharmaceuticals and Medical Devices Agency in Japan, could result in sanctions and/or remedies against DD and have a material adverse effect upon the Company.</w:t>
      </w:r>
    </w:p>
    <w:p>
      <w:pPr>
        <w:spacing w:after="0" w:line="10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operation of DD's preclinical laboratory facilities and clinical trial operations must conform to good laboratory practice (GLP) and good clinical practice (GCP), as applicable, as well as all other applicable standards and regulations, as further described in Item 1 of Part I of this Annual Report. The business operations of DD’s clinical and preclinical laboratories also require the import, export and use of medical devices, in vitro diagnostic devices, reagents, and human and animal biological products. Such activities are subject to numerous applicable local and international regulations with which DD must comply. If DD does not comply, DD could potentially be subject to civil, criminal or administrative sanctions and/or remedies, including suspension of its ability to conduct preclinical and clinical studies, and to import or export to or from certain countries, which could have a material adverse effect upon the Company.</w:t>
      </w:r>
    </w:p>
    <w:p>
      <w:pPr>
        <w:spacing w:after="0" w:line="100"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Additionally, certain DD services and activities must conform to current good manufacturing practice (cGMP), as further described in Item 1 of Part I of this Annual Report. Failure to maintain compliance with GLP, GCP, or cGMP regulations and other applicable requirements of various regulatory agencies could result in warning or untitled letters, fines, unanticipated compliance expenditures, suspension of manufacturing, and civil, criminal or administrative sanctions and/or remedies against DD, including suspension of its laboratory operations, which could have a material adverse effect upon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animal rights activists may have an adverse effect on the Company.</w:t>
      </w:r>
    </w:p>
    <w:p>
      <w:pPr>
        <w:spacing w:after="0" w:line="14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DD's preclinical services utilize animals in preclinical testing of the safety and efficacy of drugs. Such activities are required for the development of new medicines and medical devices under regulatory regimes in the U.S., Europe, Japan, and other countries. Acts of vandalism and other acts by animal rights activists who object to the use of animals in drug development could have an adverse effect on the Company.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Animal populations may suffer diseases that can damage DD's inventory, harm its reputation, or result in other liability.</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It is important that research products be free of diseases, including infectious diseases. The presence of diseases can distort or compromise the quality of research results, cause loss of animals in DD’s inventory, result in harm to humans or outside animal populations if the disease is not contained to animals in inventory, or result in other losses. Such results could harm DD’s reputation or have an adverse effect on DD's financial condition, results of operations, and cash flows.</w:t>
      </w:r>
    </w:p>
    <w:p>
      <w:pPr>
        <w:spacing w:after="0" w:line="10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Failure to conduct animal research in compliance with animal welfare laws and regulations could result in sanctions and/or remedies against DD and have a material adverse effect upon the Company.</w:t>
      </w:r>
    </w:p>
    <w:p>
      <w:pPr>
        <w:spacing w:after="0" w:line="7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conduct of animal research at DD’s facilities must be in compliance with applicable laws and regulations in the jurisdictions in which those activities are conducted. These laws and regulations include the U.S. Animal Welfare Act (AWA),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Similar laws and regulations apply in other jurisdictions in which DD conducts animal research, including the EU and China. DD complies with licensing and registration requirement standards set by these laws and regulations in the jurisdictions in which it conducts animal research. If an enforcement agency determines that DD’s equipment, facilities, laboratories or processes do not comply with applicable standards, it may issue an inspection report documenting the deficiencies and setting deadlines for any required corrective actions. For noncompliance, the agency may take action against DD that may include fines, suspension and/or revocation of animal research licenses, or confiscation of research animals.</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U.S. FDA regulation of diagnostic products and increased FDA regulation of laboratory-developed tests (LDTs) could result in increased costs and the imposition of fines or penalties, and could have a material adverse effect upon the Company’s business.</w:t>
      </w:r>
    </w:p>
    <w:p>
      <w:pPr>
        <w:spacing w:after="0" w:line="71"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Dx’s point-of-care testing devices are subject to regulation by the FDA.</w:t>
      </w:r>
    </w:p>
    <w:p>
      <w:pPr>
        <w:spacing w:after="0" w:line="106"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7"/>
          <w:szCs w:val="17"/>
          <w:color w:val="auto"/>
        </w:rPr>
        <w:t>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has not been finalized, and FDA has instead continued its enforcement discretion policy and has indicated that it intends to work with Congress to enact comprehensive legislative reform of diagnostics oversight. As such, LDTs developed by high complexity clinical laboratories are currently generally offered as services to health care providers under the CLIA regulatory framework administered CMS, without the requirement for FDA clearance or approval. There are other regulatory and legislative proposals that would increase general FDA oversight of clinical laboratories and LDTs. The outcome and ultimate impact of such proposals on the business is difficult to predict at this time. On February 20, 2020, the FDA issued a statement with a table of pharmacogenetic associations setting forth certain gene-drug interactions that the agency has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while it is committed to work with Congress on new comprehensive diagnostic oversight reform legislation, it could still take enforcement actions under the current medical device framework regarding diagnostic claims the agency determines not to be sufficiently supported. Even without issuance of a finalized LDT oversight framework, in light of the April 4, 2019, FDA warning letter issued to Inova Genomics Laboratory related to certain LDTs that Inova offered, as well as the February 2020 pharmacogenetics statement, there may be an increased risk of FDA enforcement actions for laboratory tests offered by companies without FDA clearance or approval.</w:t>
      </w:r>
    </w:p>
    <w:p>
      <w:pPr>
        <w:spacing w:after="0" w:line="8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Current FDA regulation of the Company’s diagnostic products and the potential for future increased regulation of the Company’s LDTs in the future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to comply with U.S., state, local or international environmental, health and safety laws and regulations, including the U.S. Occupational Safety and Health Administration Act and the U.S. Needlestick Safety and Prevention Act, could result in fines and penalties and loss of licensure, and have a material adverse effect upon the Company’s business.</w:t>
      </w:r>
    </w:p>
    <w:p>
      <w:pPr>
        <w:spacing w:after="0" w:line="99" w:lineRule="exact"/>
        <w:rPr>
          <w:sz w:val="20"/>
          <w:szCs w:val="20"/>
          <w:color w:val="auto"/>
        </w:rPr>
      </w:pPr>
    </w:p>
    <w:p>
      <w:pPr>
        <w:jc w:val="both"/>
        <w:ind w:firstLine="283"/>
        <w:spacing w:after="0" w:line="255" w:lineRule="auto"/>
        <w:rPr>
          <w:sz w:val="20"/>
          <w:szCs w:val="20"/>
          <w:color w:val="auto"/>
        </w:rPr>
      </w:pPr>
      <w:r>
        <w:rPr>
          <w:rFonts w:ascii="Arial" w:cs="Arial" w:eastAsia="Arial" w:hAnsi="Arial"/>
          <w:sz w:val="18"/>
          <w:szCs w:val="18"/>
          <w:color w:val="auto"/>
        </w:rPr>
        <w:t>As previously discussed in Item 1 of Part I of this Annual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3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General or macro-economic factors in the U.S. and globally may have a material adverse effect upon the Company, and a significant deterioration in the economy could negatively impact testing volumes, drug development services,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collections and the availability of credit.</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operations are dependent upon ongoing demand for diagnostic testing and drug development services by patients, physicians, hospitals, MCOs, biopharmaceutical companies and others. A significant downturn in the economy could negatively impact the demand for diagnostic testing and drug development services, as well as the ability of customers to pay for services rendered. In addition, uncertainty in the credit markets could reduce the availability of credit and impact the Company’s ability to meet its financing needs in the future. For additional risks, see “Risk Factors - Risks Related to the COVID-19 Pandemic” in Part I - Item 1A.</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Healthcare reform and changes to related products (e.g., health insurance exchanges), changes in government payment and reimbursement systems, or changes in payer mix, including an increase in capitated reimbursement mechanisms and evolving delivery models, could have a material adverse effect on the Company's revenues, profitability and cash flow.</w:t>
      </w:r>
    </w:p>
    <w:p>
      <w:pPr>
        <w:spacing w:after="0" w:line="85"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Dx's testing services are billed to MCOs, Medicare, Medicaid, physicians and physician groups, hospitals, patients and employer groups. Most testing services are billed to a party other than the physician or other authorized person who ordered the test. Increases in the percentage of services billed to government and MCOs could have an adverse effect on the Company’s revenues.</w:t>
      </w:r>
    </w:p>
    <w:p>
      <w:pPr>
        <w:spacing w:after="0" w:line="103"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w:t>
      </w:r>
    </w:p>
    <w:p>
      <w:pPr>
        <w:spacing w:after="0" w:line="83"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Capitation shifts the risk of increased test utilization (and the underlying mix of testing services) to the commercial laboratory provider. The Company makes significant efforts to obtain adequate compensation for its services in its capitated arrangements. For the year ended December 31, 2020, such capitated contracts accounted for approximately $319.0 million, or 3.4%, of Dx's revenues.</w:t>
      </w:r>
    </w:p>
    <w:p>
      <w:pPr>
        <w:spacing w:after="0" w:line="8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Company's ability to attract and retain MCOs is critical given the impact of healthcare reform, related products and expanded coverage (e.g. health insurance exchanges and Medicaid expansion) and evolving value-based care and risk-based reimbursement delivery models (e.g., accountable care organizations (ACOs) and Independent Physician Associations (IPAs)).</w:t>
      </w:r>
    </w:p>
    <w:p>
      <w:pPr>
        <w:spacing w:after="0" w:line="103"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A portion of the managed care fee-for-service revenues is collectible from patients in the form of deductibles, coinsurance and copayments. As patient cost-sharing has been increasing, the Company's collections may be adversely impacted.</w:t>
      </w:r>
    </w:p>
    <w:p>
      <w:pPr>
        <w:spacing w:after="0" w:line="76" w:lineRule="exact"/>
        <w:rPr>
          <w:sz w:val="20"/>
          <w:szCs w:val="20"/>
          <w:color w:val="auto"/>
        </w:rPr>
      </w:pPr>
    </w:p>
    <w:p>
      <w:pPr>
        <w:jc w:val="both"/>
        <w:ind w:firstLine="295"/>
        <w:spacing w:after="0" w:line="271" w:lineRule="auto"/>
        <w:rPr>
          <w:sz w:val="20"/>
          <w:szCs w:val="20"/>
          <w:color w:val="auto"/>
        </w:rPr>
      </w:pPr>
      <w:r>
        <w:rPr>
          <w:rFonts w:ascii="Arial" w:cs="Arial" w:eastAsia="Arial" w:hAnsi="Arial"/>
          <w:sz w:val="17"/>
          <w:szCs w:val="17"/>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and is expected to continue to increase; however, changes to, or repeal of, the Patient Protection and Affordable Care Act (ACA) may continue to affect coverage, reimbursement, and utilization of laboratory services, as well as administrative requirements, in ways that are currently unpredictable. Further healthcare reform could adversely affect laboratory reimbursement from Medicare, Medicaid or commercial carriers.</w:t>
      </w:r>
    </w:p>
    <w:p>
      <w:pPr>
        <w:spacing w:after="0" w:line="8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also experienced delays in the pricing and implementation of coding and billing changes among various payers, including Medicaid, Medicare and commercial carriers. While some delays were expected, payer policy changes in coverage have had a negative impact on revenue, revenue per requisition, and margins and cash flows. In 2020, limited coding and billing changes were implemented beyond those specifically related to COVID-19 Testing. While limited changes are expected to be implemented in 2021, the Company typically expects some delays in pricing and reimbursement as new codes are introduced.</w:t>
      </w:r>
    </w:p>
    <w:p>
      <w:pPr>
        <w:spacing w:after="0" w:line="10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some MCOs are implementing, directly or through third parties, various types of laboratory benefit management programs that may include lab networks, utilization management tools (such as prior authorization and/or prior notification), and claims edits, which may impact coverage or reimbursement for commercial laboratory tests. Some of these programs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address commercial laboratory testing broadly, while others are focused on certain types of testing such as molecular, genetic and toxicology testing.</w:t>
      </w:r>
    </w:p>
    <w:p>
      <w:pPr>
        <w:spacing w:after="0" w:line="142"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The Company expects the efforts to impose reduced reimbursement, more stringent payment policies, and utilization and cost controls by government and other payers to continue. If Dx cannot offset additional reductions in the payments it receives for its services by reducing costs, increasing test volume, and/or introducing new services and procedures, it could have a material adverse effect on the Company’s revenues, profitability and cash flows. In 2014, Congress passed PAMA, requiring Medicare to change the way payment rates are calculated for tests paid under the CLFS, and to base the payment on the weighted median of rates paid by private payers. On June 23, 2016, CMS issued a final rule to implement PAMA that required applicable laboratories, including Dx, to begin reporting their test-specific private payer payment amounts to CMS during the first quarter of 2017. CMS exercised enforcement discretion to permit reporting for an additional 60 days, through May 30, 2017. CMS used that private market data to calculate weighted median prices for each test (based on applicable current procedural technology (CPT) codes) to represent the new CLFS rates beginning in 2018, subject to certain phase-in limits, which were revised by Congress in 2019 and 2020. For 2018-2020, a test price could not be reduced by more than 10% per year.As a result of provisions included within the CARES Act, PAMA rate reductions for 2021 have been suspended, and therefore the Company will not experience any incremental reimbursement rate impact due to PAMA in 2021. For 2022-2024, a test price cannot be reduced by more than 15.0% per year. The process of data reporting and repricing will be repeated every three years for Clinical Diagnostic Laboratory Tests (CDLTs) beginning in 2022. Under current law as revised in the CARES Act, the next data reporting period for CDLTs (based on data collected in 2019) will occur during the first quarter of 2022, and new CLFS rates for CDLTs will be established based on that data beginning in 2023, subject to the previously described phase-in limits. The subsequent data reporting period for CDLTs (based on data collected in 2023) will occur during the first quarter of 2025, and new CLFS rates for CDLTs will be established based on that data beginning in 2026. CLFS rates for 2025 and subsequent periods will not be subject to phase-in limits. CLFS rates for Advanced Diagnostic Laboratory Tests (ADLTs) will be updated annually.</w:t>
      </w:r>
    </w:p>
    <w:p>
      <w:pPr>
        <w:spacing w:after="0" w:line="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CMS published its initial proposed CLFS rates under PAMA for 2018-2020 on September 22, 2017. Following a public comment period, CMS made adjustments and published final CLFS rates for 2018-2020 on November 17, 2017, with additional adjustments published on December 1, 2017. For 2020, the Company realized a net reduction in reimbursement of approximately $72.01 million from all payers affected by the CLFS (approximately $107.0 million in 2019). Unless implementation of PAMA is further delayed or changed, an additional reduction of approximately $100.0 million is expected for 2021, from all payers affected by the CLFS.</w:t>
      </w:r>
    </w:p>
    <w:p>
      <w:pPr>
        <w:spacing w:after="0" w:line="93"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Healthcare reform legislation also contains numerous regulations that will require the Company, as an employer, to implement significant process and record-keeping changes to be in compliance. These changes increase the cost of providing healthcare coverage to employees and their families. Given the limited release of regulations to guide compliance, as well as potential changes to the ACA, the exact impact to employers, including the Company, is uncertain.</w:t>
      </w:r>
    </w:p>
    <w:p>
      <w:pPr>
        <w:spacing w:after="0" w:line="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government regulation or in practices relating to the biopharmaceutical industry could decrease the need for certain services that DD provides.</w:t>
      </w:r>
    </w:p>
    <w:p>
      <w:pPr>
        <w:spacing w:after="0" w:line="85" w:lineRule="exact"/>
        <w:rPr>
          <w:sz w:val="20"/>
          <w:szCs w:val="20"/>
          <w:color w:val="auto"/>
        </w:rPr>
      </w:pPr>
    </w:p>
    <w:p>
      <w:pPr>
        <w:jc w:val="both"/>
        <w:ind w:firstLine="251"/>
        <w:spacing w:after="0" w:line="275" w:lineRule="auto"/>
        <w:tabs>
          <w:tab w:leader="none" w:pos="558"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assists biopharmaceutical companies in navigating the regulatory drug approval process. Changes in regulations such as a relaxation in regulatory requirements or the introduction of simplified drug approval procedures, or an increase in regulatory requirements that DD has difficulty satisfying or that make its services less competitive, could eliminate or substantially reduce the demand for its services. Also, if government efforts to contain drug costs impact biopharmaceutical company profits from new drugs, or if health insurers were to change their practices with respect to reimbursement for biopharmaceutical products, some of DD’s customers may spend less, or reduce their growth in spending on R&amp;D.</w:t>
      </w:r>
    </w:p>
    <w:p>
      <w:pPr>
        <w:spacing w:after="0" w:line="82"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On December 13, 2016, the 21st Century Cures Act was signed into law. This Act provides funding designed to increase government spending on certain drug development initiatives; contains several provisions designed to help make the drug development process more streamlined and efficient; and allows the FDA to increase staffing to support drug development, review and regulation. These provisions should be helpful to biopharmaceutical companies and CROs, including DD, to the extent that they capitalize on the use of data, adaptive trial designs, real-world evidence, biomarkers and other development tools that are accepted by the FDA.</w:t>
      </w:r>
    </w:p>
    <w:p>
      <w:pPr>
        <w:spacing w:after="0" w:line="93" w:lineRule="exact"/>
        <w:rPr>
          <w:sz w:val="20"/>
          <w:szCs w:val="20"/>
          <w:color w:val="auto"/>
        </w:rPr>
      </w:pPr>
    </w:p>
    <w:p>
      <w:pPr>
        <w:jc w:val="both"/>
        <w:ind w:right="20" w:firstLine="283"/>
        <w:spacing w:after="0" w:line="311" w:lineRule="auto"/>
        <w:rPr>
          <w:sz w:val="20"/>
          <w:szCs w:val="20"/>
          <w:color w:val="auto"/>
        </w:rPr>
      </w:pPr>
      <w:r>
        <w:rPr>
          <w:rFonts w:ascii="Arial" w:cs="Arial" w:eastAsia="Arial" w:hAnsi="Arial"/>
          <w:sz w:val="16"/>
          <w:szCs w:val="16"/>
          <w:color w:val="auto"/>
        </w:rPr>
        <w:t>In addition, implementation of healthcare reform legislation that adds costs could limit the profits that can be made from the development of new drugs. This could adversely affect R&amp;D expenditures by biopharmaceutical companies, which could in turn decrease the business opportunities available to DD both in the U.S. and other countries. New laws or regulations may create a risk of liability, increase DD costs or limit service offerings through DD.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competition, including price competition, could have a material adverse effect on the Company’s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further described in Item 1 of Part I of this Annual Report, both Dx and DD operate in highly competitive industries. The commercial laboratory business is intensely competitive both in terms of price and service. Pricing of laboratory testing services is often one of the most significant factors used by physicians, third-party payers and consumers in selecting a laboratory. As a result of significant consolidation in the commercial laboratory industry, larger commercial laboratory providers are able to increase cost efficiencies afforded by large-scale automated testing. This consolidation results in greater price competition. Dx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44"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Competitors in the CRO industry range from hundreds of smaller CROs to a limited number of large CROs with global capabilities. DD’s main competition consists of these small and large CROs, as well as in-house departments of biopharmaceutical companies and, to a lesser extent, select universities and teaching hospitals. DD’s services have from time to time experienced periods of increased price competition that had an adverse effect on a segment's profitability and consolidated revenues and net income. There is competition among CROs for both customers and potential acquisition candidates. Additionally, few barriers to entering the CRO industry further increases possible new competition.</w:t>
      </w:r>
    </w:p>
    <w:p>
      <w:pPr>
        <w:spacing w:after="0" w:line="9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These competitive pressures may affect the attractiveness or profitability of Dx’s and DD’s services, and could adversely affect the financial results of the Company.</w:t>
      </w:r>
    </w:p>
    <w:p>
      <w:pPr>
        <w:spacing w:after="0" w:line="72"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85"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8"/>
          <w:szCs w:val="18"/>
          <w:color w:val="auto"/>
        </w:rPr>
        <w:t>To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effect on the Company’s revenues and profitability. The Company competes primarily on the basis of the quality of services, reporting and information systems, reputation in the medical community and the drug development industry, the pricing of services and ability to employ qualified personnel. The Company's failure to successfully compete on any of these factors could result in the loss of existing customers, an inability to gain new customers and a reduction in the Company's business.</w:t>
      </w:r>
    </w:p>
    <w:p>
      <w:pPr>
        <w:spacing w:after="0" w:line="110"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49"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89"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The commercial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research and development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83" w:lineRule="exact"/>
        <w:rPr>
          <w:sz w:val="20"/>
          <w:szCs w:val="20"/>
          <w:color w:val="auto"/>
        </w:rPr>
      </w:pPr>
    </w:p>
    <w:p>
      <w:pPr>
        <w:jc w:val="both"/>
        <w:ind w:firstLine="296"/>
        <w:spacing w:after="0" w:line="257" w:lineRule="auto"/>
        <w:rPr>
          <w:sz w:val="20"/>
          <w:szCs w:val="20"/>
          <w:color w:val="auto"/>
        </w:rPr>
      </w:pPr>
      <w:r>
        <w:rPr>
          <w:rFonts w:ascii="Arial" w:cs="Arial" w:eastAsia="Arial" w:hAnsi="Arial"/>
          <w:sz w:val="18"/>
          <w:szCs w:val="18"/>
          <w:color w:val="auto"/>
        </w:rPr>
        <w:t>In addition, advances in technology may lead to the development of more cost-effective technologies such as point-of-care testing equipment that can be operated by physicians or other healthcare providers (including physician assistants, nurse practitioners and certified nurse midwives, generally referred to herein as physicians) in their offices or by patients themselves without requiring the services of freestanding clinical laboratories. Development of such technology and its use by the Company’s customers could reduce the demand for its laboratory testing services and the utilization of certain tests offered by the Company and negatively impact its revenues.</w:t>
      </w:r>
    </w:p>
    <w:p>
      <w:pPr>
        <w:spacing w:after="0" w:line="93"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8"/>
          <w:szCs w:val="18"/>
          <w:color w:val="auto"/>
        </w:rPr>
        <w:t>Currently, most commercial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marketing point-of-care of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it has taken responsibility from the U.S. Centers for Disease Control and Prevention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Operations may be disrupted and adversely impacted by the effects of adverse weather, other natural disasters, geopolitical events, public health crises, and other events outside of the Company's control.</w:t>
      </w:r>
    </w:p>
    <w:p>
      <w:pPr>
        <w:spacing w:after="0" w:line="8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Natural disasters, such as adverse weather, fires, earthquakes, power shortages and outages, geopolitical events, such as terrorism, war, political instability, or other conflict, criminal activities, public health crises, such as coronavirus (COVID-19) and disease epidemics and pandemics, and other disruptions or events outside of the Company’s control could negatively affect the Company’s operations. Any of these events may result in a temporary decline of volumes in both segments. In addition, such events may temporarily interrupt the Company’s ability to transport specimens, the Company's ability to efficiently commence studies, the Company’s ability to utilize information technology systems, the Company’s ability to utilize certain laboratories, and/or the Company’s ability to receive material from its suppliers. Such events can also affect customer operations and thereby impact testing volume. Long-term disruptions in the infrastructure and operations caused by such events (particularly involving locations in which the Company has operations), could harm the Company's operating results. For additional risks, see “Risk Factors - Risks Related to the COVID-19 Pandemic” in Part I - Item 1A.</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or disruption in services or supplies provided by third parties, including transportation, could adversely affect the Company’s business.</w:t>
      </w:r>
    </w:p>
    <w:p>
      <w:pPr>
        <w:spacing w:after="0" w:line="17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depends on third parties to provide services critical to the Company’s business. Although the Company has a significant proprietary network of ground and air transport capabilities, certain of the Company's businesses are heavily reliant on third-party ground and air travel for transport of clinical trial and diagnostic testing supplies and specimens, research products, and people. A significant disruption to these travel systems, or the Company's access to them, could have a material adverse effect on the Company's business. The Company is also reliant on an extensive network of third-party suppliers and vendors of certain services and products, including for certain animal populations. Disruptions to the continued supply of these services, products, or animal populations may arise from export/import restrictions or embargoes, political or economic instability, pressure from animal rights activists, adverse weather, natural disasters, public health crises, transportation disruptions, cyber attacks, or other causes, as well as from termination of relationships with suppliers or vendors for their failure to follow the Company’s performance standards and requirements. Disruption of supply could have a material adverse effect on the Company’s business.</w:t>
      </w:r>
    </w:p>
    <w:p>
      <w:pPr>
        <w:spacing w:after="0" w:line="8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 failure to identify and successfully close and integrate strategic acquisition targets could have a material adverse effect on the Company's business objectives and its revenues and profitability.</w:t>
      </w:r>
    </w:p>
    <w:p>
      <w:pPr>
        <w:spacing w:after="0" w:line="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2015, the Company has invested net cash of approximately $7.2 billion and equity of $1.8 billion in strategic business acquisitions.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97"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obtain regulatory clearance, including due to antitrust concerns;</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key customers or employees;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consolidating redundant facilities and infrastructure and in standardizing information and other systems;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unidentified regulatory problems;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maintain the quality of services that such companies have historically provided;</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and other liabilities;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liabilities related to litigation including the acquired companies;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periodic impairment of goodwill and intangible assets acquired;</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coordination of geographically separated facilities and workforces; and</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disruption of the ongoing business and diversion of management's resources.</w:t>
      </w:r>
    </w:p>
    <w:p>
      <w:pPr>
        <w:spacing w:after="0" w:line="11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The Company cannot assure that current or future acquisitions, if any, or any related integration efforts will be successful,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the Company's business will not be adversely affected by any future acquisitions, including with respect to revenues and profitability. Even if the Company is able to successfully integrate the operations of businesses that it may acquire in the future, the Company may not be able to realize the benefits that it expects from such acquisitions.</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Continued and increased consolidation of MCOs, biopharmaceutical companies, health systems, physicians and other customers could adversely affect the Company's business.</w:t>
      </w:r>
    </w:p>
    <w:p>
      <w:pPr>
        <w:spacing w:after="0" w:line="71" w:lineRule="exact"/>
        <w:rPr>
          <w:sz w:val="20"/>
          <w:szCs w:val="20"/>
          <w:color w:val="auto"/>
        </w:rPr>
      </w:pPr>
    </w:p>
    <w:p>
      <w:pPr>
        <w:jc w:val="both"/>
        <w:ind w:firstLine="283"/>
        <w:spacing w:after="0" w:line="293" w:lineRule="auto"/>
        <w:rPr>
          <w:sz w:val="20"/>
          <w:szCs w:val="20"/>
          <w:color w:val="auto"/>
        </w:rPr>
      </w:pPr>
      <w:r>
        <w:rPr>
          <w:rFonts w:ascii="Arial" w:cs="Arial" w:eastAsia="Arial" w:hAnsi="Arial"/>
          <w:sz w:val="16"/>
          <w:szCs w:val="16"/>
          <w:color w:val="auto"/>
        </w:rPr>
        <w:t>Many healthcare companies and providers, including MCOs, biopharmaceutical companies, health systems and physician practices are consolidating through mergers, acquisitions, joint ventures and other types of transactions and collaborations. In addition to these more traditional horizontal mergers that involve entities that previously competed against each other, the healthcare industry is experiencing an increase in vertical mergers, which involve entities that previously did not offer competing goods or services. As the healthcare industry consolidates, competition to provide goods and services may become more intense, and vertical mergers may give those combined companies greater control over more aspects of healthcare, including increased bargaining power. This competition and increased customer bargaining power may adversely affect the price and volume of the Company’s services.</w:t>
      </w:r>
    </w:p>
    <w:p>
      <w:pPr>
        <w:spacing w:after="0" w:line="83" w:lineRule="exact"/>
        <w:rPr>
          <w:sz w:val="20"/>
          <w:szCs w:val="20"/>
          <w:color w:val="auto"/>
        </w:rPr>
      </w:pPr>
    </w:p>
    <w:p>
      <w:pPr>
        <w:jc w:val="both"/>
        <w:ind w:firstLine="283"/>
        <w:spacing w:after="0" w:line="301" w:lineRule="auto"/>
        <w:rPr>
          <w:sz w:val="20"/>
          <w:szCs w:val="20"/>
          <w:color w:val="auto"/>
        </w:rPr>
      </w:pPr>
      <w:r>
        <w:rPr>
          <w:rFonts w:ascii="Arial" w:cs="Arial" w:eastAsia="Arial" w:hAnsi="Arial"/>
          <w:sz w:val="16"/>
          <w:szCs w:val="16"/>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Dx has a well-established base of relationships with those systems and networks, including collaborative agreements. Dx's inability to retain its existing relationships with those physicians as they become part of healthcare systems and networks and/or to create new relationships could impact its ability to successfully grow its business.</w:t>
      </w:r>
    </w:p>
    <w:p>
      <w:pPr>
        <w:spacing w:after="0" w:line="5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Unproductive labor environments, union strikes, work stoppages, Works Council negotiations, or failure to comply with labor or employment laws could adversely affect the Company's operations and have a material adverse effect upon the Company's business.</w:t>
      </w:r>
    </w:p>
    <w:p>
      <w:pPr>
        <w:spacing w:after="0" w:line="4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 is a party to a limited number of collective bargaining agreements with various labor unions and is subject to unionization activity, employment and labor laws and unionization activity in the U.S. Similar employment and labor obligations exist across other countries in which it conducts business, including appropriate engagement with Works Councils in Europe.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effect upon the Company's business. Also, the Company may incur substantial additional costs and become subject to litigation and enforcement actions if the Company fails to comply with legal requirements affecting its workforce and labor practices, including laws and regulations related to wage and hour practices, Office of Federal Contract Compliance Programs (OFCCP) compliance, and unlawful workplace harassment and discrimination.</w:t>
      </w:r>
    </w:p>
    <w:p>
      <w:pPr>
        <w:spacing w:after="0" w:line="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inability to attract and retain experienced and qualified personnel, including key management personnel, could adversely affect the Company’s business.</w:t>
      </w:r>
    </w:p>
    <w:p>
      <w:pPr>
        <w:spacing w:after="0" w:line="71" w:lineRule="exact"/>
        <w:rPr>
          <w:sz w:val="20"/>
          <w:szCs w:val="20"/>
          <w:color w:val="auto"/>
        </w:rPr>
      </w:pPr>
    </w:p>
    <w:p>
      <w:pPr>
        <w:jc w:val="both"/>
        <w:ind w:firstLine="283"/>
        <w:spacing w:after="0" w:line="288" w:lineRule="auto"/>
        <w:rPr>
          <w:sz w:val="20"/>
          <w:szCs w:val="20"/>
          <w:color w:val="auto"/>
        </w:rPr>
      </w:pPr>
      <w:r>
        <w:rPr>
          <w:rFonts w:ascii="Arial" w:cs="Arial" w:eastAsia="Arial" w:hAnsi="Arial"/>
          <w:sz w:val="16"/>
          <w:szCs w:val="16"/>
          <w:color w:val="auto"/>
        </w:rPr>
        <w:t>The loss of key management personnel or the inability to attract and retain experienced and qualified employees at the Company’s clinical laboratories, drug development, and diagnostic facilities could adversely affect the business. The success of the Company is dependent in part on the efforts of key members of its management team. Success in maintaining the Company’s leadership position in genomic and other advanced testing and diagnostic technologies will depend in part on the Company’s ability to attract and retain skilled research professionals. In addition, the success of the Company’s early discovery, clinical and commercial laboratories also depend on employing and retaining qualified and experienced professionals, including specialists, who perform laboratory research activities and testing services. The same is true for patient-facing staff with specialized training required to perform activities related to specimen collection or clinical research activities. In the future, if competition for the services of these professionals increases, the Company may not be able to continue to attract and retain individuals in its markets. Changes in key management, or the ability to attract and retain qualified personnel, could lead to strategic and operational challenges and uncertainties, distractions of management from other key initiatives, and inefficiencies and increased costs, any of which could adversely affect the Company’s business, financial condition, results of operations, and cash flows.</w:t>
      </w:r>
    </w:p>
    <w:p>
      <w:pPr>
        <w:spacing w:after="0" w:line="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Global economic conditions and government and regulatory changes, including, but not limited to, the U.K.'s exit from the European Union (EU) could adversely impact the Company’s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could be adversely impacted due to the consequences of changes in the economy, governments or regulations across the globe. On January 31, 2020 the U.K. withdrew from its membership of the EU (often referred to as Brexit). The EU and the U.K. reached an agreement in December 2020.</w:t>
      </w:r>
    </w:p>
    <w:p>
      <w:pPr>
        <w:spacing w:after="0" w:line="8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This type of development or other government or regulatory change could depress economic activity, which could adversely impact the Company’s business, financial condition and results of operations. This could include long-term volatility in the currency markets and long-term detrimental effects on the value of affected currencies.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or disruption to the Company’s facilities could adversely affect the Company’s business.</w:t>
      </w:r>
    </w:p>
    <w:p>
      <w:pPr>
        <w:spacing w:after="0" w:line="14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Many of the Company’s facilities could be difficult to replace in a short period of time. Any event that causes a disruption of the operation of these facilities might impact the Company's ability to provide services to customers and, therefore, could have a material adverse effect on the Company's financial condition, results of operations, and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13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Company bears financial risk for contracts that, including for reasons beyond the Company's control, may be underpriced, subject to cost overruns, delayed, or terminated or reduced in scope.</w:t>
      </w:r>
    </w:p>
    <w:p>
      <w:pPr>
        <w:spacing w:after="0" w:line="9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has many contracts that are structured as fixed-price for fixed-contracted services or fee-for-service with a cap. The Company bears the financial risk if these contracts are underpriced or if contract costs exceed estimates. Such underpricing or significant cost overruns could have an adverse effect on the Company's business, results of operations, financial condition and cash flows.</w:t>
      </w:r>
    </w:p>
    <w:p>
      <w:pPr>
        <w:spacing w:after="0" w:line="4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Many of DD’s contracts, in particular, provide for services on a fixed-price or fee-for-service with a cap basis and they may be terminated or reduced in scope either immediately or upon notice. Cancellations may occur for a variety of reasons, including:</w:t>
      </w:r>
    </w:p>
    <w:p>
      <w:pPr>
        <w:spacing w:after="0" w:line="62"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products to satisfy safety requirements;</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or undesired results of the products;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clinical trial subject enrollment;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investigator recruitment;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customer's decision to terminate the development of a product or to end a particular study; and</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DD’s failure to perform its duties properly under the contract.</w:t>
      </w:r>
    </w:p>
    <w:p>
      <w:pPr>
        <w:spacing w:after="0" w:line="103" w:lineRule="exact"/>
        <w:rPr>
          <w:sz w:val="20"/>
          <w:szCs w:val="20"/>
          <w:color w:val="auto"/>
        </w:rPr>
      </w:pPr>
    </w:p>
    <w:p>
      <w:pPr>
        <w:jc w:val="both"/>
        <w:ind w:right="80" w:firstLine="162"/>
        <w:spacing w:after="0" w:line="263" w:lineRule="auto"/>
        <w:rPr>
          <w:sz w:val="20"/>
          <w:szCs w:val="20"/>
          <w:color w:val="auto"/>
        </w:rPr>
      </w:pPr>
      <w:r>
        <w:rPr>
          <w:rFonts w:ascii="Arial" w:cs="Arial" w:eastAsia="Arial" w:hAnsi="Arial"/>
          <w:sz w:val="18"/>
          <w:szCs w:val="18"/>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DD.</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increase in Dx's or DD's days sales outstanding could have an adverse effect on the Company’s business, including its cash flow, by increasing its bad debt or decreasing its cash flow.</w:t>
      </w:r>
    </w:p>
    <w:p>
      <w:pPr>
        <w:spacing w:after="0" w:line="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Dx has experienced an increase in patient responsibility as a result of managed care fee-for-service plans that continue to increase patient deductibles, coinsurance and copayments, or implement restrictive coverage or administrative policies that can further increase patient costs. Dx expects this trend to continue. A material increase in Dx’s days sales outstanding level could have an adverse effect on the Company's business, including potentially increasing its bad debt rate and decreasing its cash flows. Although DD does not face the same level of complexity in its billing processes, it could also experience delays in billing or collection, and a material increase in DD’s days sales outstanding could have an adverse effect on the Company’s business, including potentially decreasing its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DD’s revenues depend on the biopharmaceutical industry.</w:t>
      </w:r>
    </w:p>
    <w:p>
      <w:pPr>
        <w:spacing w:after="0" w:line="14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DD’s revenues depend greatly on the expenditures made by the biopharmaceutical industry in R&amp;D. In some instances, biopharmaceutical companies are reliant on their ability to raise capital in order to fund their R&amp;D projects. Biopharmaceutical companies are also reliant on reimbursement for their products from government programs and commercial payers. Accordingly, economic factors and industry trends affecting DD’s customers in these industries may also affect DD. If these companies were to reduce the number of R&amp;D projects they conduct or outsource, whether through the inability to raise capital, reductions in reimbursement from governmental programs or commercial payers, industry trends, economic conditions or otherwise, DD could be materially adversely affected.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fluctuations could have an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business and operations outside the U.S., and DD derives a significant portion of its revenues from international operations. Since the Company's consolidated financial statements are denominated in U.S. dollars, fluctuations in exchange rates from period to period will have an impact on reported results. In addition, DD may incur costs in one currency related to its services or products for which it is paid in a different currency. As a result, factors associated with international operations, including changes in foreign currency exchange rates, could significantly affect DD's results of operations, financial condition and cash flows.</w:t>
      </w:r>
    </w:p>
    <w:p>
      <w:pPr>
        <w:spacing w:after="0" w:line="1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Company’s uses of financial instruments to limit its exposure to interest rate and currency fluctuations could expose it to risks and financial losses that may adversely affect the Company’s financial condition, liquidity and results of operations.</w:t>
      </w:r>
    </w:p>
    <w:p>
      <w:pPr>
        <w:spacing w:after="0" w:line="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To reduce the Company’s exposure to interest rate fluctuations and currency exchange fluctuations, it has entered into, and in the future may enter into for these or other purposes, financial swaps, or hedging arrangements, with various financial counterparties. In addition to any risks related to the counterparties, there can be no assurances that the Company’s hedging activity will be effective in insulating it from the risks associated with the underlying transactions, that the Company would not have been better off without entering into these hedges, or that the Company will not have to pay additional amounts upon settlement.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level of indebtedness could adversely affect the Company’s liquidity, results of operations and business.</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December 31, 2020, indebtedness on the Company's outstanding Senior Notes totaled approximately $5,450.0 million in aggregate principal. The Company is also a party to credit agreements relating to a $1.0 billion revolving credit facility and a 2019 term loan with a balance of $375.0 million as of December 31, 2020. Under the term loan facility and the revolving credit facility, the Company is subject to negative covenants limiting subsidiary indebtedness and certain other covenants typical for investment-grade-rated borrowers, and the Company is required to maintain a leverage ratio within certain limits.</w:t>
      </w:r>
    </w:p>
    <w:p>
      <w:pPr>
        <w:spacing w:after="0" w:line="9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Company’s level of indebtedness could adversely affect its business. In particular, it could increase the Company’s vulnerability to sustained, adverse macroeconomic weakness, limit its ability to obtain further financing, and limit its ability to pursue certain operational and strategic opportunities, including large acquisitions.</w:t>
      </w:r>
    </w:p>
    <w:p>
      <w:pPr>
        <w:spacing w:after="0" w:line="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quarterly operating results may vary.</w:t>
      </w:r>
    </w:p>
    <w:p>
      <w:pPr>
        <w:spacing w:after="0" w:line="135" w:lineRule="exact"/>
        <w:rPr>
          <w:sz w:val="20"/>
          <w:szCs w:val="20"/>
          <w:color w:val="auto"/>
        </w:rPr>
      </w:pPr>
    </w:p>
    <w:p>
      <w:pPr>
        <w:ind w:right="80" w:firstLine="243"/>
        <w:spacing w:after="0" w:line="277" w:lineRule="auto"/>
        <w:rPr>
          <w:sz w:val="20"/>
          <w:szCs w:val="20"/>
          <w:color w:val="auto"/>
        </w:rPr>
      </w:pPr>
      <w:r>
        <w:rPr>
          <w:rFonts w:ascii="Arial" w:cs="Arial" w:eastAsia="Arial" w:hAnsi="Arial"/>
          <w:sz w:val="18"/>
          <w:szCs w:val="18"/>
          <w:color w:val="auto"/>
        </w:rPr>
        <w:t>The Company's operating results, may vary significantly from quarter to quarter and are influenced by factors over which the Company has little control, such as:</w:t>
      </w:r>
    </w:p>
    <w:p>
      <w:pPr>
        <w:spacing w:after="0" w:line="7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general global economy;</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commencement, completion, delay or cancellation of large projects or contracts or groups of projects;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progress of ongoing projects;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and charges associated with completed acquisitions or other events;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utilization mix of the Company's services.</w:t>
      </w:r>
    </w:p>
    <w:p>
      <w:pPr>
        <w:spacing w:after="0" w:line="130" w:lineRule="exact"/>
        <w:rPr>
          <w:sz w:val="20"/>
          <w:szCs w:val="20"/>
          <w:color w:val="auto"/>
        </w:rPr>
      </w:pPr>
    </w:p>
    <w:p>
      <w:pPr>
        <w:jc w:val="both"/>
        <w:ind w:right="80" w:firstLine="243"/>
        <w:spacing w:after="0" w:line="263" w:lineRule="auto"/>
        <w:rPr>
          <w:sz w:val="20"/>
          <w:szCs w:val="20"/>
          <w:color w:val="auto"/>
        </w:rPr>
      </w:pPr>
      <w:r>
        <w:rPr>
          <w:rFonts w:ascii="Arial" w:cs="Arial" w:eastAsia="Arial" w:hAnsi="Arial"/>
          <w:sz w:val="18"/>
          <w:szCs w:val="18"/>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Technology and Cybersecurity</w:t>
      </w:r>
    </w:p>
    <w:p>
      <w:pPr>
        <w:spacing w:after="0" w:line="131" w:lineRule="exact"/>
        <w:rPr>
          <w:sz w:val="20"/>
          <w:szCs w:val="20"/>
          <w:color w:val="auto"/>
        </w:rPr>
      </w:pPr>
    </w:p>
    <w:p>
      <w:pPr>
        <w:jc w:val="both"/>
        <w:ind w:right="100"/>
        <w:spacing w:after="0" w:line="312" w:lineRule="auto"/>
        <w:rPr>
          <w:sz w:val="20"/>
          <w:szCs w:val="20"/>
          <w:color w:val="auto"/>
        </w:rPr>
      </w:pPr>
      <w:r>
        <w:rPr>
          <w:rFonts w:ascii="Arial" w:cs="Arial" w:eastAsia="Arial" w:hAnsi="Arial"/>
          <w:sz w:val="17"/>
          <w:szCs w:val="17"/>
          <w:b w:val="1"/>
          <w:bCs w:val="1"/>
          <w:color w:val="auto"/>
        </w:rPr>
        <w:t>Failure to maintain the security of customer-related information or compliance with security requirements could damage the Company’s reputation with customers, cause it to incur substantial additional costs and become subject to litigation and enforcement actions.</w:t>
      </w:r>
    </w:p>
    <w:p>
      <w:pPr>
        <w:spacing w:after="0" w:line="63"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Company receives and stores certain personal and financial information about its customers. In addition, the Company depends upon the secure transmission of confidential information over public networks, including information permitting cashless payments. The Company also works with third-party service providers and vendors that provide technology systems and services that are used in connection with the receipt, storage, and transmission of customer personal and financial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A compromise in the Company’s security systems, or those of the Company's third party service providers and vendors, that results in customer personal information being obtained by unauthorized persons or the Company’s or third party's failure to comply with security requirements for financial transactions could adversely affect the Company’s reputation with its customers and others, as well as the Company’s results of operations, financial condition and liquidity. It could also result in litigation against the Company and the imposition of fines and penalties. For example, in connection with the AMCA Incident the Company has incurred, and expects to continue to incur, costs, and the Company is involved in pending and threatened litigation, as well as various government and regulatory inquiries and processes. For additional information about the AMCA Incident, see Note 16 Commitments and Contingencies to the Consolidated Financial Statements.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Failure in the Company’s information technology systems or delays or failures in the development and implementation of updates or enhancements to those systems could significantly increase testing turnaround time or delay billing processes and otherwise disrupt the Company’s operations or customer relationships.</w:t>
      </w:r>
    </w:p>
    <w:p>
      <w:pPr>
        <w:spacing w:after="0" w:line="85" w:lineRule="exact"/>
        <w:rPr>
          <w:sz w:val="20"/>
          <w:szCs w:val="20"/>
          <w:color w:val="auto"/>
        </w:rPr>
      </w:pPr>
    </w:p>
    <w:p>
      <w:pPr>
        <w:jc w:val="both"/>
        <w:ind w:firstLine="298"/>
        <w:spacing w:after="0" w:line="272" w:lineRule="auto"/>
        <w:rPr>
          <w:sz w:val="20"/>
          <w:szCs w:val="20"/>
          <w:color w:val="auto"/>
        </w:rPr>
      </w:pPr>
      <w:r>
        <w:rPr>
          <w:rFonts w:ascii="Arial" w:cs="Arial" w:eastAsia="Arial" w:hAnsi="Arial"/>
          <w:sz w:val="17"/>
          <w:szCs w:val="17"/>
          <w:color w:val="auto"/>
        </w:rPr>
        <w:t>The Company’s operations and customer relationships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is in the process of integrating the information technology systems of its recently acquired subsidiaries, and the Company may experience system failures or interruptions as a result of this process. Sustained system failures or interruption of the Company’s systems in one or more of its operations could disrupt the Company’s ability to process laboratory requisitions, perform testing, provide test results or drug development data in a timely manner and/or bill the appropriate party. Failure of the Company’s information technology systems could adversely affect the Company’s business, profitability and financial condition.</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Hardware and software failures, delays in the operation of computer and communications systems, the failure to implement new systems or system enhancements to existing systems, and cybersecurity breaches may harm the Company.</w:t>
      </w:r>
    </w:p>
    <w:p>
      <w:pPr>
        <w:spacing w:after="0" w:line="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success depends on the efficient and uninterrupted operation of its computer and communications systems. A failure of the network or data-gathering procedures could impede the processing of data, delivery of databases and services, customer orders and day-to-day management of the business and could result in the corruption or loss of data. While certain operations have appropriate disaster recovery plans in place, there currently are not redundant facilities everywhere in the world to provide information technology capacity in the event of a system failure. Despite any precautions the Company may take, damage from fire, floods, hurricanes, power loss, telecommunications failures, computer viruses, break-ins, cybersecurity breaches and similar events at the Company's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the Company could be required to transfer data collection operations to an alternative provider of server-hosting services. Such a transfer could result in delays in the ability to deliver products and services to customers. Additionally, significant delays in the planned delivery of system enhancements, or improvements and inadequate performance of the systems once they are completed could damage the Company's reputation and harm the business.</w:t>
      </w:r>
    </w:p>
    <w:p>
      <w:pPr>
        <w:spacing w:after="0" w:line="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Security breaches and unauthorized access to the Company's or its customers’ data could harm the Company’s reputation and adversely affect its business.</w:t>
      </w:r>
    </w:p>
    <w:p>
      <w:pPr>
        <w:spacing w:after="0" w:line="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has experienced and expects to continue to experience attempts by computer programmers and hackers to attack and penetrate the Company’s layered security controls, like the 2018 ransomware attack. The Company has also experienced and expects to continue to experience similar attempts to attack and penetrate the systems of third-party suppliers and vendors to whom the Company has provided data, like the 2019 data breach of Retrieval-Masters Credit Bureau, Inc. d/b/a/ American Medical Collections Agency (AMCA). These attempts, if successful, could result in the misappropriation or compromise of personal information or proprietary or confidential information stored within the Company's systems or within the systems of third-parties, create system disruptions or cause shutdowns. External actors are developing and deploying viruses, worms and other malicious software programs that attack the Company’s systems, the systems of third-parties, or otherwise exploit any security vulnerabilities. Outside parties may also attempt to fraudulently induce employees to take actions, including the release of confidential or sensitive information or to make fraudulent payments through illegal electronic spamming, phishing, spear phishing, or other tactics. The Company has robust information security procedures and other safeguards in place, including evaluating the cybersecurity status of third-party suppliers and vendors that will have access to the Company’s data or information technology systems, which are monitored and routinely tested internally and by external parties. However,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preventive measures. In addition, as cyber threats continue to evolve, the Company may be required to expend additional resources to continue to enhance the Company’s information security measures or 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investigate and remediate any information security vulnerabilities. The Company’s remediation efforts may not be successful and could result in interruptions, delays or cessation of service. This could also impact the cost and availability of cyber insurance to the Company. Breaches of the Company’s or third-parties' security measures and the unauthorized dissemination of personal, proprietary or confidential information about the Company or its customers or other third-parties could expose customers’ private information. Such breaches could expose customers to the risk of financial or medical identity theft or expose the Company or other third-parties to a risk of loss or misuse of this information, result in litigation and 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Company depends on third parties to provide services critical to the Company's business, and depends on them to comply with applicable laws and regulations. Additionally, any breaches of the information technology systems of third parties could have a material adverse effect on the Company's operations.</w:t>
      </w:r>
    </w:p>
    <w:p>
      <w:pPr>
        <w:spacing w:after="0" w:line="9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depends on third parties to provide services critical to the Company's business, including supplies, ground and air transport of clinical and diagnostic testing supplies and specimens, research products, and people, among other services. Third parties that provide services to the Company are subject to similar risks related to security of customer-related information and compliance with U.S., state, local, or international environmental, health and safety, and privacy and security laws and regulations as the Company. Any failure by third parties to comply with applicable laws, or any failure of third parties to provide services more generally, could have a material impact on the Company, whether because of the loss of the ability to receive services from the third parties, legal liability of the Company for the actions or inactions of third parties, or otherwise.</w:t>
      </w:r>
    </w:p>
    <w:p>
      <w:pPr>
        <w:spacing w:after="0" w:line="8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third parties to whom the Company outsources certain services or functions may process personal data, or other confidential information of the Company. A breach or cyber attack affecting these third parties, like the AMCA Incident, could also harm the Company's business, results of operations and reputation.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Matters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results in material litigation matters could have a material adverse effect upon the Company’s business.</w:t>
      </w:r>
    </w:p>
    <w:p>
      <w:pPr>
        <w:spacing w:after="0" w:line="1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may become subject in the ordinary course of business to material legal actions related to, among other things, intellectual property disputes, contract disputes, data and privacy issues, professional liability and employee-related matters. The Company may also receive inquiries and requests for information from governmental agencies and bodies, including Medicare or Medicaid payers, requesting comment and/or information on allegations of billing irregularities, billing and pricing arrangements, or privacy practices that are brought to its attention through audits or third parties. Legal actions could result in substantial monetary damages as well as damage to the Company’s reputation with customers, which could have a material adverse effect upon its business.</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failure to successfully obtain, maintain and enforce intellectual property rights and defend against challenges to the Company’s intellectual property rights could adversely affect the Company.</w:t>
      </w:r>
    </w:p>
    <w:p>
      <w:pPr>
        <w:spacing w:after="0" w:line="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the Company’s services, products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If the Company is unable to obtain or maintain the proprietary rights to its intellectual property, if it is unable to prevent attempted infringement against its intellectual property, or if it is unable to defend against claims that it is infringing on another party’s intellectual property, the Company could be adversely affected. These adverse effects could include the Company having to abandon, alter and/or delay the deployment of products, services or processes that rely on such intellectual property; having to procure and pay for licenses from the holders of intellectual property rights that the Company seeks to use; and having to pay damages, fines, court costs and attorney's fees in connection with intellectual property litigation.</w:t>
      </w:r>
    </w:p>
    <w:p>
      <w:pPr>
        <w:spacing w:after="0" w:line="8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Changes in tax laws and regulations or the interpretation of such may have a significant impact on the financial position, results of operations and cash flows of the Company.</w:t>
      </w:r>
    </w:p>
    <w:p>
      <w:pPr>
        <w:spacing w:after="0" w:line="8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8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services in the drug development industry create liability risks.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contracting to work on drug development trials and studies, DD faces a range of potential liabilities, including:</w:t>
      </w:r>
    </w:p>
    <w:p>
      <w:pPr>
        <w:spacing w:after="0" w:line="23" w:lineRule="exact"/>
        <w:rPr>
          <w:sz w:val="20"/>
          <w:szCs w:val="20"/>
          <w:color w:val="auto"/>
        </w:rPr>
      </w:pPr>
    </w:p>
    <w:p>
      <w:pPr>
        <w:ind w:left="260" w:right="80" w:hanging="252"/>
        <w:spacing w:after="0" w:line="250"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Errors or omissions that create harm to clinical trial subjects during a trial or to consumers of a drug after the trial is completed and regulatory approval of the drug has been granted;</w:t>
      </w:r>
    </w:p>
    <w:p>
      <w:pPr>
        <w:ind w:left="260" w:right="80" w:hanging="252"/>
        <w:spacing w:after="0" w:line="250"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risks associated with clinical pharmacology facilities, including negative consequences from the administration of drugs to clinical trial participants or the professional malpractice of clinical pharmacology physicians;</w:t>
      </w:r>
    </w:p>
    <w:p>
      <w:pPr>
        <w:ind w:left="260" w:right="280" w:hanging="252"/>
        <w:spacing w:after="0" w:line="265"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Risks that animals in DD’s facilities may be infected with diseases that may be harmful and even lethal to themselves and humans despite preventive measures contained in DD's business policies, including those for the quarantine and handling of imported animals; and</w:t>
      </w:r>
    </w:p>
    <w:p>
      <w:pPr>
        <w:ind w:left="260" w:right="100" w:hanging="252"/>
        <w:spacing w:after="0" w:line="260"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Errors and omissions during a trial or study that may undermine the usefulness of a trial or study, or data from the trial or study or that may delay the entry of a drug to the market.</w:t>
      </w:r>
    </w:p>
    <w:p>
      <w:pPr>
        <w:spacing w:after="0" w:line="50" w:lineRule="exact"/>
        <w:rPr>
          <w:rFonts w:ascii="Arial" w:cs="Arial" w:eastAsia="Arial" w:hAnsi="Arial"/>
          <w:sz w:val="18"/>
          <w:szCs w:val="18"/>
          <w:color w:val="auto"/>
        </w:rPr>
      </w:pPr>
    </w:p>
    <w:p>
      <w:pPr>
        <w:jc w:val="both"/>
        <w:ind w:firstLine="243"/>
        <w:spacing w:after="0" w:line="263" w:lineRule="auto"/>
        <w:rPr>
          <w:rFonts w:ascii="Arial" w:cs="Arial" w:eastAsia="Arial" w:hAnsi="Arial"/>
          <w:sz w:val="18"/>
          <w:szCs w:val="18"/>
          <w:color w:val="auto"/>
        </w:rPr>
      </w:pPr>
      <w:r>
        <w:rPr>
          <w:rFonts w:ascii="Arial" w:cs="Arial" w:eastAsia="Arial" w:hAnsi="Arial"/>
          <w:sz w:val="18"/>
          <w:szCs w:val="18"/>
          <w:color w:val="auto"/>
        </w:rPr>
        <w:t>DD contracts with physicians, also referred to as investigators, to conduct the clinical trials to test new drugs on clinical trial subjects. These tests can create a risk of liability for personal injury or death to clinical trial subjects resulting from negative reactions to the drugs administered or from professional malpractice by third party investigators.</w:t>
      </w:r>
    </w:p>
    <w:p>
      <w:pPr>
        <w:spacing w:after="0" w:line="10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While DD endeavors to include in its contracts provisions entitling it to be indemnified and entitling it to a limitation of liability, these provisions are not always successfully obtained and, even if obtained, do not uniformly protect DD against liability arising from certain of its own actions. DD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DD is not successful in limiting its liability or in the event that the damages and costs exceed DD's insurance coverage. DD may also be required to agree to contract provisions with clinical trial sites or its customers related to the conduct of clinical trials, and DD could be materially and adversely affected if it were required to indemnify a site or customer against claims pursuant to such contract terms. There can be no assurance that DD will be able to maintain sufficient insurance coverage on acceptable terms.</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Company's corporate headquarters are located in Burlington, North Carolina, and include facilities that are both owned and leased.</w:t>
      </w:r>
    </w:p>
    <w:p>
      <w:pPr>
        <w:spacing w:after="0" w:line="131"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6"/>
          <w:szCs w:val="16"/>
          <w:color w:val="auto"/>
        </w:rPr>
        <w:t>Labcorp Diagnostics (Dx) operates through a network of patient service centers, branches, rapid response laboratories, primary laboratories, and specialty laboratories. The table below summarizes certain information as to Dx's principal operating and administrative facilities as of December 31, 2020.</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000" w:type="dxa"/>
            <w:vAlign w:val="bottom"/>
            <w:gridSpan w:val="2"/>
          </w:tcPr>
          <w:p>
            <w:pPr>
              <w:spacing w:after="0"/>
              <w:rPr>
                <w:sz w:val="20"/>
                <w:szCs w:val="20"/>
                <w:color w:val="auto"/>
              </w:rPr>
            </w:pPr>
            <w:r>
              <w:rPr>
                <w:rFonts w:ascii="Arial" w:cs="Arial" w:eastAsia="Arial" w:hAnsi="Arial"/>
                <w:sz w:val="18"/>
                <w:szCs w:val="18"/>
                <w:color w:val="auto"/>
              </w:rPr>
              <w:t>Birmingham, Alabama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Phoenix, Arizona</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Los Angeles,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Monrovia,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San Diego,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San Francisco,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Shelton, Connecticut</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Tampa, Florida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Westborough, Massachusetts</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St. Paul, Minnesota</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Raritan, New Jersey</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Burlington, North Carolina (5)</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Research Triangle Park, North Carolina (3)</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Dublin, Ohio</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Brentwood, Tennessee</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Dallas, Texas</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Houston, Texas</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Herndon, Virginia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Seattle, Washington</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Spokane, Washington (3)</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Labcorp Drug Development (DD) operates on a global scale. The table below summarizes certain information as to DD's principal operating and administrative facilities as of December 31, 2020.</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 Occupancy</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Primary Facilities:</w:t>
            </w:r>
          </w:p>
        </w:tc>
        <w:tc>
          <w:tcPr>
            <w:tcW w:w="2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90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Mechelen, Belgium</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Beijing, China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Shanghai, China (2)</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Muenster, Germany</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Pune, India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Bangalore, India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Geneva, Switzerland</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Eye,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Harrogate,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Huntingdon,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Leeds,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Maidenhead,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Shardlow,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York, United Kingdom</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San Francisco, California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Daytona Beach, Florida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Greenfield, Indiana</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Indianapolis, Indiana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Gaithersburg, Maryland</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Ann Arbor, Michigan</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Minneapolis, Minnesota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Princeton, New Jersey</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Somerset, New Jersey</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Dallas, Texas</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9"/>
        </w:trPr>
        <w:tc>
          <w:tcPr>
            <w:tcW w:w="9000" w:type="dxa"/>
            <w:vAlign w:val="bottom"/>
            <w:gridSpan w:val="2"/>
          </w:tcPr>
          <w:p>
            <w:pPr>
              <w:spacing w:after="0"/>
              <w:rPr>
                <w:sz w:val="20"/>
                <w:szCs w:val="20"/>
                <w:color w:val="auto"/>
              </w:rPr>
            </w:pPr>
            <w:r>
              <w:rPr>
                <w:rFonts w:ascii="Arial" w:cs="Arial" w:eastAsia="Arial" w:hAnsi="Arial"/>
                <w:sz w:val="18"/>
                <w:szCs w:val="18"/>
                <w:color w:val="auto"/>
              </w:rPr>
              <w:t>Chantilly, Virginia</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Madison, Wisconsin</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All of the Company’s primary laboratory and drug development facilities have been built or improved for the purpose of providing commercial laboratory testing or drug development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2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16 Commitments and Contingencies to the Consolidated Financial Statements.</w:t>
      </w:r>
    </w:p>
    <w:p>
      <w:pPr>
        <w:spacing w:after="0" w:line="3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ind w:left="94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35"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Company's common stock, par value $0.10 per share, or Common Stock, trades on the New York Stock Exchange or NYSE under the symbol “LH.”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February 24, 2021, there were approximately 1,398 holders of record of the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35"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The transfer agent for the Company's Common Stock is American Stock Transfer &amp; Trust Company, Shareholder Services, 6201 Fifteenth Avenue, Brooklyn, NY 11219, telephone: 800-937-5449, website: www.amstock.com.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Company has not historically paid dividends on its Common Stock and does not presently anticipate paying any dividends on its Common Stock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w:t>
      </w:r>
    </w:p>
    <w:p>
      <w:pPr>
        <w:spacing w:after="0" w:line="148"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graph below shows the cumulative total return assuming an investment of $100 on December 31, 2015, in each of the Company’s common stock, the Standard &amp; Poor’s, or S&amp;P Composite-500 Stock Index and the S&amp;P 500 Health Care Index, or Peer Group, and assuming that all dividends were reinvested.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40" w:type="dxa"/>
            <w:vAlign w:val="bottom"/>
            <w:gridSpan w:val="10"/>
          </w:tcPr>
          <w:p>
            <w:pPr>
              <w:ind w:left="380"/>
              <w:spacing w:after="0"/>
              <w:rPr>
                <w:sz w:val="20"/>
                <w:szCs w:val="20"/>
                <w:color w:val="auto"/>
              </w:rPr>
            </w:pPr>
            <w:r>
              <w:rPr>
                <w:rFonts w:ascii="Arial" w:cs="Arial" w:eastAsia="Arial" w:hAnsi="Arial"/>
                <w:sz w:val="18"/>
                <w:szCs w:val="18"/>
                <w:b w:val="1"/>
                <w:bCs w:val="1"/>
                <w:color w:val="auto"/>
              </w:rPr>
              <w:t>Comparison of Cumulative Total Return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80"/>
        </w:trPr>
        <w:tc>
          <w:tcPr>
            <w:tcW w:w="70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12/2015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12/2016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12/2017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12/2018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12/2019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12/2020</w:t>
            </w: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Laboratory Corporation of America Holdings</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164.63</w:t>
            </w:r>
          </w:p>
        </w:tc>
      </w:tr>
      <w:tr>
        <w:trPr>
          <w:trHeight w:val="230"/>
        </w:trPr>
        <w:tc>
          <w:tcPr>
            <w:tcW w:w="700" w:type="dxa"/>
            <w:vAlign w:val="bottom"/>
          </w:tcPr>
          <w:p>
            <w:pPr>
              <w:ind w:left="20"/>
              <w:spacing w:after="0"/>
              <w:rPr>
                <w:sz w:val="20"/>
                <w:szCs w:val="20"/>
                <w:color w:val="auto"/>
              </w:rPr>
            </w:pPr>
            <w:r>
              <w:rPr>
                <w:rFonts w:ascii="Arial" w:cs="Arial" w:eastAsia="Arial" w:hAnsi="Arial"/>
                <w:sz w:val="18"/>
                <w:szCs w:val="18"/>
                <w:color w:val="auto"/>
                <w:w w:val="92"/>
              </w:rPr>
              <w:t>S&amp;P 500</w:t>
            </w:r>
          </w:p>
        </w:tc>
        <w:tc>
          <w:tcPr>
            <w:tcW w:w="2980" w:type="dxa"/>
            <w:vAlign w:val="bottom"/>
          </w:tcPr>
          <w:p>
            <w:pPr>
              <w:ind w:left="20"/>
              <w:spacing w:after="0"/>
              <w:rPr>
                <w:sz w:val="20"/>
                <w:szCs w:val="20"/>
                <w:color w:val="auto"/>
              </w:rPr>
            </w:pPr>
            <w:r>
              <w:rPr>
                <w:rFonts w:ascii="Arial" w:cs="Arial" w:eastAsia="Arial" w:hAnsi="Arial"/>
                <w:sz w:val="18"/>
                <w:szCs w:val="18"/>
                <w:color w:val="auto"/>
              </w:rPr>
              <w:t>Index</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130.42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171.49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203.04</w:t>
            </w:r>
          </w:p>
        </w:tc>
      </w:tr>
      <w:tr>
        <w:trPr>
          <w:trHeight w:val="230"/>
        </w:trPr>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S&amp;P 500</w:t>
            </w:r>
          </w:p>
        </w:tc>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Index</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137160</wp:posOffset>
            </wp:positionV>
            <wp:extent cx="5254625" cy="3188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54625" cy="31889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(all amounts in millions, except per share amounts)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sets forth information with respect to purchases of shares of the Company’s Common Stock made during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by or on behalf of the Company: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7"/>
                <w:szCs w:val="1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Average Price</w:t>
            </w:r>
          </w:p>
        </w:tc>
        <w:tc>
          <w:tcPr>
            <w:tcW w:w="2980" w:type="dxa"/>
            <w:vAlign w:val="bottom"/>
            <w:gridSpan w:val="3"/>
          </w:tcPr>
          <w:p>
            <w:pPr>
              <w:jc w:val="center"/>
              <w:ind w:right="110"/>
              <w:spacing w:after="0"/>
              <w:rPr>
                <w:sz w:val="20"/>
                <w:szCs w:val="20"/>
                <w:color w:val="auto"/>
              </w:rPr>
            </w:pPr>
            <w:r>
              <w:rPr>
                <w:rFonts w:ascii="Arial" w:cs="Arial" w:eastAsia="Arial" w:hAnsi="Arial"/>
                <w:sz w:val="18"/>
                <w:szCs w:val="18"/>
                <w:color w:val="auto"/>
                <w:w w:val="89"/>
              </w:rPr>
              <w:t>Total Number of Shares Repurchased</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91"/>
              </w:rPr>
              <w:t>Maximum Dollar Value of Shares that</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4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980" w:type="dxa"/>
            <w:vAlign w:val="bottom"/>
            <w:gridSpan w:val="3"/>
          </w:tcPr>
          <w:p>
            <w:pPr>
              <w:jc w:val="center"/>
              <w:ind w:right="130"/>
              <w:spacing w:after="0" w:line="176" w:lineRule="exact"/>
              <w:rPr>
                <w:sz w:val="20"/>
                <w:szCs w:val="20"/>
                <w:color w:val="auto"/>
              </w:rPr>
            </w:pPr>
            <w:r>
              <w:rPr>
                <w:rFonts w:ascii="Arial" w:cs="Arial" w:eastAsia="Arial" w:hAnsi="Arial"/>
                <w:sz w:val="18"/>
                <w:szCs w:val="18"/>
                <w:color w:val="auto"/>
                <w:w w:val="91"/>
              </w:rPr>
              <w:t>as Part of Publicly Announced</w:t>
            </w:r>
          </w:p>
        </w:tc>
        <w:tc>
          <w:tcPr>
            <w:tcW w:w="2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May Yet Be Repurchased Under the</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Repurchased</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Paid Per Share</w:t>
            </w:r>
          </w:p>
        </w:tc>
        <w:tc>
          <w:tcPr>
            <w:tcW w:w="2980" w:type="dxa"/>
            <w:vAlign w:val="bottom"/>
            <w:gridSpan w:val="3"/>
          </w:tcPr>
          <w:p>
            <w:pPr>
              <w:jc w:val="center"/>
              <w:ind w:right="110"/>
              <w:spacing w:after="0"/>
              <w:rPr>
                <w:sz w:val="20"/>
                <w:szCs w:val="20"/>
                <w:color w:val="auto"/>
              </w:rPr>
            </w:pPr>
            <w:r>
              <w:rPr>
                <w:rFonts w:ascii="Arial" w:cs="Arial" w:eastAsia="Arial" w:hAnsi="Arial"/>
                <w:sz w:val="18"/>
                <w:szCs w:val="18"/>
                <w:color w:val="auto"/>
                <w:w w:val="89"/>
              </w:rPr>
              <w:t>Program</w:t>
            </w:r>
          </w:p>
        </w:tc>
        <w:tc>
          <w:tcPr>
            <w:tcW w:w="2860" w:type="dxa"/>
            <w:vAlign w:val="bottom"/>
          </w:tcPr>
          <w:p>
            <w:pPr>
              <w:jc w:val="center"/>
              <w:ind w:right="3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2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October 31</w:t>
            </w:r>
          </w:p>
        </w:tc>
        <w:tc>
          <w:tcPr>
            <w:tcW w:w="13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November 1 - November 30</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980" w:type="dxa"/>
            <w:vAlign w:val="bottom"/>
            <w:gridSpan w:val="3"/>
          </w:tcPr>
          <w:p>
            <w:pPr>
              <w:ind w:left="2520"/>
              <w:spacing w:after="0"/>
              <w:rPr>
                <w:sz w:val="20"/>
                <w:szCs w:val="20"/>
                <w:color w:val="auto"/>
              </w:rPr>
            </w:pPr>
            <w:r>
              <w:rPr>
                <w:rFonts w:ascii="Arial" w:cs="Arial" w:eastAsia="Arial" w:hAnsi="Arial"/>
                <w:sz w:val="18"/>
                <w:szCs w:val="18"/>
                <w:color w:val="auto"/>
              </w:rPr>
              <w:t>—</w:t>
            </w:r>
          </w:p>
        </w:tc>
        <w:tc>
          <w:tcPr>
            <w:tcW w:w="286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4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980" w:type="dxa"/>
            <w:vAlign w:val="bottom"/>
            <w:gridSpan w:val="3"/>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7"/>
        </w:trPr>
        <w:tc>
          <w:tcPr>
            <w:tcW w:w="258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760" w:type="dxa"/>
            <w:vAlign w:val="bottom"/>
            <w:tcBorders>
              <w:top w:val="single" w:sz="8" w:color="auto"/>
            </w:tcBorders>
          </w:tcPr>
          <w:p>
            <w:pPr>
              <w:ind w:left="2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At the end of 2019, the Company had outstanding authorization from the board of directors to purchase $900.0 of Company common stock. During three months ended March 31, 2020, the Company purchased 0.6 shares of its common stock at an average price of $178.85 for a total cost of $100.0. When the Company repurchases shares, the amount paid to repurchase the shares in excess of the par or stated value is allocated to additional paid-in-capital unless subject to limitation or the balance in additional paid-in-capital is exhausted. Remaining amounts are recognized as a reduction in retained earnings. The Company reinstated its share repurchase program in October 2020 following the temporary suspension of stock repurchases beginning in March 2020 as a result of the anticipated impact of the COVID-19 pandemic. At the end of 2020, the Company had outstanding authorization from the board of directors to purchase up to $800.0 of the Company's common stock. The repurchase authorization has no expiration date.</w:t>
      </w:r>
    </w:p>
    <w:p>
      <w:pPr>
        <w:spacing w:after="0" w:line="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(in millions, except per share amounts)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ind w:left="300" w:right="120" w:hanging="282"/>
        <w:spacing w:after="0" w:line="390" w:lineRule="auto"/>
        <w:rPr>
          <w:sz w:val="20"/>
          <w:szCs w:val="20"/>
          <w:color w:val="auto"/>
        </w:rPr>
      </w:pPr>
      <w:r>
        <w:rPr>
          <w:rFonts w:ascii="Arial" w:cs="Arial" w:eastAsia="Arial" w:hAnsi="Arial"/>
          <w:sz w:val="18"/>
          <w:szCs w:val="18"/>
          <w:b w:val="1"/>
          <w:bCs w:val="1"/>
          <w:color w:val="auto"/>
        </w:rPr>
        <w:t>Item 7.</w:t>
      </w:r>
      <w:r>
        <w:rPr>
          <w:sz w:val="20"/>
          <w:szCs w:val="20"/>
          <w:color w:val="auto"/>
        </w:rPr>
        <w:t xml:space="preserve"> </w:t>
      </w:r>
      <w:r>
        <w:rPr>
          <w:rFonts w:ascii="Arial" w:cs="Arial" w:eastAsia="Arial" w:hAnsi="Arial"/>
          <w:sz w:val="18"/>
          <w:szCs w:val="18"/>
          <w:b w:val="1"/>
          <w:bCs w:val="1"/>
          <w:color w:val="auto"/>
        </w:rPr>
        <w:t>MANAGEMENT'S DISCUSSION AND ANALYSIS OF FINANCIAL CONDITION AND RESULTS OF OPERATIONS (in millions) General</w:t>
      </w:r>
    </w:p>
    <w:p>
      <w:pPr>
        <w:spacing w:after="0" w:line="1"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During the year ended December 31, 2020, the Company's revenues grew by 21.0%, due to organic growth of 19.0%, acquisitions of 1.8% and favorable foreign currency translation of 0.4%, partially offset by the disposition of a business of 0.2%. The 19.0% increase in organic revenues includes the 24.1% contribution from PCR and antibody COVID-19 testing (COVID-19 Testing), partially offset by the 5.1% reduction in the Company's organic Base Business due to the pandemic. Base Business includes the Company's business operations except for COVID-19 Testing. The decline in the organic Base Business includes the negative impact of the U.S. Protecting Access to Medicare Act of 2014 (PAMA) of 0.6%.</w:t>
      </w:r>
    </w:p>
    <w:p>
      <w:pPr>
        <w:spacing w:after="0" w:line="8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defines organic growth as the increase in revenue excluding revenue from acquisitions for the first twelve months after the close of each acquisition.</w:t>
      </w:r>
    </w:p>
    <w:p>
      <w:pPr>
        <w:spacing w:after="0" w:line="7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March 2020, COVID-19 was declared a pandemic. COVID-19 has had and continues to have an extensive impact on the global health and economic environments. Given the continued unpredictability of the COVID-19 pandemic and the corresponding government restrictions and customer behavior, there are a wide-range of feasible financial results for 2021. Throughout 2020, the Company's COVID-19 Testing has helped to offset the pressure experienced in the Base Business. To date, the Company has performed more than 18 million PCR and 3.0 million antibody COVID-19 tests and as of February 25, 2021, has the capacity to perform 275,000 PCR and 300,000 antibody tests per day, subject to the availability of equipment and testing supplies and key personnel.</w:t>
      </w:r>
    </w:p>
    <w:p>
      <w:pPr>
        <w:spacing w:after="0" w:line="11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During 2020, the Company recorded goodwill and other asset impairment charges of $462.1, $450.5 within DD and $11.6 within Dx, as a result of the COVID-19 pandemic. The Company concluded that the fair value was less than carrying value for two of its reporting units and recorded goodwill impairment of $418.7 and $3.7 for DD and Dx, respectively. Additional impairment of identifiable intangible and tangible assets of $31.5 and $7.9 was recorded for DD and Dx, respectively, for impairment of a tradename, software, customer relationships, technology assets, and a note receivable.</w:t>
      </w:r>
    </w:p>
    <w:p>
      <w:pPr>
        <w:spacing w:after="0" w:line="77"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7"/>
          <w:szCs w:val="17"/>
          <w:color w:val="auto"/>
        </w:rPr>
        <w:t>There remains significant uncertainty regarding the duration and severity of the pandemic and its impact on the Company’s business, results of operations and financial position for 2021. For more information regarding the risks associated with COVID-19 and its impact on the Company’s business, see Risk Factors in Part I - Item 1A. The Company expects Phase II of Dx’s LaunchPad initiative to deliver approximately $200.0 in net savings by the end of 2021, while incurring approximately $40.0 in one-time implementation costs. Approximately one-third of the total savings are expected to be realized in 2021, and one-third of the total savings have been realized in each of 2019 and 2020.</w:t>
      </w:r>
    </w:p>
    <w:p>
      <w:pPr>
        <w:spacing w:after="0" w:line="79" w:lineRule="exact"/>
        <w:rPr>
          <w:sz w:val="20"/>
          <w:szCs w:val="20"/>
          <w:color w:val="auto"/>
        </w:rPr>
      </w:pPr>
    </w:p>
    <w:p>
      <w:pPr>
        <w:jc w:val="both"/>
        <w:ind w:right="20" w:firstLine="283"/>
        <w:spacing w:after="0" w:line="261" w:lineRule="auto"/>
        <w:rPr>
          <w:sz w:val="20"/>
          <w:szCs w:val="20"/>
          <w:color w:val="auto"/>
        </w:rPr>
      </w:pPr>
      <w:r>
        <w:rPr>
          <w:rFonts w:ascii="Arial" w:cs="Arial" w:eastAsia="Arial" w:hAnsi="Arial"/>
          <w:sz w:val="18"/>
          <w:szCs w:val="18"/>
          <w:color w:val="auto"/>
        </w:rPr>
        <w:t>PAMA, which went into effect on January 1, 2018, resulted in a net reduction of revenue of approximately $72.0 and $107.0 in 2020 and 2019, respectively from all payers affected by the Clinical Lab Fee Schedule.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12529"/>
        </w:rPr>
        <w:t xml:space="preserve">The following tables present the financial measures that management considers to be the most significant indicators of the Company's performance. For discussion of 2019 results and comparison with 2018 results refer to </w:t>
      </w:r>
      <w:r>
        <w:rPr>
          <w:rFonts w:ascii="Arial" w:cs="Arial" w:eastAsia="Arial" w:hAnsi="Arial"/>
          <w:sz w:val="18"/>
          <w:szCs w:val="18"/>
          <w:color w:val="000000"/>
        </w:rPr>
        <w:t>“</w:t>
      </w:r>
      <w:r>
        <w:rPr>
          <w:rFonts w:ascii="Arial" w:cs="Arial" w:eastAsia="Arial" w:hAnsi="Arial"/>
          <w:sz w:val="18"/>
          <w:szCs w:val="18"/>
          <w:color w:val="212529"/>
        </w:rPr>
        <w:t>Management's Discussion and Analysis of Financial Conditions and Results of Operations</w:t>
      </w:r>
      <w:r>
        <w:rPr>
          <w:rFonts w:ascii="Arial" w:cs="Arial" w:eastAsia="Arial" w:hAnsi="Arial"/>
          <w:sz w:val="18"/>
          <w:szCs w:val="18"/>
          <w:color w:val="000000"/>
        </w:rPr>
        <w:t>”</w:t>
      </w:r>
      <w:r>
        <w:rPr>
          <w:rFonts w:ascii="Arial" w:cs="Arial" w:eastAsia="Arial" w:hAnsi="Arial"/>
          <w:sz w:val="18"/>
          <w:szCs w:val="18"/>
          <w:color w:val="212529"/>
        </w:rPr>
        <w:t xml:space="preserve"> in the Company's Annual Report on Form 10-K for the fiscal year ended December 31, 2019.</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Years ended December 31, 2020 and 2019</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84"/>
        </w:trPr>
        <w:tc>
          <w:tcPr>
            <w:tcW w:w="740" w:type="dxa"/>
            <w:vAlign w:val="bottom"/>
            <w:tcBorders>
              <w:top w:val="single" w:sz="8" w:color="auto"/>
            </w:tcBorders>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Years Ended December 31,</w:t>
            </w:r>
          </w:p>
        </w:tc>
        <w:tc>
          <w:tcPr>
            <w:tcW w:w="1340" w:type="dxa"/>
            <w:vAlign w:val="bottom"/>
          </w:tcPr>
          <w:p>
            <w:pPr>
              <w:spacing w:after="0"/>
              <w:rPr>
                <w:sz w:val="24"/>
                <w:szCs w:val="24"/>
                <w:color w:val="auto"/>
              </w:rPr>
            </w:pPr>
          </w:p>
        </w:tc>
      </w:tr>
      <w:tr>
        <w:trPr>
          <w:trHeight w:val="237"/>
        </w:trPr>
        <w:tc>
          <w:tcPr>
            <w:tcW w:w="740" w:type="dxa"/>
            <w:vAlign w:val="bottom"/>
            <w:tcBorders>
              <w:bottom w:val="single" w:sz="8" w:color="CCEEFF"/>
            </w:tcBorders>
          </w:tcPr>
          <w:p>
            <w:pPr>
              <w:spacing w:after="0"/>
              <w:rPr>
                <w:sz w:val="20"/>
                <w:szCs w:val="20"/>
                <w:color w:val="auto"/>
              </w:rPr>
            </w:pPr>
          </w:p>
        </w:tc>
        <w:tc>
          <w:tcPr>
            <w:tcW w:w="6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r>
      <w:tr>
        <w:trPr>
          <w:trHeight w:val="22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DD</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4,578.1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7"/>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Intercompany eliminations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552.1 %</w:t>
            </w:r>
          </w:p>
        </w:tc>
      </w:tr>
      <w:tr>
        <w:trPr>
          <w:trHeight w:val="229"/>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21.0 %</w:t>
            </w:r>
          </w:p>
        </w:tc>
      </w:tr>
      <w:tr>
        <w:trPr>
          <w:trHeight w:val="21"/>
        </w:trPr>
        <w:tc>
          <w:tcPr>
            <w:tcW w:w="7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The 21.0% increase in revenues for the year ended December 31, 2020, as compared with the corresponding period in 2019 was primarily due to organic growth of 19.0%, acquisitions of 1.8% and favorable foreign currency translation of 0.4%, partially offset by the disposition of a business of 0.2%. The 19.0% increase in organic revenues includes the 24.1% contribution from COVID-19 Testing, partially offset by the 5.1% reduction in the Company's organic Base Business, which the Company believes was due to the pandemic. The decline in the organic Base Business includes the negative impact of PAMA of 0.6%.</w:t>
      </w:r>
    </w:p>
    <w:p>
      <w:pPr>
        <w:spacing w:after="0" w:line="107"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Dx revenues for the year ended December 31, 2020, were $9,253.4, an increase of 32.2% over revenues of $7,000.1 in the corresponding period in 2019. The increase in revenues was due to organic growth of 30.9% and acquisitions of 1.3%. The 30.9% increase in organic revenue was due to a 39.8% contribution from COVID-19 Testing, partially offset by an 8.9% decline of the organic Base Business which includes a 1.0% negative impact from PAMA.</w:t>
      </w:r>
    </w:p>
    <w:p>
      <w:pPr>
        <w:spacing w:after="0" w:line="92"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Total volume, measured by requisitions, increased by 7.8% as organic volume increased by 6.5% and acquisition volume contributed growth of 1.3%. The organic volume growth is due to demand for COVID-19 Testing of 21.2%, partially offset by a 14.7% reduction of organic Base Business. Price/mix increased by 24.4% due to COVID-19 Testing of 18.6% and Base Business of 5.8%. The Base Business price includes the negative impact from PAMA of 1.0%.</w:t>
      </w:r>
    </w:p>
    <w:p>
      <w:pPr>
        <w:spacing w:after="0" w:line="106" w:lineRule="exact"/>
        <w:rPr>
          <w:sz w:val="20"/>
          <w:szCs w:val="20"/>
          <w:color w:val="auto"/>
        </w:rPr>
      </w:pPr>
    </w:p>
    <w:p>
      <w:pPr>
        <w:jc w:val="both"/>
        <w:ind w:firstLine="291"/>
        <w:spacing w:after="0" w:line="255" w:lineRule="auto"/>
        <w:tabs>
          <w:tab w:leader="none" w:pos="6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for the year ended December 31, 2020, were $4,877.7, an increase of 6.5% over revenues of $4,578.1 in the corresponding period in 2019. The increase in revenues was due to the benefit of acquisitions of 2.6%, favorable foreign currency translation of 0.9% and organic growth of 3.5%, partially offset by a business disposition of 0.5%. The increase in organic revenue was primarily driven by COVID-19 PCR testing through its Central Laboratories unit along with broad based demand including COVID-19 vaccine and therapeutic work, partially offset by the negative impact from the pandemic. The pandemic continues to cause delays in clinical trial progression and associated testing, reductions in investigator site access, as well as interruptions to the supply chain.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78"/>
        </w:trPr>
        <w:tc>
          <w:tcPr>
            <w:tcW w:w="1320" w:type="dxa"/>
            <w:vAlign w:val="bottom"/>
            <w:tcBorders>
              <w:top w:val="single" w:sz="8" w:color="auto"/>
            </w:tcBorders>
          </w:tcPr>
          <w:p>
            <w:pPr>
              <w:spacing w:after="0"/>
              <w:rPr>
                <w:sz w:val="24"/>
                <w:szCs w:val="24"/>
                <w:color w:val="auto"/>
              </w:rPr>
            </w:pPr>
          </w:p>
        </w:tc>
        <w:tc>
          <w:tcPr>
            <w:tcW w:w="5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Years Ended December 31,</w:t>
            </w:r>
          </w:p>
        </w:tc>
        <w:tc>
          <w:tcPr>
            <w:tcW w:w="1320" w:type="dxa"/>
            <w:vAlign w:val="bottom"/>
          </w:tcPr>
          <w:p>
            <w:pPr>
              <w:spacing w:after="0"/>
              <w:rPr>
                <w:sz w:val="24"/>
                <w:szCs w:val="24"/>
                <w:color w:val="auto"/>
              </w:rPr>
            </w:pPr>
          </w:p>
        </w:tc>
      </w:tr>
      <w:tr>
        <w:trPr>
          <w:trHeight w:val="237"/>
        </w:trPr>
        <w:tc>
          <w:tcPr>
            <w:tcW w:w="1320" w:type="dxa"/>
            <w:vAlign w:val="bottom"/>
            <w:tcBorders>
              <w:bottom w:val="single" w:sz="8" w:color="CCEEFF"/>
            </w:tcBorders>
          </w:tcPr>
          <w:p>
            <w:pPr>
              <w:spacing w:after="0"/>
              <w:rPr>
                <w:sz w:val="20"/>
                <w:szCs w:val="20"/>
                <w:color w:val="auto"/>
              </w:rPr>
            </w:pPr>
          </w:p>
        </w:tc>
        <w:tc>
          <w:tcPr>
            <w:tcW w:w="56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r>
      <w:tr>
        <w:trPr>
          <w:trHeight w:val="203"/>
        </w:trPr>
        <w:tc>
          <w:tcPr>
            <w:tcW w:w="132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9,025.7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8,302.3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6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revenues as a % of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Cost of revenues (primarily laboratory, labor and distribution costs) increased 8.7% in 2020 as compared with 2019 primarily due to organic growth and acquisitions. Cost of revenues as a percentage of revenues decreased to 64.6% in 2020 as compared to 71.9% in 2019. This decrease was primarily due to the impact of COVID-19 Testing on revenues and LaunchPad savings, partially offset by PAMA and higher personnel costs (primarily driven by merit increases and one additional payroll day that predominantly impacted Dx).</w:t>
      </w:r>
    </w:p>
    <w:p>
      <w:pPr>
        <w:spacing w:after="0" w:line="10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During 2020, the Company incurred special charges of $1.9 of acquisition and divestiture related costs, $36.5 in COVID-related costs, and $1.1 related to miscellaneous other items. Additionally, the Company recorded COVID-19 related accounts receivable reserves of $17.0, which are recorded as a reduction of revenues. Excluding these charges, cost of revenues as a percentage of revenues were 64.2%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Labor and testing supplies for the year ended December 31, 2020, comprise approximately 73.0% of the Company’s cost of revenues. Cost of revenues has increased over the two-year period ended December 31, 2020, primarily due to the impact of acquisitions, overall growth in the Company's volume, including COVID-19 Testing, and increases in merit-based labor costs.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4"/>
        </w:trPr>
        <w:tc>
          <w:tcPr>
            <w:tcW w:w="354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1320" w:type="dxa"/>
            <w:vAlign w:val="bottom"/>
          </w:tcPr>
          <w:p>
            <w:pPr>
              <w:spacing w:after="0"/>
              <w:rPr>
                <w:sz w:val="24"/>
                <w:szCs w:val="24"/>
                <w:color w:val="auto"/>
              </w:rPr>
            </w:pPr>
          </w:p>
        </w:tc>
      </w:tr>
      <w:tr>
        <w:trPr>
          <w:trHeight w:val="236"/>
        </w:trPr>
        <w:tc>
          <w:tcPr>
            <w:tcW w:w="354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SG&amp;A as a % of revenues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17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Selling, general and administrative expenses as a percentage of revenues decreased to 12.4% in 2020 compared to 14.1% in 2019. The decrease in selling, general and administrative expenses as a percentage of revenues is primarily due to the contribution of COVID-19 Testing on revenues and less acquisition activity.</w:t>
      </w:r>
    </w:p>
    <w:p>
      <w:pPr>
        <w:spacing w:after="0" w:line="10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During 2020, the Company incurred special charges of $28.3 of acquisition and divestiture related costs, $10.4 in COVID-related costs, $14.6 in management transition costs, and $1.3 of non-capitalized costs associated with the implementation of a major system as part of its LaunchPad business process improvement initiative, partially offset by $2.7 related to miscellaneous other items. These items increased selling, general and administrative expenses by $51.9. Excluding these charges, selling, general and administrative expenses as a percentage of revenues were 12.0% for the year ended December 31, 2020. The decrease in selling, general and administrative expenses as a percentage of revenues is primarily due to leveraging the Company's infrastructure on higher revenue, partially offset by a $15.0 initial contribution to establish the Labcorp Charitable Foundation which supports the Company's strategic mission to improve health and improve lives with contributions focused on health and welfare, education and community.</w:t>
      </w:r>
    </w:p>
    <w:p>
      <w:pPr>
        <w:spacing w:after="0" w:line="7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During 2019, the Company incurred special charges of $69.2 of acquisition and divestiture related costs, $15.2 in management transition costs, and $10.1 of non-capitalized costs associated with the implementation of a major system as part of its LaunchPad business process improvement initiative, partially offset by $11.7 in other miscellaneous items. These items increased selling, general and administrative expenses by $82.9. Excluding these charges, selling, general and administrative expenses as a percentage of revenues were 13.3% for the year ended December 31, 2019.</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Goodwill and Other Asset Impairments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84"/>
        </w:trPr>
        <w:tc>
          <w:tcPr>
            <w:tcW w:w="304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Years Ended December 31,</w:t>
            </w:r>
          </w:p>
        </w:tc>
        <w:tc>
          <w:tcPr>
            <w:tcW w:w="1180" w:type="dxa"/>
            <w:vAlign w:val="bottom"/>
          </w:tcPr>
          <w:p>
            <w:pPr>
              <w:spacing w:after="0"/>
              <w:rPr>
                <w:sz w:val="24"/>
                <w:szCs w:val="24"/>
                <w:color w:val="auto"/>
              </w:rPr>
            </w:pPr>
          </w:p>
        </w:tc>
      </w:tr>
      <w:tr>
        <w:trPr>
          <w:trHeight w:val="236"/>
        </w:trPr>
        <w:tc>
          <w:tcPr>
            <w:tcW w:w="3040" w:type="dxa"/>
            <w:vAlign w:val="bottom"/>
            <w:tcBorders>
              <w:bottom w:val="single" w:sz="8" w:color="CCEEFF"/>
            </w:tcBorders>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r>
      <w:tr>
        <w:trPr>
          <w:trHeight w:val="23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2020, the Company recorded goodwill and other asset impairment charges of $462.1, $450.5 within DD and $11.6 within Dx. The Company concluded that the fair value was less than carrying value for two of its reporting units and recorded goodwill impairment of $418.7 and $3.7 for DD and Dx, respectively. Additional impairment of identifiable intangible and tangible assets of $31.8 and $7.9 was recorded for DD and Dx, respectively, for impairment of a tradename, software, customer relationships, technology assets and a note receivable.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Amortization Expense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84"/>
        </w:trPr>
        <w:tc>
          <w:tcPr>
            <w:tcW w:w="1720" w:type="dxa"/>
            <w:vAlign w:val="bottom"/>
            <w:tcBorders>
              <w:top w:val="single" w:sz="8" w:color="auto"/>
            </w:tcBorders>
          </w:tcPr>
          <w:p>
            <w:pPr>
              <w:spacing w:after="0"/>
              <w:rPr>
                <w:sz w:val="24"/>
                <w:szCs w:val="24"/>
                <w:color w:val="auto"/>
              </w:rPr>
            </w:pPr>
          </w:p>
        </w:tc>
        <w:tc>
          <w:tcPr>
            <w:tcW w:w="5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Years Ended December 31,</w:t>
            </w:r>
          </w:p>
        </w:tc>
        <w:tc>
          <w:tcPr>
            <w:tcW w:w="1340" w:type="dxa"/>
            <w:vAlign w:val="bottom"/>
          </w:tcPr>
          <w:p>
            <w:pPr>
              <w:spacing w:after="0"/>
              <w:rPr>
                <w:sz w:val="24"/>
                <w:szCs w:val="24"/>
                <w:color w:val="auto"/>
              </w:rPr>
            </w:pPr>
          </w:p>
        </w:tc>
      </w:tr>
      <w:tr>
        <w:trPr>
          <w:trHeight w:val="237"/>
        </w:trPr>
        <w:tc>
          <w:tcPr>
            <w:tcW w:w="1720" w:type="dxa"/>
            <w:vAlign w:val="bottom"/>
            <w:tcBorders>
              <w:bottom w:val="single" w:sz="8" w:color="CCEEFF"/>
            </w:tcBorders>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r>
      <w:tr>
        <w:trPr>
          <w:trHeight w:val="23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6"/>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DD</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20.8 %</w:t>
            </w:r>
          </w:p>
        </w:tc>
      </w:tr>
      <w:tr>
        <w:trPr>
          <w:trHeight w:val="255"/>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increase in amortization of intangibles and other assets from 2019 through 2020 primarily reflects the impact of acquisitions partially offset by impairment of intangible assets recorded in fiscal 2020, and includes $27.5 of amortization acceleration of certain intangible assets related to the Covance trade name as a result of the Company's rebranding initiative.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 Charges</w:t>
      </w:r>
    </w:p>
    <w:p>
      <w:pPr>
        <w:spacing w:after="0" w:line="148"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16973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97355" cy="17145"/>
                    </a:xfrm>
                    <a:prstGeom prst="rect">
                      <a:avLst/>
                    </a:prstGeom>
                    <a:noFill/>
                  </pic:spPr>
                </pic:pic>
              </a:graphicData>
            </a:graphic>
          </wp:anchor>
        </w:drawing>
      </w:r>
    </w:p>
    <w:p>
      <w:pPr>
        <w:spacing w:after="0" w:line="30" w:lineRule="exact"/>
        <w:rPr>
          <w:sz w:val="20"/>
          <w:szCs w:val="20"/>
          <w:color w:val="auto"/>
        </w:rPr>
      </w:pPr>
    </w:p>
    <w:p>
      <w:pPr>
        <w:ind w:left="7600"/>
        <w:spacing w:after="0"/>
        <w:tabs>
          <w:tab w:leader="none" w:pos="8920" w:val="left"/>
          <w:tab w:leader="none" w:pos="102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160" w:val="left"/>
          <w:tab w:leader="none" w:pos="7980" w:val="left"/>
          <w:tab w:leader="none" w:pos="8500" w:val="left"/>
          <w:tab w:leader="none" w:pos="9320" w:val="left"/>
          <w:tab w:leader="none" w:pos="10580" w:val="left"/>
        </w:tabs>
        <w:rPr>
          <w:sz w:val="20"/>
          <w:szCs w:val="20"/>
          <w:color w:val="auto"/>
        </w:rPr>
      </w:pPr>
      <w:r>
        <w:rPr>
          <w:rFonts w:ascii="Arial" w:cs="Arial" w:eastAsia="Arial" w:hAnsi="Arial"/>
          <w:sz w:val="18"/>
          <w:szCs w:val="18"/>
          <w:color w:val="auto"/>
        </w:rPr>
        <w:t>Restructuring and other charges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40.6</w:t>
        <w:tab/>
        <w:t>$</w:t>
      </w:r>
      <w:r>
        <w:rPr>
          <w:sz w:val="20"/>
          <w:szCs w:val="20"/>
          <w:color w:val="auto"/>
        </w:rPr>
        <w:tab/>
      </w:r>
      <w:r>
        <w:rPr>
          <w:rFonts w:ascii="Arial" w:cs="Arial" w:eastAsia="Arial" w:hAnsi="Arial"/>
          <w:sz w:val="18"/>
          <w:szCs w:val="18"/>
          <w:color w:val="auto"/>
        </w:rPr>
        <w:t>54.6</w:t>
      </w:r>
      <w:r>
        <w:rPr>
          <w:sz w:val="20"/>
          <w:szCs w:val="20"/>
          <w:color w:val="auto"/>
        </w:rPr>
        <w:tab/>
      </w:r>
      <w:r>
        <w:rPr>
          <w:rFonts w:ascii="Arial" w:cs="Arial" w:eastAsia="Arial" w:hAnsi="Arial"/>
          <w:sz w:val="17"/>
          <w:szCs w:val="17"/>
          <w:color w:val="auto"/>
        </w:rPr>
        <w:t>(25.6)%</w:t>
      </w:r>
    </w:p>
    <w:p>
      <w:pPr>
        <w:spacing w:after="0" w:line="212" w:lineRule="exact"/>
        <w:rPr>
          <w:sz w:val="20"/>
          <w:szCs w:val="20"/>
          <w:color w:val="auto"/>
        </w:rPr>
      </w:pPr>
    </w:p>
    <w:p>
      <w:pPr>
        <w:jc w:val="both"/>
        <w:ind w:firstLine="211"/>
        <w:spacing w:after="0" w:line="277" w:lineRule="auto"/>
        <w:rPr>
          <w:sz w:val="20"/>
          <w:szCs w:val="20"/>
          <w:color w:val="auto"/>
        </w:rPr>
      </w:pPr>
      <w:r>
        <w:rPr>
          <w:rFonts w:ascii="Arial" w:cs="Arial" w:eastAsia="Arial" w:hAnsi="Arial"/>
          <w:sz w:val="18"/>
          <w:szCs w:val="18"/>
          <w:color w:val="auto"/>
        </w:rPr>
        <w:t>During 2020, the Company recorded net restructuring charges of $40.6; $15.3 within Dx and $25.3 within DD. The charges were comprised of $14.1 in severance and other personnel costs $17.4 for facility, operating lease right-of-use and equipment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impairments, and $18.9 in facility closures and general integration activities. The charges were offset by the reversal of previously established liability of $0.6 and $9.2 in unused severance costs and facility-related costs, respectively.</w:t>
      </w:r>
    </w:p>
    <w:p>
      <w:pPr>
        <w:spacing w:after="0" w:line="7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2019, the Company recorded net restructuring charges of $54.6; $26.7 within Dx and $27.9 within DD. The charges were comprised of $32.9 in severance and other personnel costs and $24.9 in facility-related costs primarily associated with general integration activities. The charges were offset by the reversal of previously established liability of $1.7 in unused severance and $1.5 in unused facility-related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35"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16370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30" w:lineRule="exact"/>
        <w:rPr>
          <w:sz w:val="20"/>
          <w:szCs w:val="20"/>
          <w:color w:val="auto"/>
        </w:rPr>
      </w:pPr>
    </w:p>
    <w:p>
      <w:pPr>
        <w:ind w:left="7620"/>
        <w:spacing w:after="0"/>
        <w:tabs>
          <w:tab w:leader="none" w:pos="8940" w:val="left"/>
          <w:tab w:leader="none" w:pos="1024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180" w:val="left"/>
          <w:tab w:leader="none" w:pos="7920" w:val="left"/>
          <w:tab w:leader="none" w:pos="8520" w:val="left"/>
          <w:tab w:leader="none" w:pos="9260" w:val="left"/>
          <w:tab w:leader="none" w:pos="1056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207.4</w:t>
        <w:tab/>
        <w:t>$</w:t>
      </w:r>
      <w:r>
        <w:rPr>
          <w:sz w:val="20"/>
          <w:szCs w:val="20"/>
          <w:color w:val="auto"/>
        </w:rPr>
        <w:tab/>
      </w:r>
      <w:r>
        <w:rPr>
          <w:rFonts w:ascii="Arial" w:cs="Arial" w:eastAsia="Arial" w:hAnsi="Arial"/>
          <w:sz w:val="18"/>
          <w:szCs w:val="18"/>
          <w:color w:val="auto"/>
        </w:rPr>
        <w:t>240.7</w:t>
      </w:r>
      <w:r>
        <w:rPr>
          <w:sz w:val="20"/>
          <w:szCs w:val="20"/>
          <w:color w:val="auto"/>
        </w:rPr>
        <w:tab/>
      </w:r>
      <w:r>
        <w:rPr>
          <w:rFonts w:ascii="Arial" w:cs="Arial" w:eastAsia="Arial" w:hAnsi="Arial"/>
          <w:sz w:val="17"/>
          <w:szCs w:val="17"/>
          <w:color w:val="auto"/>
        </w:rPr>
        <w:t>(13.8)%</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decrease in interest expense for 2020 as compared with the corresponding period in 2019 is primarily due to the repayment of debt and lower interest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Method Income, Net</w:t>
      </w:r>
    </w:p>
    <w:p>
      <w:pPr>
        <w:spacing w:after="0" w:line="14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16459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30" w:lineRule="exact"/>
        <w:rPr>
          <w:sz w:val="20"/>
          <w:szCs w:val="20"/>
          <w:color w:val="auto"/>
        </w:rPr>
      </w:pPr>
    </w:p>
    <w:p>
      <w:pPr>
        <w:ind w:left="7680"/>
        <w:spacing w:after="0"/>
        <w:tabs>
          <w:tab w:leader="none" w:pos="8940" w:val="left"/>
          <w:tab w:leader="none" w:pos="102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60" w:val="left"/>
          <w:tab w:leader="none" w:pos="8120" w:val="left"/>
          <w:tab w:leader="none" w:pos="8560" w:val="left"/>
          <w:tab w:leader="none" w:pos="9420" w:val="left"/>
          <w:tab w:leader="none" w:pos="10560" w:val="left"/>
        </w:tabs>
        <w:rPr>
          <w:sz w:val="20"/>
          <w:szCs w:val="20"/>
          <w:color w:val="auto"/>
        </w:rPr>
      </w:pPr>
      <w:r>
        <w:rPr>
          <w:rFonts w:ascii="Arial" w:cs="Arial" w:eastAsia="Arial" w:hAnsi="Arial"/>
          <w:sz w:val="18"/>
          <w:szCs w:val="18"/>
          <w:color w:val="auto"/>
        </w:rPr>
        <w:t>Equity method income,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w:t>
        <w:tab/>
        <w:t>$</w:t>
      </w:r>
      <w:r>
        <w:rPr>
          <w:sz w:val="20"/>
          <w:szCs w:val="20"/>
          <w:color w:val="auto"/>
        </w:rPr>
        <w:tab/>
      </w:r>
      <w:r>
        <w:rPr>
          <w:rFonts w:ascii="Arial" w:cs="Arial" w:eastAsia="Arial" w:hAnsi="Arial"/>
          <w:sz w:val="18"/>
          <w:szCs w:val="18"/>
          <w:color w:val="auto"/>
        </w:rPr>
        <w:t>9.8</w:t>
      </w:r>
      <w:r>
        <w:rPr>
          <w:sz w:val="20"/>
          <w:szCs w:val="20"/>
          <w:color w:val="auto"/>
        </w:rPr>
        <w:tab/>
      </w:r>
      <w:r>
        <w:rPr>
          <w:rFonts w:ascii="Arial" w:cs="Arial" w:eastAsia="Arial" w:hAnsi="Arial"/>
          <w:sz w:val="16"/>
          <w:szCs w:val="16"/>
          <w:color w:val="auto"/>
        </w:rPr>
        <w:t>(70.4)%</w:t>
      </w:r>
    </w:p>
    <w:p>
      <w:pPr>
        <w:spacing w:after="0" w:line="212"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Equity method income, net represents the Company's ownership share in joint venture partnerships along with equity investments in other companies in the healthcare industry. All of these partnerships and investments reside within the Dx segment. The decrease in income for 2020 as compared with the corresponding period in 2019 was primarily due to the impairment of an equity method investment and the decreased profitability of the Company's joint ventures.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Net</w:t>
      </w:r>
    </w:p>
    <w:p>
      <w:pPr>
        <w:spacing w:after="0" w:line="148"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16459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30" w:lineRule="exact"/>
        <w:rPr>
          <w:sz w:val="20"/>
          <w:szCs w:val="20"/>
          <w:color w:val="auto"/>
        </w:rPr>
      </w:pPr>
    </w:p>
    <w:p>
      <w:pPr>
        <w:ind w:left="7680"/>
        <w:spacing w:after="0"/>
        <w:tabs>
          <w:tab w:leader="none" w:pos="8940" w:val="left"/>
          <w:tab w:leader="none" w:pos="102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260" w:val="left"/>
          <w:tab w:leader="none" w:pos="7960" w:val="left"/>
          <w:tab w:leader="none" w:pos="8560" w:val="left"/>
          <w:tab w:leader="none" w:pos="9340" w:val="left"/>
          <w:tab w:leader="none" w:pos="10460" w:val="left"/>
        </w:tabs>
        <w:rPr>
          <w:sz w:val="20"/>
          <w:szCs w:val="20"/>
          <w:color w:val="auto"/>
        </w:rPr>
      </w:pPr>
      <w:r>
        <w:rPr>
          <w:rFonts w:ascii="Arial" w:cs="Arial" w:eastAsia="Arial" w:hAnsi="Arial"/>
          <w:sz w:val="18"/>
          <w:szCs w:val="18"/>
          <w:color w:val="auto"/>
        </w:rPr>
        <w:t>Other,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(32.1)</w:t>
        <w:tab/>
        <w:t>$</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(903.1)%</w:t>
      </w:r>
    </w:p>
    <w:p>
      <w:pPr>
        <w:spacing w:after="0" w:line="198"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change in Other, net for the year ended December 31, 2020, as compared to the year ended December 31, 2019, was primarily due to an increase in the write-off or write down of certain of the Company's investments due to the negative impact of the COVID-19 global pandemic partially offset by lower foreign currency transaction losses. Foreign currency transaction losses of $10.1 and $11.1 were recognized for the years ended December 31, 2020 and 2019, respectively.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4"/>
        </w:trPr>
        <w:tc>
          <w:tcPr>
            <w:tcW w:w="1600" w:type="dxa"/>
            <w:vAlign w:val="bottom"/>
            <w:tcBorders>
              <w:top w:val="single" w:sz="8" w:color="auto"/>
            </w:tcBorders>
          </w:tcPr>
          <w:p>
            <w:pPr>
              <w:spacing w:after="0"/>
              <w:rPr>
                <w:sz w:val="24"/>
                <w:szCs w:val="24"/>
                <w:color w:val="auto"/>
              </w:rPr>
            </w:pPr>
          </w:p>
        </w:tc>
        <w:tc>
          <w:tcPr>
            <w:tcW w:w="5720" w:type="dxa"/>
            <w:vAlign w:val="bottom"/>
          </w:tcPr>
          <w:p>
            <w:pPr>
              <w:spacing w:after="0"/>
              <w:rPr>
                <w:sz w:val="24"/>
                <w:szCs w:val="24"/>
                <w:color w:val="auto"/>
              </w:rPr>
            </w:pPr>
          </w:p>
        </w:tc>
        <w:tc>
          <w:tcPr>
            <w:tcW w:w="31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Years Ended December 31,</w:t>
            </w:r>
          </w:p>
        </w:tc>
        <w:tc>
          <w:tcPr>
            <w:tcW w:w="700" w:type="dxa"/>
            <w:vAlign w:val="bottom"/>
            <w:tcBorders>
              <w:bottom w:val="single" w:sz="8" w:color="auto"/>
            </w:tcBorders>
          </w:tcPr>
          <w:p>
            <w:pPr>
              <w:spacing w:after="0"/>
              <w:rPr>
                <w:sz w:val="24"/>
                <w:szCs w:val="24"/>
                <w:color w:val="auto"/>
              </w:rPr>
            </w:pPr>
          </w:p>
        </w:tc>
      </w:tr>
      <w:tr>
        <w:trPr>
          <w:trHeight w:val="237"/>
        </w:trPr>
        <w:tc>
          <w:tcPr>
            <w:tcW w:w="1600" w:type="dxa"/>
            <w:vAlign w:val="bottom"/>
            <w:tcBorders>
              <w:bottom w:val="single" w:sz="8" w:color="CCEEFF"/>
            </w:tcBorders>
          </w:tcPr>
          <w:p>
            <w:pPr>
              <w:spacing w:after="0"/>
              <w:rPr>
                <w:sz w:val="20"/>
                <w:szCs w:val="20"/>
                <w:color w:val="auto"/>
              </w:rPr>
            </w:pPr>
          </w:p>
        </w:tc>
        <w:tc>
          <w:tcPr>
            <w:tcW w:w="57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700" w:type="dxa"/>
            <w:vAlign w:val="bottom"/>
            <w:tcBorders>
              <w:bottom w:val="single" w:sz="8" w:color="auto"/>
            </w:tcBorders>
          </w:tcPr>
          <w:p>
            <w:pPr>
              <w:spacing w:after="0"/>
              <w:rPr>
                <w:sz w:val="20"/>
                <w:szCs w:val="20"/>
                <w:color w:val="auto"/>
              </w:rPr>
            </w:pPr>
          </w:p>
        </w:tc>
      </w:tr>
      <w:tr>
        <w:trPr>
          <w:trHeight w:val="22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280.0</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Income tax expense as a % of income before tax</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25.3 %</w:t>
            </w:r>
          </w:p>
        </w:tc>
      </w:tr>
    </w:tbl>
    <w:p>
      <w:pPr>
        <w:spacing w:after="0" w:line="17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 2020, the Company's effective tax rate of 29.8% was unfavorable as compared to 2019 due to impairment charges which were not deductible and or generated tax assets which require a valuation allowance, and the geographic mix of earnings.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considers substantially all of its foreign earnings to be permanently reinvested overseas.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Segment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1340" w:type="dxa"/>
            <w:vAlign w:val="bottom"/>
          </w:tcPr>
          <w:p>
            <w:pPr>
              <w:spacing w:after="0"/>
              <w:rPr>
                <w:sz w:val="20"/>
                <w:szCs w:val="20"/>
                <w:color w:val="auto"/>
              </w:rPr>
            </w:pPr>
          </w:p>
        </w:tc>
      </w:tr>
      <w:tr>
        <w:trPr>
          <w:trHeight w:val="236"/>
        </w:trPr>
        <w:tc>
          <w:tcPr>
            <w:tcW w:w="69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Change</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142.6 %</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Dx operating margin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DD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DD operating margin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1,330.2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83.8 %</w:t>
            </w:r>
          </w:p>
        </w:tc>
      </w:tr>
      <w:tr>
        <w:trPr>
          <w:trHeight w:val="21"/>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Dx operating income was $2,634.9 for the year ended December 31, 2020, an increase of 142.6% over operating income of $1,086.0 in the corresponding period of 2019 and an increase of 1,300 basis points in operating margin year-over-year. The increase in operating income and margin were primarily due to the increase in COVID-19 Testing and LaunchPad savings, partially offset by a reduction in Base Business (primarily due to the pandemic), higher personnel costs and PAMA. The Company remains on track to deliver approximately $200.0 of net savings from its three-year, Phase II of Dx’s LaunchPad initiative by the end of 2021.</w:t>
      </w:r>
    </w:p>
    <w:p>
      <w:pPr>
        <w:spacing w:after="0" w:line="80" w:lineRule="exact"/>
        <w:rPr>
          <w:sz w:val="20"/>
          <w:szCs w:val="20"/>
          <w:color w:val="auto"/>
        </w:rPr>
      </w:pPr>
    </w:p>
    <w:p>
      <w:pPr>
        <w:jc w:val="both"/>
        <w:ind w:firstLine="291"/>
        <w:spacing w:after="0" w:line="257" w:lineRule="auto"/>
        <w:tabs>
          <w:tab w:leader="none" w:pos="6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income was $37.3 for the year ended December 31, 2020, a decrease of 90.9% from operating income of $411.5 in the corresponding period of 2019 and a decrease of 820 basis points in operating margin year-over-year. The decrease in operating income and margin were primarily due to the negative impact of COVID-19, specifically goodwill and other asset impairment of $450.5, and higher personnel costs, partially offset by organic demand, acquisitions, and LaunchPad savings. The Company achieved its goal to deliver $150.0 of net savings from its three-year DD LaunchPad initiative by the end of 2020.</w:t>
      </w:r>
    </w:p>
    <w:p>
      <w:pPr>
        <w:spacing w:after="0" w:line="93" w:lineRule="exact"/>
        <w:rPr>
          <w:sz w:val="20"/>
          <w:szCs w:val="20"/>
          <w:color w:val="auto"/>
        </w:rPr>
      </w:pPr>
    </w:p>
    <w:p>
      <w:pPr>
        <w:jc w:val="both"/>
        <w:ind w:firstLine="283"/>
        <w:spacing w:after="0" w:line="279" w:lineRule="auto"/>
        <w:rPr>
          <w:sz w:val="20"/>
          <w:szCs w:val="20"/>
          <w:color w:val="auto"/>
        </w:rPr>
      </w:pPr>
      <w:r>
        <w:rPr>
          <w:rFonts w:ascii="Arial" w:cs="Arial" w:eastAsia="Arial" w:hAnsi="Arial"/>
          <w:sz w:val="17"/>
          <w:szCs w:val="17"/>
          <w:color w:val="auto"/>
        </w:rPr>
        <w:t>General corporate expenses are comprised primarily of administrative services such as executive management, human resources, legal, finance, corporate affairs, and information technology. Corporate expenses were $226.8 for the year ended December 31, 2020, an increase of 35.6% over corporate expenses of $167.3 in the corresponding period of 2019. The increase in corporate expenses in 2020 is primarily due to higher personnel costs, including executive transition costs, COVID-19 related expenses and funding of the Labcorp Charitable Foundation.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35"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12 Debt to the Company's Consolidated Financial Statements.</w:t>
      </w:r>
    </w:p>
    <w:p>
      <w:pPr>
        <w:spacing w:after="0" w:line="8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Management’s discussion and analysis of cash flows for the year ended December 31, 2019 compared to the year ended December 31, 2018 may be found in the “Management’s Discussion and Analysis of Financial Condition and Results of Operations, Liquidity, Capital Resources and Financial Position” section of the Company's Annual Report on Form 10-K for the fiscal year ended December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In summary the Company's cash flows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7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gridSpan w:val="7"/>
          </w:tcPr>
          <w:p>
            <w:pPr>
              <w:jc w:val="right"/>
              <w:ind w:right="710"/>
              <w:spacing w:after="0"/>
              <w:rPr>
                <w:sz w:val="20"/>
                <w:szCs w:val="20"/>
                <w:color w:val="auto"/>
              </w:rPr>
            </w:pPr>
            <w:r>
              <w:rPr>
                <w:rFonts w:ascii="Arial" w:cs="Arial" w:eastAsia="Arial" w:hAnsi="Arial"/>
                <w:sz w:val="18"/>
                <w:szCs w:val="18"/>
                <w:color w:val="auto"/>
              </w:rPr>
              <w:t>For the Year Ended December 31,</w:t>
            </w:r>
          </w:p>
        </w:tc>
      </w:tr>
      <w:tr>
        <w:trPr>
          <w:trHeight w:val="236"/>
        </w:trPr>
        <w:tc>
          <w:tcPr>
            <w:tcW w:w="7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1,305.4</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Net cash (used for) provided by investing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on changes in cash and cash equivalents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Cash and cash equivalents at December 31, 2020 and 2019 totaled $1,320.8 and $337.5, respectively. Cash and cash equivalents consist of highly liquid instruments, such as time deposits and other money market investments, which have original maturities of three months or less.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1" w:lineRule="exact"/>
        <w:rPr>
          <w:sz w:val="20"/>
          <w:szCs w:val="20"/>
          <w:color w:val="auto"/>
        </w:rPr>
      </w:pPr>
    </w:p>
    <w:p>
      <w:pPr>
        <w:jc w:val="both"/>
        <w:ind w:firstLine="283"/>
        <w:spacing w:after="0" w:line="296" w:lineRule="auto"/>
        <w:rPr>
          <w:sz w:val="20"/>
          <w:szCs w:val="20"/>
          <w:color w:val="auto"/>
        </w:rPr>
      </w:pPr>
      <w:r>
        <w:rPr>
          <w:rFonts w:ascii="Arial" w:cs="Arial" w:eastAsia="Arial" w:hAnsi="Arial"/>
          <w:sz w:val="16"/>
          <w:szCs w:val="16"/>
          <w:color w:val="auto"/>
        </w:rPr>
        <w:t>During the year ended December 31, 2020, the Company's operations provided $2,135.3 of cash as compared to $1,444.7 in 2019. The $690.6 increase in cash provided from operations in 2020 as compared with the corresponding 2019 period was primarily due to higher cash earnings, partially offset by increased working capital to support growth. Working capital increased primarily due to the increase in accounts receivable and supplies inventory as a result of the revenue growth, offset by increases in income tax payable as a result of a significant increase in taxable income during the fourth quarter and an increase in accrued payroll tax balances due to the deferral of 2020 U.S. payroll taxes as part of the CARES Act stimulus.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used by investing activities for the year ended December 31, 2020 was $643.2 as compared to net cash used by investing activities of $1,283.1 for the year ended December 31, 2019. The $639.9 decrease in net cash used by investing activities for the year ended December 31, 2020, was primarily due to a year over year decrease of $608.4 in cash paid for acquisitions. The Company had proceeds of $7.7 from the sale of assets and disposition of businesses during 2019 in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comparison to $42.1 during 2020. Capital expenditures were $381.7 and $400.2 for the years ended December 31, 2020 and 2019, respectively. Capital expenditures in 2020 were 2.7% of revenues, primarily in connection with projects to support growth in the Company's core businesses, projects related to LaunchPad, and further DD acquisition integration initiatives. The Company intends to continue to pursue acquisitions to drive growth, to make important investments in its business, including in information technology, and to improve efficiency and enable the execution of the Company's mission. Such expenditures are expected to be funded by cash flow from operations or, as needed, through borrowings under debt facilities, including the Company's revolving credit facility or any successor facility. The Company expects capital expenditures in 2021 to be approximately 4.0% of revenues, primarily in connection with projects to support growth in the Company's core businesses, facility updates, ongoing projects related to LaunchPad within the Dx business, LaunchPad's expansion within the DD business, and further acquisition integration initiatives.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4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used in financing activities for the year ended December 31, 2020 was $517.4 compared to cash used in financing activities of $252.7 for the year ended December 31, 2019. This movement in cash within financing activities for 2020, as compared to 2019, was primarily a result of $412.2 net financing payments and $100.0 in share repurchases in 2020 compared to $198.5 in net financing receipts more than offset by $450.0 in share repurchases in 2019.</w:t>
      </w:r>
    </w:p>
    <w:p>
      <w:pPr>
        <w:spacing w:after="0" w:line="9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August 17, 2020 the Company redeemed the remaining $412.2 of its 4.625% Senior Notes due November 15, 2020, using available cash on hand. The Company exited the remaining fixed-to-variable interest rate swap agreement in August 2020, in connection with this redemption and recorded a gain of $1.6 on the extinguishment. The gain was included in Other, net on the Consolidated Statement of Operations.</w:t>
      </w:r>
    </w:p>
    <w:p>
      <w:pPr>
        <w:spacing w:after="0" w:line="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June 3, 2019, the Company entered into a new $850.0 term loan facility in addition to the $577.0 balance then outstanding on its existing $750.0 2017 term loan facility. The 2019 term loan facility will mature on June 3, 2021. Proceeds of the 2019 term loan facility were used for general corporate purposes, including to repay approximately $250.0 of the 2017 term loan facility and in connection with the acquisition of Envigo's nonclinical research services business.</w:t>
      </w:r>
    </w:p>
    <w:p>
      <w:pPr>
        <w:spacing w:after="0" w:line="10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November 25, 2019, the Company issued $1,050.0 in debt securities, consisting of $400.0 aggregate principal amount of 2.300% Senior Notes due 2024 and $650.0 aggregate principal amount of 2.950% Senior Notes due 2029. The net proceeds from the new Senior Notes were used to redeem all of the outstanding $500.0 principal amount of its 2.625% Senior Notes due February 1, 2020, redeem $187.9 of the outstanding 4.625% Senior Notes due November 15, 2020, and to repay $348.3 outstanding under the 2017 term loan credit facility.</w:t>
      </w:r>
    </w:p>
    <w:p>
      <w:pPr>
        <w:spacing w:after="0" w:line="9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total, during 2019, the Company redeemed or repaid $687.9 million of its Senior Notes and $1,002.0 million of its term loans. In addition, the Company borrowed and repaid a total of $495.0 million of debt through its revolving credit facility within 2019 and $151.7 within 2020.</w:t>
      </w:r>
    </w:p>
    <w:p>
      <w:pPr>
        <w:spacing w:after="0" w:line="52" w:lineRule="exact"/>
        <w:rPr>
          <w:sz w:val="20"/>
          <w:szCs w:val="20"/>
          <w:color w:val="auto"/>
        </w:rPr>
      </w:pPr>
    </w:p>
    <w:p>
      <w:pPr>
        <w:ind w:right="240" w:firstLine="243"/>
        <w:spacing w:after="0" w:line="261" w:lineRule="auto"/>
        <w:rPr>
          <w:sz w:val="20"/>
          <w:szCs w:val="20"/>
          <w:color w:val="auto"/>
        </w:rPr>
      </w:pPr>
      <w:r>
        <w:rPr>
          <w:rFonts w:ascii="Arial" w:cs="Arial" w:eastAsia="Arial" w:hAnsi="Arial"/>
          <w:sz w:val="18"/>
          <w:szCs w:val="18"/>
          <w:color w:val="auto"/>
        </w:rPr>
        <w:t>The Company continues to evaluate its outstanding debt portfolio to take advantage of market conditions that would allow the Company to reduce its interest rate or financing risk and provide a lower long-term borrowing cost.</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revolving credit facility consists of a five year revolving facility in the principal amount of up to $1,000.0 with the option of increasing the facility by up to an additional $350.0, subject to the agreement of one or more new or existing lenders to provide such additional amounts and certain other customary conditions.</w:t>
      </w:r>
    </w:p>
    <w:p>
      <w:pPr>
        <w:spacing w:after="0" w:line="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Company's term loan credit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term loan credit facility and the revolving credit facility at December 31, 2020. In May 2020, in order to obtain increased financial covenant flexibility, the Company and its lenders entered into amendments to the term loan facility and the revolving credit facility to increase the maximum leverage ratio to 5.0x debt to last twelve months EBITDA for the three month periods ending June 30, September 30 and December 31, 2020, and 4.5x for the period ended March 31, 2021. From and including the period ending June 30, 2021, the maximum leverage ratio reverts back to 4.0x. The amendments also provide that during any period in which the Company's leverage ratio exceeds 4.5x debt to last twelve months EBITDA (i) the Company will be prohibited from consummating share repurchases, subject to limited exceptions, (ii) borrowings under the revolving credit facility will accrue interest at a per annum rate equal to, at the Company's election, either a LIBOR rate plus a margin of 1.25% or a base rate plus a margin of 0.25%, (iii) the facility fee that the Company is required to pay on the aggregate commitments under the revolving credit facility will be 0.25% per annum, and (iv) borrowings under the term loan facility will accrue interest at a per annum rate equal to, at the Company's election, either a LIBOR rate plus a margin of 1.175% or a base rate plus a margin of 0.175%. The Company's leverage ratio did not exceed 4.5x debt to last twelve months EBITDA as of December 31, 2020.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the end of 2019, the Company had outstanding authorization from the board of directors to purchase up to $900.0 of Company common stock. During 2020, the Company repurchased 0.6 shares of its common stock at an average price of $178.85 for a total cost of $100.0. At the end of 2020, the Company had outstanding authorization from the board of directors to purchase $800.0 of Company common stock. The repurchase authorization has no expiration date.</w:t>
      </w:r>
    </w:p>
    <w:p>
      <w:pPr>
        <w:spacing w:after="0" w:line="106"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During 2019, the Company settled notices to convert $8.6 aggregate principal amount at maturity of its zero-coupon subordinated notes due 2021 (the zero-coupon notes) with a conversion value of $16.6. The total cash used for these settlements was $8.2 and the Company also issued 0.1 additional shares of common stock. As a result of these conversions in 2019, the Company also reversed approximately $2.0 of deferred tax liability to reflect the tax benefit realized upon issuance of the shares. On December 19, 2019, the Company redeemed any remaining outstanding zero-coupon notes that did not convert.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Company’s investment grade debt ratings from Moody’s and BBB from Standard &amp; Poor's (S&amp;P) contribute to its ability to access capital markets.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Contractual Cash Obligations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29"/>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6"/>
          </w:tcPr>
          <w:p>
            <w:pPr>
              <w:jc w:val="center"/>
              <w:ind w:right="50"/>
              <w:spacing w:after="0"/>
              <w:rPr>
                <w:sz w:val="20"/>
                <w:szCs w:val="20"/>
                <w:color w:val="auto"/>
              </w:rPr>
            </w:pPr>
            <w:r>
              <w:rPr>
                <w:rFonts w:ascii="Arial" w:cs="Arial" w:eastAsia="Arial" w:hAnsi="Arial"/>
                <w:sz w:val="18"/>
                <w:szCs w:val="18"/>
                <w:color w:val="auto"/>
                <w:w w:val="89"/>
              </w:rPr>
              <w:t>Payments Due by Period</w:t>
            </w:r>
          </w:p>
        </w:tc>
        <w:tc>
          <w:tcPr>
            <w:tcW w:w="1220" w:type="dxa"/>
            <w:vAlign w:val="bottom"/>
          </w:tcPr>
          <w:p>
            <w:pPr>
              <w:spacing w:after="0"/>
              <w:rPr>
                <w:sz w:val="19"/>
                <w:szCs w:val="19"/>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Short-term</w:t>
            </w:r>
          </w:p>
        </w:tc>
        <w:tc>
          <w:tcPr>
            <w:tcW w:w="2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Long-term</w:t>
            </w: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Contingent future licensing payments (a)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Scheduled interest payments on Senior Notes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Scheduled interest payments on Term Loan (d)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(e)</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17"/>
        </w:trPr>
        <w:tc>
          <w:tcPr>
            <w:tcW w:w="6740" w:type="dxa"/>
            <w:vAlign w:val="bottom"/>
          </w:tcPr>
          <w:p>
            <w:pPr>
              <w:ind w:left="20"/>
              <w:spacing w:after="0"/>
              <w:rPr>
                <w:sz w:val="20"/>
                <w:szCs w:val="20"/>
                <w:color w:val="auto"/>
              </w:rPr>
            </w:pPr>
            <w:r>
              <w:rPr>
                <w:rFonts w:ascii="Arial" w:cs="Arial" w:eastAsia="Arial" w:hAnsi="Arial"/>
                <w:sz w:val="18"/>
                <w:szCs w:val="18"/>
                <w:color w:val="auto"/>
              </w:rPr>
              <w:t>Total contractual cash obligations (b) (c)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3,634.6</w:t>
            </w: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hanging="332"/>
        <w:spacing w:after="0" w:line="277" w:lineRule="auto"/>
        <w:tabs>
          <w:tab w:leader="none" w:pos="3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Contingent future licensing payments will be made if certain events take place, such as the launch of a specific test, the transfer of certain technology, and the achievement of specified revenue milestones.</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table does not include obligations under the Company’s pension and postretirement benefit plans, which are included in Note 17 Pension and Postretirement Plans to Consolidated Financial Statements. Benefits under the Company's postretirement medical plan are paid when claims are submitted for payment, the timing of which is not practicable to estimate.</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table does not include the Company’s reserve for unrecognized tax benefits. The Company had a $57.1 and $37.2 reserve for unrecognized tax benefits, including interest and penalties, at December 31, 2020, and 2019, respectively, which is included in Note 14 Income Taxes to Consolidated Financial Statements.</w:t>
      </w:r>
    </w:p>
    <w:p>
      <w:pPr>
        <w:spacing w:after="0" w:line="75"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payments due by period for the Company's debt subject to variable interest rates are calculated based on rates in place as of December 31, 2020.</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amount of debt issuance costs included in the long-term debt balance.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Commitments</w:t>
      </w:r>
    </w:p>
    <w:p>
      <w:pPr>
        <w:spacing w:after="0" w:line="131"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As of December 31, 2020, the Company provided letters of credit aggregating approximately $77.4, primarily in connection with certain insurance program which are renewed annually.</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contractual value of the noncontrolling interest put in the Company's Ontario subsidiary totaled $16.2 and $15.8 at December 31, 2020, and 2019, respectively, and has been classified as mezzanine equity in the Company's consolidated balance sheet.</w:t>
      </w:r>
    </w:p>
    <w:p>
      <w:pPr>
        <w:spacing w:after="0" w:line="89"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Based on current and projected levels of cash flows from operations, coupled with availability under its revolving credit facility, the Company believes it has sufficient liquidity to meet both its anticipated short-term and long-term cash needs; however, the Company continually reassesses its liquidity position in light of market conditions and other relevant factors.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jc w:val="both"/>
        <w:ind w:firstLine="283"/>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Pension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Accruals for self-insurance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Goodwill and indefinite-lived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w:t>
      </w:r>
    </w:p>
    <w:p>
      <w:pPr>
        <w:spacing w:after="0" w:line="144"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Within the Dx segment, a revenue transaction is initiated when Dx receives a requisition order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Revenues are distributed among four payer portfolios - clients, patients, Medicare and Medicaid and third-party. Dx considers negotiated discounts and anticipated adjustments, including historical collection experience for the payer portfolio, when sales are recorded.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descriptions of the Dx payer portfolios: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w:t>
      </w:r>
    </w:p>
    <w:p>
      <w:pPr>
        <w:spacing w:after="0" w:line="13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Client payers represent the portion of Dx’s revenue related to physicians, hospitals, health systems, accountable care organizations (ACOs), employers and other entities where payment is received exclusively from the entity ordering the testing service. Generally, client revenues are recorded on a fee-for-service basis at Dx’s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w:t>
      </w:r>
    </w:p>
    <w:p>
      <w:pPr>
        <w:spacing w:after="0" w:line="144"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This portfolio includes revenue from uninsured patients and member cost-share for insured patients (e.g., coinsurance, deductibles and non-covered services). Uninsured patients are billed based upon Dx’s patient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w:t>
      </w:r>
    </w:p>
    <w:p>
      <w:pPr>
        <w:spacing w:after="0" w:line="13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Dx’s results of operations in any period presented</w:t>
      </w:r>
      <w:r>
        <w:rPr>
          <w:rFonts w:ascii="Arial" w:cs="Arial" w:eastAsia="Arial" w:hAnsi="Arial"/>
          <w:sz w:val="19"/>
          <w:szCs w:val="19"/>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w:t>
      </w:r>
    </w:p>
    <w:p>
      <w:pPr>
        <w:spacing w:after="0" w:line="13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Third-party includes revenue related to MCOs. The majority of Dx's third-party revenue is reimbursed on a fee-for-service basis. These payers are billed at Dx's established list price and revenue is recorded net of contractual discounts. The majority of Dx’s MCO revenues are recorded based upon contractually negotiated fee schedules with revenues for non-contracted MCOs recorded based on historical reimbursement experience.</w:t>
      </w:r>
    </w:p>
    <w:p>
      <w:pPr>
        <w:spacing w:after="0" w:line="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8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Dx has a formal process to estimate implicit price concessions for uncollectable accounts. The majority of Dx's collection risk is related to accounts receivable from both insured and uninsured patients who are unwilling or unable to pay. Anticipated write-offs are recorded as adjustments to revenue at an amount considered necessary to record the segment's revenue at its net realizable value. In addition to contractual discounts, other adjustments including anticipated payer denials and other external factors that could affect the collectability of its receivables are considered when determining revenue and the net receivable amount. Any remaining adjustments to revenue are recorded at the time of final collection and settlement. These adjustments are not material to Dx's results of operations in any period presented.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DD</w:t>
      </w:r>
    </w:p>
    <w:p>
      <w:pPr>
        <w:spacing w:after="0" w:line="1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nature of DD’s obligations includes agreements to provide preclinical services, to manage a full clinical trial, provide services for a specific phase of a trial, or provide research products to the customer. Generally, the amount of the transaction price estimated at the beginning of the contract is equal to the amount expected to be billed to the customer. Other payments may also factor into the calculation of transaction price, such as volume-based rebates that are retroactively applied to prior transactions in the period.</w:t>
      </w:r>
    </w:p>
    <w:p>
      <w:pPr>
        <w:spacing w:after="0" w:line="92" w:lineRule="exact"/>
        <w:rPr>
          <w:sz w:val="20"/>
          <w:szCs w:val="20"/>
          <w:color w:val="auto"/>
        </w:rPr>
      </w:pPr>
    </w:p>
    <w:p>
      <w:pPr>
        <w:jc w:val="both"/>
        <w:ind w:firstLine="283"/>
        <w:spacing w:after="0" w:line="301" w:lineRule="auto"/>
        <w:rPr>
          <w:sz w:val="20"/>
          <w:szCs w:val="20"/>
          <w:color w:val="auto"/>
        </w:rPr>
      </w:pPr>
      <w:r>
        <w:rPr>
          <w:rFonts w:ascii="Arial" w:cs="Arial" w:eastAsia="Arial" w:hAnsi="Arial"/>
          <w:sz w:val="16"/>
          <w:szCs w:val="16"/>
          <w:color w:val="auto"/>
        </w:rPr>
        <w:t>Historically a majority of DD's revenues have been earned under contracts that range in duration from a few months to a few years, but can extend in duration up to five years or longer. Occasionally, DD also has entered into minimum volume arrangements with certain customers. Under these types of arrangements, if the annual minimum dollar value of a service commitment is not reached, the customer is required to pay DD for the shortfall. Annual minimum commitment shortfalls are not recognized until the end of the period when the amount has been determined and agreed to by the customer.</w:t>
      </w:r>
    </w:p>
    <w:p>
      <w:pPr>
        <w:spacing w:after="0" w:line="76" w:lineRule="exact"/>
        <w:rPr>
          <w:sz w:val="20"/>
          <w:szCs w:val="20"/>
          <w:color w:val="auto"/>
        </w:rPr>
      </w:pPr>
    </w:p>
    <w:p>
      <w:pPr>
        <w:jc w:val="both"/>
        <w:ind w:firstLine="291"/>
        <w:spacing w:after="0" w:line="263" w:lineRule="auto"/>
        <w:tabs>
          <w:tab w:leader="none" w:pos="5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recognizes revenue either as services are performed or as products are delivered, depending on the nature of the work contracted. If performance is completed at a specific point in time, the Company evaluates the nature of the agreement to determine when the good or service is transferred into the customer’s control.</w:t>
      </w:r>
    </w:p>
    <w:p>
      <w:pPr>
        <w:spacing w:after="0" w:line="89"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8"/>
          <w:szCs w:val="18"/>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The total contract value, or total contractual payments, represents the aggregate contracted price for each of the agreed upon services to be provided. When using an input method, revenue is recognized by dividing the actual units of input incurred by the total units of input budgeted in the contract, and multiplying that percentage by the total contract value. In each situation, the Company believes that the methods used most accurately depict the progress of the Company towards completing its obligations.</w:t>
      </w:r>
    </w:p>
    <w:p>
      <w:pPr>
        <w:spacing w:after="0" w:line="9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Billing schedules and payment terms are generally negotiated on a contract-by-contract basis. In some cases, DD bills the customer for the total contract value in progress-based installments as certain non-contingent billing milestones are reached over the contract duration. These milestones include, but are not limited to, contract signing, initial dosing, investigator site initiation, patient enrollment and/or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w:t>
      </w:r>
    </w:p>
    <w:p>
      <w:pPr>
        <w:spacing w:after="0" w:line="9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Proportional performance contracts typically contain a single service (e.g., management of a clinical study) and therefore no allocation of the contract price is required. Fee-for-service contracts are typically priced based on transaction volume. Since the volume of activities in a fee-for-service contract is unspecified, the contract price is entirely variable and is allocated to the time period in which it is earned. For contracts that include multiple distinct goods and services, DD allocates the contract price to the goods and services based on a customer price list, if available. If a price list is not available, DD will estimate the transaction price using either market prices or an “expected cost plus margin” approach.</w:t>
      </w:r>
    </w:p>
    <w:p>
      <w:pPr>
        <w:spacing w:after="0" w:line="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While DD attempts to negotiate terms that provide for billing and payment of services prior or within close proximity to the provision of services, this is not always possible.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contract liabilities on the balance sheet. As the contracted services are subsequently performed and the associated revenue is recognized, the contract liability balance is reduced by the amount of revenue recognized during the period.</w:t>
      </w:r>
    </w:p>
    <w:p>
      <w:pPr>
        <w:spacing w:after="0" w:line="77" w:lineRule="exact"/>
        <w:rPr>
          <w:sz w:val="20"/>
          <w:szCs w:val="20"/>
          <w:color w:val="auto"/>
        </w:rPr>
      </w:pPr>
    </w:p>
    <w:p>
      <w:pPr>
        <w:jc w:val="both"/>
        <w:ind w:firstLine="283"/>
        <w:spacing w:after="0" w:line="279" w:lineRule="auto"/>
        <w:rPr>
          <w:sz w:val="20"/>
          <w:szCs w:val="20"/>
          <w:color w:val="auto"/>
        </w:rPr>
      </w:pPr>
      <w:r>
        <w:rPr>
          <w:rFonts w:ascii="Arial" w:cs="Arial" w:eastAsia="Arial" w:hAnsi="Arial"/>
          <w:sz w:val="17"/>
          <w:szCs w:val="17"/>
          <w:color w:val="auto"/>
        </w:rPr>
        <w:t>In other cases, services may be provided and revenue recognized before the customer is invoiced. In these cases, revenue recognized will exceed amounts billed, and the difference, representing a contract asset, is recorded for the amount that is currently not billable to the customer pursuant to contractual terms. Once the customer is invoiced, the contract asset is reduced for the amount billed, and a corresponding account receivable is recorded. All contract assets are billable to customers within one year from the respective balance sheet date.</w:t>
      </w:r>
    </w:p>
    <w:p>
      <w:pPr>
        <w:spacing w:after="0" w:line="90"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DD of expenses to wind down the study or project, fees earned to date and, in some cases, a termination fee or a payment to DD of some portion of the fees or profits that could have been earned by DD under the contract if it had not been terminated early. Termination fees are included in revenues when services are performed and realization is assured.</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are descriptions of the revenue recognition models of the drug development services provided by DD:</w:t>
      </w:r>
    </w:p>
    <w:p>
      <w:pPr>
        <w:spacing w:after="0" w:line="131"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Preclinical services include fee-for-service activities such as bioanalytical testing services, and proportional performance activities such as toxicology studies. Revenue for sale of research models is recognized at a point in time, typically upon shipment, when control transferred to the customer. Revenue for bioanalytical testing services is recognized at a point in time upon communication of results to the customer. Revenue for proportional performance activities, including toxicology studies, is recognized using an input-based measure of progress in which revenue is recognized as expenses are incurred for the research models, labor hours, and other costs attributable to the study.</w:t>
      </w:r>
    </w:p>
    <w:p>
      <w:pPr>
        <w:spacing w:after="0" w:line="107" w:lineRule="exact"/>
        <w:rPr>
          <w:sz w:val="20"/>
          <w:szCs w:val="20"/>
          <w:color w:val="auto"/>
        </w:rPr>
      </w:pPr>
    </w:p>
    <w:p>
      <w:pPr>
        <w:jc w:val="both"/>
        <w:ind w:firstLine="283"/>
        <w:spacing w:after="0" w:line="301" w:lineRule="auto"/>
        <w:rPr>
          <w:sz w:val="20"/>
          <w:szCs w:val="20"/>
          <w:color w:val="auto"/>
        </w:rPr>
      </w:pPr>
      <w:r>
        <w:rPr>
          <w:rFonts w:ascii="Arial" w:cs="Arial" w:eastAsia="Arial" w:hAnsi="Arial"/>
          <w:sz w:val="16"/>
          <w:szCs w:val="16"/>
          <w:color w:val="auto"/>
        </w:rPr>
        <w:t>Through its central laboratory, DD produces and supplies specimen collection kits that are utilized in clinical studies, and provides transportation, project management, data management, and laboratory testing services on an as-needed basis throughout the duration of its customers’ clinical studies. Revenue for central laboratory services is recognized using an output-based measure of progress based on volume of activities in each period. DD also provides long-term specimen storage services, for which revenue is recognized using an input-based measure of progress based on costs incurred.</w:t>
      </w:r>
    </w:p>
    <w:p>
      <w:pPr>
        <w:spacing w:after="0" w:line="63" w:lineRule="exact"/>
        <w:rPr>
          <w:sz w:val="20"/>
          <w:szCs w:val="20"/>
          <w:color w:val="auto"/>
        </w:rPr>
      </w:pPr>
    </w:p>
    <w:p>
      <w:pPr>
        <w:jc w:val="both"/>
        <w:ind w:firstLine="291"/>
        <w:spacing w:after="0" w:line="287" w:lineRule="auto"/>
        <w:tabs>
          <w:tab w:leader="none" w:pos="5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provides clinical development and commercialization services, including clinical pharmacology services, full management of Phase II through IV clinical studies, and market access solutions. Revenue for clinical pharmacology services, which includes first-in-human trials, is recognized using an output-based measure of progress based on bed nights. The majority of clinical development and commercialization service long-term contracts are service contracts for clinical research that represent a single performance obligation (e.g., management of a clinical study). Revenue for these service contracts is recognized over time based on the progress of the performance obligation which is measured by the proportion of the actual costs incurred to the total costs expected to complete the contract (including labor and pass-through costs such as investigator grants and reimbursable out-of-pocket expenses). This cost-based method of revenue recognition requires management to estimate the costs to complete these services on an ongoing basis. Clinical services utilizing the input-based measure of progress account for approximately 50% of DD revenue. Revenue for market access solutions is recognized using various methods. Revenue for fee-for-service arrangements, such as reimbursement consulting hotlines and patient assistance programs, is recognized using an output method based on transaction volume which corresponds to the amount charged to the customer. For consulting services billed based on time and materials, revenue is recognized using the right to invoice practical expedient.</w:t>
      </w:r>
    </w:p>
    <w:p>
      <w:pPr>
        <w:spacing w:after="0" w:line="77" w:lineRule="exact"/>
        <w:rPr>
          <w:rFonts w:ascii="Arial" w:cs="Arial" w:eastAsia="Arial" w:hAnsi="Arial"/>
          <w:sz w:val="16"/>
          <w:szCs w:val="16"/>
          <w:color w:val="auto"/>
        </w:rPr>
      </w:pPr>
    </w:p>
    <w:p>
      <w:pPr>
        <w:jc w:val="both"/>
        <w:ind w:firstLine="251"/>
        <w:spacing w:after="0" w:line="279" w:lineRule="auto"/>
        <w:tabs>
          <w:tab w:leader="none" w:pos="577"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endeavors to assess and monitor the creditworthiness of its customers to which it grants credit terms in the ordinary course of business. DD maintains a provision for doubtful accounts relating to amounts due that may not be collected. This bad debt provision is monitored on a monthly basis and adjusted as circumstances warrant. Since the recorded bad debt provision is based upon management's judgment, actual bad debt write-offs may be greater or less than the amount recorded. Historically, bad debt write-offs have not been 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7"/>
          <w:szCs w:val="17"/>
          <w:color w:val="auto"/>
        </w:rPr>
        <w:t>The Company accounts for business combination transactions under the acquisition method of accounting and reported the results of operations of the acquired entities from its respective date of acquisition. Assets acquired were recorded at their estimated fair values as of the acquisition date. Estimated fair values were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The excess of the fair value of the consideration conveyed over the fair value of the assets acquired was recorded as goodwill. The goodwill reflects management's expectations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the ability to gain access to and penetrate the acquired entities' historical patient base and the benefits of being able to leverage operational efficiencies with favorable growth opportunities based on positive demographic trends in the market. None of the goodwill recorded as a result of the current year transactions is deductible for federal income tax purposes.</w:t>
      </w:r>
    </w:p>
    <w:p>
      <w:pPr>
        <w:spacing w:after="0" w:line="8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described in Note 3 Business Acquisitions and Dispositions to the consolidated financial statements, the Company acquired various businesses and related assets for approximately $267.6 in cash (net of cash acquired). The purchase consideration for all acquisitions has been allocated to the estimated fair market value of the net assets acquired, including approximately $121.3 in identifiable intangible assets and a residual amount of non-tax-deductible goodwill of approximately $166.2. The amortization periods for intangible assets acquired from these businesses range from 12 to 15 years for customer relationships. These acquisitions were made primarily to extend the Company's geographic reach in important market areas, enhance the Company's scientific differentiation and to expand the breadth and scope of the Company's CRO services.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Expense</w:t>
      </w:r>
    </w:p>
    <w:p>
      <w:pPr>
        <w:spacing w:after="0" w:line="13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sponsors both funded and unfunded defined benefit pension plans which provide benefits based on various criteria such as years of service and salary. The Company maintained two plans in the United States, three plans in the United Kingdom and one in Germany.</w:t>
      </w:r>
    </w:p>
    <w:p>
      <w:pPr>
        <w:spacing w:after="0" w:line="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two plans in the United States (U.S. Plans) were closed to new entrants and the accrual of service credits at the end of 2009. The U.K. pension plans were closed to new entrants and the accrual of service credits for one plan as of December 31, 2002 and the accrual of service credits for the other two plans as of December 31, 2019. The German plan is closed to new entrants but participants continue to accrue service credits. The U.K. and German plans are aggregated for disclosure as the Non-U.S. Plans.</w:t>
      </w:r>
    </w:p>
    <w:p>
      <w:pPr>
        <w:spacing w:after="0" w:line="106" w:lineRule="exact"/>
        <w:rPr>
          <w:sz w:val="20"/>
          <w:szCs w:val="20"/>
          <w:color w:val="auto"/>
        </w:rPr>
      </w:pPr>
    </w:p>
    <w:p>
      <w:pPr>
        <w:jc w:val="both"/>
        <w:ind w:firstLine="283"/>
        <w:spacing w:after="0" w:line="279" w:lineRule="auto"/>
        <w:rPr>
          <w:sz w:val="20"/>
          <w:szCs w:val="20"/>
          <w:color w:val="auto"/>
        </w:rPr>
      </w:pPr>
      <w:r>
        <w:rPr>
          <w:rFonts w:ascii="Arial" w:cs="Arial" w:eastAsia="Arial" w:hAnsi="Arial"/>
          <w:sz w:val="17"/>
          <w:szCs w:val="17"/>
          <w:color w:val="auto"/>
        </w:rPr>
        <w:t>The Company's net pension cost is developed from actuarial valuations. Inherent in these valuations are key assumptions, including discount rates and expected return on plan assets, which are updated on an annual basis at the beginning of each year. The Company is required to consider current market conditions, including changes in interest rates, in making these assumptions. Changes in pension costs may occur in the future due to changes in these assumptions. The key assumptions used in accounting for the defined-benefit retirement plans are summarized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3"/>
          </w:tcPr>
          <w:p>
            <w:pPr>
              <w:ind w:left="300"/>
              <w:spacing w:after="0"/>
              <w:rPr>
                <w:sz w:val="20"/>
                <w:szCs w:val="20"/>
                <w:color w:val="auto"/>
              </w:rPr>
            </w:pPr>
            <w:r>
              <w:rPr>
                <w:rFonts w:ascii="Arial" w:cs="Arial" w:eastAsia="Arial" w:hAnsi="Arial"/>
                <w:sz w:val="18"/>
                <w:szCs w:val="18"/>
                <w:color w:val="auto"/>
              </w:rPr>
              <w:t>Weighted average assumptions used to determine net periodic benefit costs are as follows:</w:t>
            </w:r>
          </w:p>
        </w:tc>
        <w:tc>
          <w:tcPr>
            <w:tcW w:w="7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7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ind w:left="600"/>
              <w:spacing w:after="0"/>
              <w:rPr>
                <w:sz w:val="20"/>
                <w:szCs w:val="20"/>
                <w:color w:val="auto"/>
              </w:rPr>
            </w:pPr>
            <w:r>
              <w:rPr>
                <w:rFonts w:ascii="Arial" w:cs="Arial" w:eastAsia="Arial" w:hAnsi="Arial"/>
                <w:sz w:val="18"/>
                <w:szCs w:val="18"/>
                <w:color w:val="auto"/>
                <w:w w:val="86"/>
              </w:rPr>
              <w:t>U. S. Plans</w:t>
            </w:r>
          </w:p>
        </w:tc>
        <w:tc>
          <w:tcPr>
            <w:tcW w:w="760" w:type="dxa"/>
            <w:vAlign w:val="bottom"/>
          </w:tcPr>
          <w:p>
            <w:pPr>
              <w:spacing w:after="0"/>
              <w:rPr>
                <w:sz w:val="24"/>
                <w:szCs w:val="24"/>
                <w:color w:val="auto"/>
              </w:rPr>
            </w:pPr>
          </w:p>
        </w:tc>
        <w:tc>
          <w:tcPr>
            <w:tcW w:w="1840" w:type="dxa"/>
            <w:vAlign w:val="bottom"/>
            <w:gridSpan w:val="2"/>
          </w:tcPr>
          <w:p>
            <w:pPr>
              <w:ind w:left="260"/>
              <w:spacing w:after="0"/>
              <w:rPr>
                <w:sz w:val="20"/>
                <w:szCs w:val="20"/>
                <w:color w:val="auto"/>
              </w:rPr>
            </w:pPr>
            <w:r>
              <w:rPr>
                <w:rFonts w:ascii="Arial" w:cs="Arial" w:eastAsia="Arial" w:hAnsi="Arial"/>
                <w:sz w:val="18"/>
                <w:szCs w:val="18"/>
                <w:color w:val="auto"/>
              </w:rPr>
              <w:t>Non-U.S. Plans</w:t>
            </w:r>
          </w:p>
        </w:tc>
      </w:tr>
      <w:tr>
        <w:trPr>
          <w:trHeight w:val="223"/>
        </w:trPr>
        <w:tc>
          <w:tcPr>
            <w:tcW w:w="7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940" w:type="dxa"/>
            <w:vAlign w:val="bottom"/>
            <w:tcBorders>
              <w:top w:val="single" w:sz="8" w:color="auto"/>
              <w:bottom w:val="single" w:sz="8" w:color="auto"/>
            </w:tcBorders>
            <w:gridSpan w:val="3"/>
          </w:tcPr>
          <w:p>
            <w:pPr>
              <w:ind w:left="820"/>
              <w:spacing w:after="0"/>
              <w:rPr>
                <w:sz w:val="20"/>
                <w:szCs w:val="20"/>
                <w:color w:val="auto"/>
              </w:rPr>
            </w:pPr>
            <w:r>
              <w:rPr>
                <w:rFonts w:ascii="Arial" w:cs="Arial" w:eastAsia="Arial" w:hAnsi="Arial"/>
                <w:sz w:val="18"/>
                <w:szCs w:val="18"/>
                <w:color w:val="auto"/>
              </w:rPr>
              <w:t>Year ended December 31, 2020</w:t>
            </w:r>
          </w:p>
        </w:tc>
        <w:tc>
          <w:tcPr>
            <w:tcW w:w="60" w:type="dxa"/>
            <w:vAlign w:val="bottom"/>
          </w:tcPr>
          <w:p>
            <w:pPr>
              <w:spacing w:after="0"/>
              <w:rPr>
                <w:sz w:val="19"/>
                <w:szCs w:val="19"/>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3.3 %</w:t>
            </w:r>
          </w:p>
        </w:tc>
        <w:tc>
          <w:tcPr>
            <w:tcW w:w="178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5"/>
              </w:rPr>
              <w:t>1.7 %</w:t>
            </w:r>
          </w:p>
        </w:tc>
        <w:tc>
          <w:tcPr>
            <w:tcW w:w="60" w:type="dxa"/>
            <w:vAlign w:val="bottom"/>
          </w:tcPr>
          <w:p>
            <w:pPr>
              <w:spacing w:after="0"/>
              <w:rPr>
                <w:sz w:val="19"/>
                <w:szCs w:val="19"/>
                <w:color w:val="auto"/>
              </w:rPr>
            </w:pPr>
          </w:p>
        </w:tc>
      </w:tr>
      <w:tr>
        <w:trPr>
          <w:trHeight w:val="230"/>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Salary increases</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N/A</w:t>
            </w:r>
          </w:p>
        </w:tc>
        <w:tc>
          <w:tcPr>
            <w:tcW w:w="1780" w:type="dxa"/>
            <w:vAlign w:val="bottom"/>
          </w:tcPr>
          <w:p>
            <w:pPr>
              <w:ind w:left="1320"/>
              <w:spacing w:after="0"/>
              <w:rPr>
                <w:sz w:val="20"/>
                <w:szCs w:val="20"/>
                <w:color w:val="auto"/>
              </w:rPr>
            </w:pPr>
            <w:r>
              <w:rPr>
                <w:rFonts w:ascii="Arial" w:cs="Arial" w:eastAsia="Arial" w:hAnsi="Arial"/>
                <w:sz w:val="18"/>
                <w:szCs w:val="18"/>
                <w:color w:val="auto"/>
                <w:w w:val="95"/>
              </w:rPr>
              <w:t>3.1 %</w:t>
            </w:r>
          </w:p>
        </w:tc>
        <w:tc>
          <w:tcPr>
            <w:tcW w:w="60" w:type="dxa"/>
            <w:vAlign w:val="bottom"/>
          </w:tcPr>
          <w:p>
            <w:pPr>
              <w:spacing w:after="0"/>
              <w:rPr>
                <w:sz w:val="19"/>
                <w:szCs w:val="19"/>
                <w:color w:val="auto"/>
              </w:rPr>
            </w:pPr>
          </w:p>
        </w:tc>
      </w:tr>
      <w:tr>
        <w:trPr>
          <w:trHeight w:val="230"/>
        </w:trPr>
        <w:tc>
          <w:tcPr>
            <w:tcW w:w="8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long term rate of return</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6.0 %</w:t>
            </w:r>
          </w:p>
        </w:tc>
        <w:tc>
          <w:tcPr>
            <w:tcW w:w="17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30"/>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Cash balance interest credit rate</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w w:val="99"/>
              </w:rPr>
              <w:t>4.0 %</w:t>
            </w:r>
          </w:p>
        </w:tc>
        <w:tc>
          <w:tcPr>
            <w:tcW w:w="1780" w:type="dxa"/>
            <w:vAlign w:val="bottom"/>
          </w:tcPr>
          <w:p>
            <w:pPr>
              <w:jc w:val="center"/>
              <w:ind w:left="133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r>
      <w:tr>
        <w:trPr>
          <w:trHeight w:val="364"/>
        </w:trPr>
        <w:tc>
          <w:tcPr>
            <w:tcW w:w="8640" w:type="dxa"/>
            <w:vAlign w:val="bottom"/>
            <w:gridSpan w:val="3"/>
          </w:tcPr>
          <w:p>
            <w:pPr>
              <w:ind w:left="300"/>
              <w:spacing w:after="0"/>
              <w:rPr>
                <w:sz w:val="20"/>
                <w:szCs w:val="20"/>
                <w:color w:val="auto"/>
              </w:rPr>
            </w:pPr>
            <w:r>
              <w:rPr>
                <w:rFonts w:ascii="Arial" w:cs="Arial" w:eastAsia="Arial" w:hAnsi="Arial"/>
                <w:sz w:val="18"/>
                <w:szCs w:val="18"/>
                <w:color w:val="auto"/>
              </w:rPr>
              <w:t>Weighted average assumptions used to determine net periodic benefit obligations are as follows:</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7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6"/>
              </w:rPr>
              <w:t>U. S. Plans</w:t>
            </w:r>
          </w:p>
        </w:tc>
        <w:tc>
          <w:tcPr>
            <w:tcW w:w="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Non-U.S. Plans</w:t>
            </w:r>
          </w:p>
        </w:tc>
      </w:tr>
      <w:tr>
        <w:trPr>
          <w:trHeight w:val="223"/>
        </w:trPr>
        <w:tc>
          <w:tcPr>
            <w:tcW w:w="7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color w:val="auto"/>
              </w:rPr>
              <w:t>Year Ended December 31, 2020</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80" w:type="dxa"/>
            <w:vAlign w:val="bottom"/>
            <w:gridSpan w:val="2"/>
            <w:shd w:val="clear" w:color="auto" w:fill="CCEEFF"/>
          </w:tcPr>
          <w:p>
            <w:pPr>
              <w:spacing w:after="0"/>
              <w:rPr>
                <w:sz w:val="19"/>
                <w:szCs w:val="19"/>
                <w:color w:val="auto"/>
              </w:rPr>
            </w:pPr>
          </w:p>
        </w:tc>
        <w:tc>
          <w:tcPr>
            <w:tcW w:w="7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1"/>
              </w:rPr>
              <w:t>2.3 %</w:t>
            </w:r>
          </w:p>
        </w:tc>
        <w:tc>
          <w:tcPr>
            <w:tcW w:w="184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91"/>
              </w:rPr>
              <w:t>1.2 %</w:t>
            </w:r>
          </w:p>
        </w:tc>
      </w:tr>
      <w:tr>
        <w:trPr>
          <w:trHeight w:val="230"/>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Salary increases</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jc w:val="center"/>
              <w:ind w:left="1290"/>
              <w:spacing w:after="0"/>
              <w:rPr>
                <w:sz w:val="20"/>
                <w:szCs w:val="20"/>
                <w:color w:val="auto"/>
              </w:rPr>
            </w:pPr>
            <w:r>
              <w:rPr>
                <w:rFonts w:ascii="Arial" w:cs="Arial" w:eastAsia="Arial" w:hAnsi="Arial"/>
                <w:sz w:val="18"/>
                <w:szCs w:val="18"/>
                <w:color w:val="auto"/>
                <w:w w:val="91"/>
              </w:rPr>
              <w:t>2.0 %</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31"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7"/>
          <w:szCs w:val="17"/>
          <w:color w:val="auto"/>
        </w:rPr>
        <w:t>The Company evaluates several approaches toward setting the discount rate assumption that is used to value the benefit obligations of its retirement plans. At year-end, priority was given to use of the Towers Watson Bond:Link model, which simulates the purchase of investment-grade corporate bonds at current market yields with principal amounts and maturity dates closely matching the Company's projected cash disbursements from its plans. This completed model represents the yields to maturity at which the Company could theoretically settle its plan obligations at year end. The weighted-average yield on the modeled bond portfolio is then used to form the discount rate assumption used for each retirement plan. A one percentage point decrease or increase in the discount rate would have resulted in a respective increase or decrease in 2020 retirement plan expense of $1.9 for the U.S Plans. A one percentage point decrease or increase in the discount rate would have resulted in a respective increase or decrease in 2020 retirement plan expense of $2.1 for the Non-U.S. Plans.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establishing its expected return on plan assets assumption, the Company reviews its asset allocation and develops return assumptions based on different asset classes, adjusting for plan operating expenses.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2020 pension expense of $2.5 for the U.S. Plans. A one percentage point increase or decrease in the expected return on plan assets would have resulted in a corresponding change in 2020 pension expense of $4.8 for the Non-U.S. Plans.</w:t>
      </w:r>
    </w:p>
    <w:p>
      <w:pPr>
        <w:spacing w:after="0" w:line="111" w:lineRule="exact"/>
        <w:rPr>
          <w:sz w:val="20"/>
          <w:szCs w:val="20"/>
          <w:color w:val="auto"/>
        </w:rPr>
      </w:pPr>
    </w:p>
    <w:p>
      <w:pPr>
        <w:jc w:val="both"/>
        <w:ind w:firstLine="283"/>
        <w:spacing w:after="0" w:line="279" w:lineRule="auto"/>
        <w:rPr>
          <w:sz w:val="20"/>
          <w:szCs w:val="20"/>
          <w:color w:val="auto"/>
        </w:rPr>
      </w:pPr>
      <w:r>
        <w:rPr>
          <w:rFonts w:ascii="Arial" w:cs="Arial" w:eastAsia="Arial" w:hAnsi="Arial"/>
          <w:sz w:val="17"/>
          <w:szCs w:val="17"/>
          <w:color w:val="auto"/>
        </w:rPr>
        <w:t>Net pension cost for 2020 was $11.0 as compared with $13.8 in 2019. The decrease in pension expense was due to market performance partially offset by lower discount rates. Pension expense for the U.S. Plans is expected to decrease to $6.5 in 2021 primarily due to the impact of strong asset returns in 2020, and the $30.0 contribution made in December 2020, offset by lower discount rates in certain plans. Pension expense for the Non-U.S. Plans is expected to decrease by approximately $0.2 in 2021, primarily due to lower service cost partially offset by a lower discount rate in 2021.</w:t>
      </w:r>
    </w:p>
    <w:p>
      <w:pPr>
        <w:spacing w:after="0" w:line="63"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Further information on the Company’s defined-benefit retirement plans is provided in Note 17 Pension and Postretirement Plans to the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Self-Insurance Reserves</w:t>
      </w:r>
    </w:p>
    <w:p>
      <w:pPr>
        <w:spacing w:after="0" w:line="131"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Accruals for self-insurance reserves (including workers’ compensation, auto and employee medical) are determined based on a number of assumptions and factors, including historical payment trends and claims history, actuarial assumptions and current and estimated future economic conditions. These estimated liabilities are not discounted.</w:t>
      </w:r>
    </w:p>
    <w:p>
      <w:pPr>
        <w:spacing w:after="0" w:line="103" w:lineRule="exact"/>
        <w:rPr>
          <w:sz w:val="20"/>
          <w:szCs w:val="20"/>
          <w:color w:val="auto"/>
        </w:rPr>
      </w:pPr>
    </w:p>
    <w:p>
      <w:pPr>
        <w:jc w:val="both"/>
        <w:ind w:firstLine="220"/>
        <w:spacing w:after="0" w:line="279" w:lineRule="auto"/>
        <w:rPr>
          <w:sz w:val="20"/>
          <w:szCs w:val="20"/>
          <w:color w:val="auto"/>
        </w:rPr>
      </w:pPr>
      <w:r>
        <w:rPr>
          <w:rFonts w:ascii="Arial" w:cs="Arial" w:eastAsia="Arial" w:hAnsi="Arial"/>
          <w:sz w:val="17"/>
          <w:szCs w:val="17"/>
          <w:color w:val="auto"/>
        </w:rPr>
        <w:t>The Company is self-insured (up to certain limits) for professional liability claims arising in the normal course of business, generally related to the testing and reporting of laboratory test results. The Company maintains excess insurance which limits the Company’s maximum exposure on individual claims.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77" w:lineRule="exact"/>
        <w:rPr>
          <w:sz w:val="20"/>
          <w:szCs w:val="20"/>
          <w:color w:val="auto"/>
        </w:rPr>
      </w:pPr>
    </w:p>
    <w:p>
      <w:pPr>
        <w:ind w:right="60" w:firstLine="202"/>
        <w:spacing w:after="0" w:line="399" w:lineRule="auto"/>
        <w:rPr>
          <w:sz w:val="20"/>
          <w:szCs w:val="20"/>
          <w:color w:val="auto"/>
        </w:rPr>
      </w:pPr>
      <w:r>
        <w:rPr>
          <w:rFonts w:ascii="Arial" w:cs="Arial" w:eastAsia="Arial" w:hAnsi="Arial"/>
          <w:sz w:val="18"/>
          <w:szCs w:val="18"/>
          <w:color w:val="auto"/>
        </w:rPr>
        <w:t xml:space="preserve">If actual trends differ from these estimates, the financial results could be impacted. Historical trends have not differed significantly from these estimates. </w:t>
      </w:r>
      <w:r>
        <w:rPr>
          <w:rFonts w:ascii="Arial" w:cs="Arial" w:eastAsia="Arial" w:hAnsi="Arial"/>
          <w:sz w:val="18"/>
          <w:szCs w:val="18"/>
          <w:b w:val="1"/>
          <w:bCs w:val="1"/>
          <w:i w:val="1"/>
          <w:iCs w:val="1"/>
          <w:color w:val="auto"/>
        </w:rPr>
        <w:t>Income Taxes</w:t>
      </w:r>
    </w:p>
    <w:p>
      <w:pPr>
        <w:jc w:val="both"/>
        <w:ind w:firstLine="283"/>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Assets</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assesses goodwill and indefinite-lived intangibles for impairment at least annually or whenever events or changes in circumstances indicate that the carrying amount of such assets may not be recoverable. In accordance with updates to the Financial Accounting Standards Board's (FASB) authoritative guidance regarding goodwill and indefinite-lived intangible asset impairment testing, an entity is allowed to first assess qualitative factors as a basis for determining whether it is necessary to perform quantitative impairment testing. If an entity determines that it is not more likely than not that the estimated fair value of an asset is less than its carrying value, then no further testing is required. Otherwise, impairment testing must be performed in accordance with the original accounting standards. The updated FASB guidance also allows an entity to bypass the qualitative assessment for any reporting unit in its goodwill assessment and proceed directly to performing the quantitative assessment. Similarly, a company can proceed directly to a quantitative assessment in the case of impairment testing for indefinite-lived intangible assets as well.</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quantitative goodwill impairment test includes the estimation of the fair value of each reporting unit as compared to the carrying value of the reporting unit. Reporting units are businesses with discrete financial information that is available and reviewed by management. The Company estimates the fair value of a reporting unit using both income-based and market-based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 An entity should recognize an impairment charge for the amount by which the carrying amount exceeds the reporting unit’s fair value; however, the loss recognized should not exceed the total amount of goodwill allocated to that reporting unit.</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107" w:lineRule="exact"/>
        <w:rPr>
          <w:sz w:val="20"/>
          <w:szCs w:val="20"/>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cash flows, on a debt-free basis, arising from future revenues and profitability, changes in working capital, capital spending and income taxes for at least a five-year forecast period.</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8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assesses goodwill and indefinite-lived intangibles for impairment at least annually or whenever events or changes in circumstances indicate that the carrying amount of such assets may not be recoverable. Based upon the revised forecasted revenues and operating income following the declaration of the COVID-19 global pandemic, management concluded there was a triggering event and updated its annual 2019 goodwill impairment testing as of March 31, 2020, for certain of its DD and Dx reporting units. Based on the quantitative impairment assessment performed in the same manner as the Company's annual quantitative assessment, the Company concluded that the fair value was less than carrying value for two of its reporting units, including one where the 2019 fair value exceeded carrying value by approximately 10.0%, and recorded a goodwill impairment of $418.7 for the DD segment and $3.7 for the Dx segment.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performed its annual goodwill and intangible asset impairment testing as of the beginning of the fourth quarter of 2020. The Company elected to perform the qualitative assessment for goodwill and intangible assets for the domestic Dx reporting units and certain DD reporting units, a quantitative assessment for two of the DD reporting units, and a quantitative assessment for the Canadian reporting unit and its indefinite-lived assets consisting of acquired Canadian licenses.</w:t>
      </w:r>
    </w:p>
    <w:p>
      <w:pPr>
        <w:spacing w:after="0" w:line="1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2020, the Company utilized a combination of the market and income approaches to determine the fair value of the DD reporting units and the income approach to determine the fair value of the Canadian reporting unit and its indefinite-lived assets consisting of acquired Canadian licenses. Based upon the results of the quantitative assessments, the Company concluded that the fair values of the goodwill and intangible assets, including the indefinite-lived Canadian licenses, was greater than the carrying value.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2020 will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prove to be accurate predictions of the future, if, for example, (i) the businesses do not perform as projected, (ii) overall economic conditions in 2020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 Management's impairment analysis for certain reporting units utilized significant judgments and assumptions related to the market comparable method analysis, such as selected market multiples, and related to cash flow projections, such as revenue and terminal growth rate, projected operating income, and the discount rate. A significant increase in the discount rate, decrease in the revenue and terminal growth rate, decreased operation margin or substantial reductions in end markets and volume assumptions could have a negative impact on the estimated fair value of certain reporting units. A future impairment charge for goodwill or intangible assets could have a material effect on the Company's consolidated financial position and results of operations.</w:t>
      </w:r>
    </w:p>
    <w:p>
      <w:pPr>
        <w:spacing w:after="0" w:line="8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tab/>
        <w:t>QUANTITATIVE AND QUALITATIVE DISCLOSURE ABOUT MARKET RISK (in millions)</w:t>
      </w:r>
    </w:p>
    <w:p>
      <w:pPr>
        <w:spacing w:after="0" w:line="14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Although, as set forth below, the Company’s zero-coupon subordinated notes contained features that were considered to be embedded derivative instruments, the Company does not hold or issue derivative financial instruments for trading purposes.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Approximately 10.7% and 12.7% of the Company's revenues for the year ended December 31, 2020 and 2019, respectively,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both 2020 and 2019,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2020 by approximately $9.1. Gross accumulated currency translation adjustments recorded as a separate component of shareholders’ equity were $264.1 and $104.4 at December 31, 2020, and 2019, respectively. The Company does not have significant operations in countries in which the economy is considered to be highly inflationary.</w:t>
      </w:r>
    </w:p>
    <w:p>
      <w:pPr>
        <w:spacing w:after="0" w:line="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2020, the Company had 31 open foreign exchange forward contracts with various amounts maturing monthly through January 2021 with a notional value totaling approximately $601.2. At December 31, 2019, the Company had 34 open foreign exchange forward contracts with various amounts maturing monthly through January 2020 with a notional value totaling approximately $369.2.</w:t>
      </w:r>
    </w:p>
    <w:p>
      <w:pPr>
        <w:spacing w:after="0" w:line="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is party to USD to Swiss Franc cross-currency swap agreements with a notional amount of $600.0, maturing in 2022 and 2025, as a hedge against the impact of foreign exchange movements on its net investment in its Swiss Franc functional currency subsidiary.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4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8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Borrowings under the Company's term loan credit facilities and revolving credit facility are subject to variable interest rates, unless fixed through interest rate swaps or other agreements. As of December 31, 2020, and 2019, the Company had approximately $375.0 and $375.0, respectively, of unhedged variable rate debt under the 2019 term loan credit facility.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Each quarter-point increase or decrease in the variable rate would result in the Company's interest expense changing by approximately $0.9 per year for the Company's unhedged variable rate debt.</w:t>
      </w:r>
    </w:p>
    <w:p>
      <w:pPr>
        <w:spacing w:after="0" w:line="89" w:lineRule="exact"/>
        <w:rPr>
          <w:sz w:val="20"/>
          <w:szCs w:val="20"/>
          <w:color w:val="auto"/>
        </w:rPr>
      </w:pPr>
    </w:p>
    <w:p>
      <w:pPr>
        <w:jc w:val="both"/>
        <w:ind w:firstLine="283"/>
        <w:spacing w:after="0" w:line="273" w:lineRule="auto"/>
        <w:rPr>
          <w:sz w:val="20"/>
          <w:szCs w:val="20"/>
          <w:color w:val="auto"/>
        </w:rPr>
      </w:pPr>
      <w:r>
        <w:rPr>
          <w:rFonts w:ascii="Arial" w:cs="Arial" w:eastAsia="Arial" w:hAnsi="Arial"/>
          <w:sz w:val="17"/>
          <w:szCs w:val="17"/>
          <w:color w:val="auto"/>
        </w:rPr>
        <w:t xml:space="preserve">During the third quarter of 2013, the Company entered into two fixed-to-variable interest rate swap agreements for its 4.625% Senior Notes due 2020 with an aggregate notional amount of $600.0 and variable interest rates based on one-month London Interbank Offered Rate </w:t>
      </w:r>
      <w:r>
        <w:rPr>
          <w:rFonts w:ascii="Arial" w:cs="Arial" w:eastAsia="Arial" w:hAnsi="Arial"/>
          <w:sz w:val="17"/>
          <w:szCs w:val="17"/>
          <w:b w:val="1"/>
          <w:bCs w:val="1"/>
          <w:color w:val="auto"/>
        </w:rPr>
        <w:t>(</w:t>
      </w:r>
      <w:r>
        <w:rPr>
          <w:rFonts w:ascii="Arial" w:cs="Arial" w:eastAsia="Arial" w:hAnsi="Arial"/>
          <w:sz w:val="17"/>
          <w:szCs w:val="17"/>
          <w:color w:val="auto"/>
        </w:rPr>
        <w:t>LIBOR) plus 2.298% to hedge against changes in the fair value of a portion of the Company's long-term debt. The Company exited one of these swap arrangements in December 2019 in connection with the redemption of $187.9 of the 4.625% Senior Notes due 2020 and recorded a gain of $1.6. The Company exited the remaining fixed-to-variable interest rate swap agreement in August 2020, in connection with the redemption of the remaining $412.2 of its 4.625% Senior Notes due November 15, 2020, and recorded a gain of $1.6 on the extinguishment.</w:t>
      </w:r>
    </w:p>
    <w:p>
      <w:pPr>
        <w:spacing w:after="0" w:line="83"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On December 19, 2019, the Company redeemed any remaining outstanding zero-coupon subordinated notes due 2021 (the zero-coupon notes) that had not previously converted.</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of the Company required in this item are set forth beginning on page F-1 of this Annual Report on Form 10-K.</w:t>
      </w:r>
    </w:p>
    <w:p>
      <w:pPr>
        <w:spacing w:after="0" w:line="2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As of the end of the period covered by this Annual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Exchange Act Rules 13a-15(f) and 15d-15(f)) during the quarter ended December 31, 2020, that have materially affected, or are reasonably likely to materially affect, the Company’s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48"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Securities Exchange Act of 1934).</w:t>
      </w:r>
    </w:p>
    <w:p>
      <w:pPr>
        <w:spacing w:after="0" w:line="76"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89" w:lineRule="exact"/>
        <w:rPr>
          <w:sz w:val="20"/>
          <w:szCs w:val="20"/>
          <w:color w:val="auto"/>
        </w:rPr>
      </w:pPr>
    </w:p>
    <w:p>
      <w:pPr>
        <w:ind w:left="66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authorization of management and directors of the Company; and</w:t>
      </w:r>
    </w:p>
    <w:p>
      <w:pPr>
        <w:ind w:left="660" w:hanging="328"/>
        <w:spacing w:after="0" w:line="26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131"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2020. Management based this assessment on criteria for effective internal control over financial reporting described in “Internal Control - Integrated Framework 2013” issued by the Committee of Sponsoring Organizations of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Treadway Commission (COSO). Based on this assessment, the Company's management determined that, as of December 31, 2020, the Company maintained effective internal control over financial reporting. Management reviewed the results of its assessment with the Audit Committee of the Company’s board of directors.</w:t>
      </w:r>
    </w:p>
    <w:p>
      <w:pPr>
        <w:spacing w:after="0" w:line="103" w:lineRule="exact"/>
        <w:rPr>
          <w:sz w:val="20"/>
          <w:szCs w:val="20"/>
          <w:color w:val="auto"/>
        </w:rPr>
      </w:pPr>
    </w:p>
    <w:p>
      <w:pPr>
        <w:jc w:val="both"/>
        <w:ind w:firstLine="283"/>
        <w:spacing w:after="0" w:line="286" w:lineRule="auto"/>
        <w:rPr>
          <w:sz w:val="20"/>
          <w:szCs w:val="20"/>
          <w:color w:val="auto"/>
        </w:rPr>
      </w:pPr>
      <w:r>
        <w:rPr>
          <w:rFonts w:ascii="Arial" w:cs="Arial" w:eastAsia="Arial" w:hAnsi="Arial"/>
          <w:sz w:val="17"/>
          <w:szCs w:val="17"/>
          <w:color w:val="auto"/>
        </w:rPr>
        <w:t>PricewaterhouseCoopers LLP, an independent registered public accounting firm, who audited and reported on the consolidated financial statements of the Company included in this Annual Report, also audited the effectiveness of the Company’s internal control over financial reporting as of December 31, 2020, as stated in its report, which is included herein immediately preceding the Company’s audited financial statements.</w:t>
      </w:r>
    </w:p>
    <w:p>
      <w:pPr>
        <w:spacing w:after="0" w:line="200" w:lineRule="exact"/>
        <w:rPr>
          <w:sz w:val="20"/>
          <w:szCs w:val="20"/>
          <w:color w:val="auto"/>
        </w:rPr>
      </w:pP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information required by the item regarding directors is incorporated by reference to the Company’s Definitive Proxy Statement to be filed with the Securities and Exchange Commission in connection with the Annual Meeting of Stockholders to be held in 2021 (the 2021 Proxy Statement) under the caption Election of Directors. Information regarding executive officers is incorporated by reference to the Company’s 2021 Proxy Statement under the caption Executive Officers. Information concerning the Company’s Audit Committee, including the designation of audit committee financial experts and information regarding compliance with Section 16(a) of the Exchange Act responsive to this item is incorporated by reference to the Company’s 2021 Proxy Statement under the captions Corporate Governance and Delinquent Section 16(a) Reports, respectively. Information concerning the Company's code of ethics is incorporated by reference to the Company's 2021 Proxy Statement under the caption Corporate Governance Policies and Procedures.</w:t>
      </w:r>
    </w:p>
    <w:p>
      <w:pPr>
        <w:spacing w:after="0" w:line="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2021 Proxy Statement under the captions “Executive Compensation” and “Director Compensation.”</w:t>
      </w:r>
    </w:p>
    <w:p>
      <w:pPr>
        <w:spacing w:after="0" w:line="193" w:lineRule="exact"/>
        <w:rPr>
          <w:sz w:val="20"/>
          <w:szCs w:val="20"/>
          <w:color w:val="auto"/>
        </w:rPr>
      </w:pPr>
    </w:p>
    <w:p>
      <w:pPr>
        <w:ind w:left="820" w:right="540" w:hanging="1295"/>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jc w:val="both"/>
        <w:ind w:firstLine="283"/>
        <w:spacing w:after="0" w:line="311" w:lineRule="auto"/>
        <w:rPr>
          <w:sz w:val="20"/>
          <w:szCs w:val="20"/>
          <w:color w:val="auto"/>
        </w:rPr>
      </w:pPr>
      <w:r>
        <w:rPr>
          <w:rFonts w:ascii="Arial" w:cs="Arial" w:eastAsia="Arial" w:hAnsi="Arial"/>
          <w:sz w:val="16"/>
          <w:szCs w:val="16"/>
          <w:color w:val="auto"/>
        </w:rPr>
        <w:t>See Note 15 Stock Compensation Plans to the Consolidated Financial Statements for a discussion of the Company’s Stock Compensation Plans. Except for the above referenced footnote, the information called for by this item is incorporated by reference to information in the 2021 Proxy Statement under the captions “Security Ownership of Certain Beneficial Holders and Management,” “Compensation Discussion and Analysis” and “Executive Compensation.”</w:t>
      </w:r>
    </w:p>
    <w:p>
      <w:pPr>
        <w:spacing w:after="0" w:line="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2021 Proxy Statement under the captions “Board Independence” and “Related Party Transactions.”</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information required by this item is incorporated by reference to information in the 2021 Proxy Statement under the caption “Fees to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56"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List of documents filed as part of this Annual Report:</w:t>
      </w:r>
    </w:p>
    <w:p>
      <w:pPr>
        <w:spacing w:after="0" w:line="144" w:lineRule="exact"/>
        <w:rPr>
          <w:rFonts w:ascii="Arial" w:cs="Arial" w:eastAsia="Arial" w:hAnsi="Arial"/>
          <w:sz w:val="18"/>
          <w:szCs w:val="18"/>
          <w:color w:val="auto"/>
        </w:rPr>
      </w:pPr>
    </w:p>
    <w:p>
      <w:pPr>
        <w:ind w:left="600" w:right="2340" w:hanging="574"/>
        <w:spacing w:after="0" w:line="328" w:lineRule="auto"/>
        <w:tabs>
          <w:tab w:leader="none" w:pos="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included herein: See Index on page F-1</w:t>
      </w:r>
    </w:p>
    <w:p>
      <w:pPr>
        <w:spacing w:after="0" w:line="1" w:lineRule="exact"/>
        <w:rPr>
          <w:rFonts w:ascii="Arial" w:cs="Arial" w:eastAsia="Arial" w:hAnsi="Arial"/>
          <w:sz w:val="18"/>
          <w:szCs w:val="18"/>
          <w:color w:val="auto"/>
        </w:rPr>
      </w:pPr>
    </w:p>
    <w:p>
      <w:pPr>
        <w:ind w:left="600" w:hanging="574"/>
        <w:spacing w:after="0"/>
        <w:tabs>
          <w:tab w:leader="none" w:pos="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6" w:lineRule="exact"/>
        <w:rPr>
          <w:rFonts w:ascii="Arial" w:cs="Arial" w:eastAsia="Arial" w:hAnsi="Arial"/>
          <w:sz w:val="18"/>
          <w:szCs w:val="18"/>
          <w:color w:val="auto"/>
        </w:rPr>
      </w:pPr>
    </w:p>
    <w:p>
      <w:pPr>
        <w:ind w:left="600" w:right="1400"/>
        <w:spacing w:after="0" w:line="235" w:lineRule="auto"/>
        <w:rPr>
          <w:rFonts w:ascii="Arial" w:cs="Arial" w:eastAsia="Arial" w:hAnsi="Arial"/>
          <w:sz w:val="18"/>
          <w:szCs w:val="18"/>
          <w:color w:val="auto"/>
        </w:rPr>
      </w:pPr>
      <w:r>
        <w:rPr>
          <w:rFonts w:ascii="Arial" w:cs="Arial" w:eastAsia="Arial" w:hAnsi="Arial"/>
          <w:sz w:val="18"/>
          <w:szCs w:val="18"/>
          <w:color w:val="auto"/>
        </w:rPr>
        <w:t>All schedules are omitted as they are inapplicable or the required information is furnished in the Consolidated Financial Statements or notes thereto.</w:t>
      </w:r>
    </w:p>
    <w:p>
      <w:pPr>
        <w:spacing w:after="0" w:line="53" w:lineRule="exact"/>
        <w:rPr>
          <w:rFonts w:ascii="Arial" w:cs="Arial" w:eastAsia="Arial" w:hAnsi="Arial"/>
          <w:sz w:val="18"/>
          <w:szCs w:val="18"/>
          <w:color w:val="auto"/>
        </w:rPr>
      </w:pPr>
    </w:p>
    <w:p>
      <w:pPr>
        <w:ind w:left="600" w:hanging="574"/>
        <w:spacing w:after="0"/>
        <w:tabs>
          <w:tab w:leader="none" w:pos="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Index to and List of Exhibits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300" w:type="dxa"/>
            <w:vAlign w:val="bottom"/>
            <w:gridSpan w:val="23"/>
          </w:tcPr>
          <w:p>
            <w:pPr>
              <w:spacing w:after="0"/>
              <w:rPr>
                <w:rFonts w:ascii="Arial" w:cs="Arial" w:eastAsia="Arial" w:hAnsi="Arial"/>
                <w:sz w:val="18"/>
                <w:szCs w:val="18"/>
                <w:color w:val="0000FF"/>
                <w:w w:val="95"/>
              </w:rPr>
            </w:pPr>
            <w:hyperlink r:id="rId86">
              <w:r>
                <w:rPr>
                  <w:rFonts w:ascii="Arial" w:cs="Arial" w:eastAsia="Arial" w:hAnsi="Arial"/>
                  <w:sz w:val="18"/>
                  <w:szCs w:val="18"/>
                  <w:color w:val="0000FF"/>
                  <w:w w:val="95"/>
                </w:rPr>
                <w:t>Amended and Restated Certificate of Incorporation of the Company dated May 24, 2001 (incorporated herein by reference to Exhibit 3.1</w:t>
              </w:r>
            </w:hyperlink>
          </w:p>
        </w:tc>
        <w:tc>
          <w:tcPr>
            <w:tcW w:w="0" w:type="dxa"/>
            <w:vAlign w:val="bottom"/>
          </w:tcPr>
          <w:p>
            <w:pPr>
              <w:spacing w:after="0"/>
              <w:rPr>
                <w:sz w:val="1"/>
                <w:szCs w:val="1"/>
                <w:color w:val="auto"/>
              </w:rPr>
            </w:pPr>
          </w:p>
        </w:tc>
      </w:tr>
      <w:tr>
        <w:trPr>
          <w:trHeight w:val="209"/>
        </w:trPr>
        <w:tc>
          <w:tcPr>
            <w:tcW w:w="116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028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to the Company’s Registration Statement on Form S-3, filed with the Commission on October 19, 2001, File No. 333-71896).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60" w:type="dxa"/>
            <w:vAlign w:val="bottom"/>
            <w:vMerge w:val="continue"/>
          </w:tcPr>
          <w:p>
            <w:pPr>
              <w:spacing w:after="0"/>
              <w:rPr>
                <w:sz w:val="16"/>
                <w:szCs w:val="16"/>
                <w:color w:val="auto"/>
              </w:rPr>
            </w:pPr>
          </w:p>
        </w:tc>
        <w:tc>
          <w:tcPr>
            <w:tcW w:w="10300" w:type="dxa"/>
            <w:vAlign w:val="bottom"/>
            <w:gridSpan w:val="23"/>
          </w:tcPr>
          <w:p>
            <w:pPr>
              <w:spacing w:after="0" w:line="190" w:lineRule="exact"/>
              <w:rPr>
                <w:rFonts w:ascii="Arial" w:cs="Arial" w:eastAsia="Arial" w:hAnsi="Arial"/>
                <w:sz w:val="18"/>
                <w:szCs w:val="18"/>
                <w:color w:val="0000FF"/>
                <w:w w:val="95"/>
              </w:rPr>
            </w:pPr>
            <w:hyperlink r:id="rId87">
              <w:r>
                <w:rPr>
                  <w:rFonts w:ascii="Arial" w:cs="Arial" w:eastAsia="Arial" w:hAnsi="Arial"/>
                  <w:sz w:val="18"/>
                  <w:szCs w:val="18"/>
                  <w:color w:val="0000FF"/>
                  <w:w w:val="95"/>
                </w:rPr>
                <w:t>Amended and Restated By-Laws of the Company, adopted and effective July 7, 2020 (incorporated by reference herein to Exhibit 3.1 to</w:t>
              </w:r>
            </w:hyperlink>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9800" w:type="dxa"/>
            <w:vAlign w:val="bottom"/>
            <w:tcBorders>
              <w:top w:val="single" w:sz="8" w:color="0000FF"/>
            </w:tcBorders>
            <w:gridSpan w:val="9"/>
          </w:tcPr>
          <w:p>
            <w:pPr>
              <w:spacing w:after="0"/>
              <w:rPr>
                <w:rFonts w:ascii="Arial" w:cs="Arial" w:eastAsia="Arial" w:hAnsi="Arial"/>
                <w:sz w:val="18"/>
                <w:szCs w:val="18"/>
                <w:u w:val="single" w:color="auto"/>
                <w:color w:val="0000FF"/>
                <w:w w:val="98"/>
              </w:rPr>
            </w:pPr>
            <w:hyperlink r:id="rId87">
              <w:r>
                <w:rPr>
                  <w:rFonts w:ascii="Arial" w:cs="Arial" w:eastAsia="Arial" w:hAnsi="Arial"/>
                  <w:sz w:val="18"/>
                  <w:szCs w:val="18"/>
                  <w:u w:val="single" w:color="auto"/>
                  <w:color w:val="0000FF"/>
                  <w:w w:val="98"/>
                </w:rPr>
                <w:t>the Company’s Quarterly Report on Form 10-Q for the period ended June 30, 2020. and Restated By-Laws of the Company.</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4.1</w:t>
            </w:r>
          </w:p>
        </w:tc>
        <w:tc>
          <w:tcPr>
            <w:tcW w:w="10300" w:type="dxa"/>
            <w:vAlign w:val="bottom"/>
            <w:gridSpan w:val="23"/>
          </w:tcPr>
          <w:p>
            <w:pPr>
              <w:spacing w:after="0" w:line="201"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Specimen of the Company’s Common Stock Certificate (incorporated herein by reference to Exhibit 4.1 to the Company’s Annual Report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2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on Form 10-K for the fiscal year ended December 31, 2001).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0300" w:type="dxa"/>
            <w:vAlign w:val="bottom"/>
            <w:gridSpan w:val="23"/>
          </w:tcPr>
          <w:p>
            <w:pPr>
              <w:spacing w:after="0"/>
              <w:rPr>
                <w:rFonts w:ascii="Arial" w:cs="Arial" w:eastAsia="Arial" w:hAnsi="Arial"/>
                <w:sz w:val="18"/>
                <w:szCs w:val="18"/>
                <w:color w:val="0000FF"/>
                <w:w w:val="93"/>
              </w:rPr>
            </w:pPr>
            <w:hyperlink r:id="rId89">
              <w:r>
                <w:rPr>
                  <w:rFonts w:ascii="Arial" w:cs="Arial" w:eastAsia="Arial" w:hAnsi="Arial"/>
                  <w:sz w:val="18"/>
                  <w:szCs w:val="18"/>
                  <w:color w:val="0000FF"/>
                  <w:w w:val="93"/>
                </w:rPr>
                <w:t>Indenture, dated as of November 19, 2010, between the Company and U.S. Bank National Association, as trustee (incorporated herein by</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reference to Exhibit 4.1 to the Company’s Current Report on Form 8-K filed on November 19, 2010).</w:t>
              </w:r>
            </w:hyperlink>
          </w:p>
        </w:tc>
        <w:tc>
          <w:tcPr>
            <w:tcW w:w="27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10300" w:type="dxa"/>
            <w:vAlign w:val="bottom"/>
            <w:gridSpan w:val="23"/>
          </w:tcPr>
          <w:p>
            <w:pPr>
              <w:spacing w:after="0"/>
              <w:rPr>
                <w:rFonts w:ascii="Arial" w:cs="Arial" w:eastAsia="Arial" w:hAnsi="Arial"/>
                <w:sz w:val="18"/>
                <w:szCs w:val="18"/>
                <w:color w:val="0000FF"/>
                <w:w w:val="94"/>
              </w:rPr>
            </w:pPr>
            <w:hyperlink r:id="rId90">
              <w:r>
                <w:rPr>
                  <w:rFonts w:ascii="Arial" w:cs="Arial" w:eastAsia="Arial" w:hAnsi="Arial"/>
                  <w:sz w:val="18"/>
                  <w:szCs w:val="18"/>
                  <w:color w:val="0000FF"/>
                  <w:w w:val="94"/>
                </w:rPr>
                <w:t>Second Supplemental Indenture, dated as of November 19, 2010, between the Company and U.S. Bank National Association, as trustee,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90">
              <w:r>
                <w:rPr>
                  <w:rFonts w:ascii="Arial" w:cs="Arial" w:eastAsia="Arial" w:hAnsi="Arial"/>
                  <w:sz w:val="18"/>
                  <w:szCs w:val="18"/>
                  <w:color w:val="0000FF"/>
                  <w:w w:val="93"/>
                </w:rPr>
                <w:t>including the form of the 2020 Notes (incorporated herein by reference to Exhibit 4.3 to the Company’s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780" w:type="dxa"/>
            <w:vAlign w:val="bottom"/>
            <w:tcBorders>
              <w:bottom w:val="single" w:sz="8" w:color="0000FF"/>
            </w:tcBorders>
            <w:gridSpan w:val="6"/>
          </w:tcPr>
          <w:p>
            <w:pPr>
              <w:spacing w:after="0" w:line="15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on November 19, 2010).</w:t>
              </w:r>
            </w:hyperlink>
          </w:p>
        </w:tc>
        <w:tc>
          <w:tcPr>
            <w:tcW w:w="840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10300" w:type="dxa"/>
            <w:vAlign w:val="bottom"/>
            <w:gridSpan w:val="23"/>
          </w:tcPr>
          <w:p>
            <w:pPr>
              <w:spacing w:after="0"/>
              <w:rPr>
                <w:rFonts w:ascii="Arial" w:cs="Arial" w:eastAsia="Arial" w:hAnsi="Arial"/>
                <w:sz w:val="18"/>
                <w:szCs w:val="18"/>
                <w:color w:val="0000FF"/>
                <w:w w:val="98"/>
              </w:rPr>
            </w:pPr>
            <w:hyperlink r:id="rId91">
              <w:r>
                <w:rPr>
                  <w:rFonts w:ascii="Arial" w:cs="Arial" w:eastAsia="Arial" w:hAnsi="Arial"/>
                  <w:sz w:val="18"/>
                  <w:szCs w:val="18"/>
                  <w:color w:val="0000FF"/>
                  <w:w w:val="98"/>
                </w:rPr>
                <w:t>Third Supplemental Indenture, dated as of August 23, 2012, between the Company and U.S. Bank National Association, as trustee,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280" w:type="dxa"/>
            <w:vAlign w:val="bottom"/>
            <w:tcBorders>
              <w:top w:val="single" w:sz="8" w:color="0000FF"/>
            </w:tcBorders>
            <w:gridSpan w:val="22"/>
          </w:tcPr>
          <w:p>
            <w:pPr>
              <w:spacing w:after="0" w:line="156" w:lineRule="exact"/>
              <w:rPr>
                <w:rFonts w:ascii="Arial" w:cs="Arial" w:eastAsia="Arial" w:hAnsi="Arial"/>
                <w:sz w:val="18"/>
                <w:szCs w:val="18"/>
                <w:color w:val="0000FF"/>
                <w:w w:val="94"/>
              </w:rPr>
            </w:pPr>
            <w:hyperlink r:id="rId91">
              <w:r>
                <w:rPr>
                  <w:rFonts w:ascii="Arial" w:cs="Arial" w:eastAsia="Arial" w:hAnsi="Arial"/>
                  <w:sz w:val="18"/>
                  <w:szCs w:val="18"/>
                  <w:color w:val="0000FF"/>
                  <w:w w:val="94"/>
                </w:rPr>
                <w:t>including the form of the 2017 Notes (incorporated herein by reference to Exhibit 4.2 to the Company’s Current Report on Form 8-K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on August 23, 2012).</w:t>
              </w:r>
            </w:hyperlink>
          </w:p>
        </w:tc>
        <w:tc>
          <w:tcPr>
            <w:tcW w:w="86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10300" w:type="dxa"/>
            <w:vAlign w:val="bottom"/>
            <w:gridSpan w:val="23"/>
          </w:tcPr>
          <w:p>
            <w:pPr>
              <w:spacing w:after="0"/>
              <w:rPr>
                <w:rFonts w:ascii="Arial" w:cs="Arial" w:eastAsia="Arial" w:hAnsi="Arial"/>
                <w:sz w:val="18"/>
                <w:szCs w:val="18"/>
                <w:color w:val="0000FF"/>
                <w:w w:val="97"/>
              </w:rPr>
            </w:pPr>
            <w:hyperlink r:id="rId92">
              <w:r>
                <w:rPr>
                  <w:rFonts w:ascii="Arial" w:cs="Arial" w:eastAsia="Arial" w:hAnsi="Arial"/>
                  <w:sz w:val="18"/>
                  <w:szCs w:val="18"/>
                  <w:color w:val="0000FF"/>
                  <w:w w:val="97"/>
                </w:rPr>
                <w:t>Fourth Supplemental Indenture, dated as of August 23, 2012, between the Company and U.S. Bank National Association, as trustee,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26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92">
              <w:r>
                <w:rPr>
                  <w:rFonts w:ascii="Arial" w:cs="Arial" w:eastAsia="Arial" w:hAnsi="Arial"/>
                  <w:sz w:val="18"/>
                  <w:szCs w:val="18"/>
                  <w:color w:val="0000FF"/>
                  <w:w w:val="94"/>
                </w:rPr>
                <w:t>including the form of the 2022 Notes (incorporated herein by reference to Exhibit 4.3 to the Company’s Current Report on Form 8-K filed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on August 23, 2012).</w:t>
              </w:r>
            </w:hyperlink>
          </w:p>
        </w:tc>
        <w:tc>
          <w:tcPr>
            <w:tcW w:w="86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4.6</w:t>
            </w:r>
          </w:p>
        </w:tc>
        <w:tc>
          <w:tcPr>
            <w:tcW w:w="10300" w:type="dxa"/>
            <w:vAlign w:val="bottom"/>
            <w:gridSpan w:val="23"/>
          </w:tcPr>
          <w:p>
            <w:pPr>
              <w:spacing w:after="0"/>
              <w:rPr>
                <w:rFonts w:ascii="Arial" w:cs="Arial" w:eastAsia="Arial" w:hAnsi="Arial"/>
                <w:sz w:val="18"/>
                <w:szCs w:val="18"/>
                <w:color w:val="0000FF"/>
                <w:w w:val="97"/>
              </w:rPr>
            </w:pPr>
            <w:hyperlink r:id="rId93">
              <w:r>
                <w:rPr>
                  <w:rFonts w:ascii="Arial" w:cs="Arial" w:eastAsia="Arial" w:hAnsi="Arial"/>
                  <w:sz w:val="18"/>
                  <w:szCs w:val="18"/>
                  <w:color w:val="0000FF"/>
                  <w:w w:val="97"/>
                </w:rPr>
                <w:t>Fifth Supplemental Indenture, dated as of November 1, 2013, between the Company and U.S. Bank National Association, as trustee,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10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including the form of the 2018 Notes (incorporated herein by reference to Exhibit 4.2 to the Company’s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on November 1, 2013).</w:t>
              </w:r>
            </w:hyperlink>
          </w:p>
        </w:tc>
        <w:tc>
          <w:tcPr>
            <w:tcW w:w="84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4.7</w:t>
            </w:r>
          </w:p>
        </w:tc>
        <w:tc>
          <w:tcPr>
            <w:tcW w:w="10300" w:type="dxa"/>
            <w:vAlign w:val="bottom"/>
            <w:gridSpan w:val="23"/>
          </w:tcPr>
          <w:p>
            <w:pPr>
              <w:spacing w:after="0"/>
              <w:rPr>
                <w:rFonts w:ascii="Arial" w:cs="Arial" w:eastAsia="Arial" w:hAnsi="Arial"/>
                <w:sz w:val="18"/>
                <w:szCs w:val="18"/>
                <w:color w:val="0000FF"/>
                <w:w w:val="96"/>
              </w:rPr>
            </w:pPr>
            <w:hyperlink r:id="rId94">
              <w:r>
                <w:rPr>
                  <w:rFonts w:ascii="Arial" w:cs="Arial" w:eastAsia="Arial" w:hAnsi="Arial"/>
                  <w:sz w:val="18"/>
                  <w:szCs w:val="18"/>
                  <w:color w:val="0000FF"/>
                  <w:w w:val="96"/>
                </w:rPr>
                <w:t>Sixth Supplemental Indenture, dated as of November 1, 2013, between the Company and U.S. Bank National Association, as trustee,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14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including the form of the 2023 Notes (incorporated herein by reference to Exhibit 4.3 to the Company’s Current Report on Form 8-K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1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on November 1,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3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4.8</w:t>
            </w:r>
          </w:p>
        </w:tc>
        <w:tc>
          <w:tcPr>
            <w:tcW w:w="10300" w:type="dxa"/>
            <w:vAlign w:val="bottom"/>
            <w:gridSpan w:val="23"/>
          </w:tcPr>
          <w:p>
            <w:pPr>
              <w:spacing w:after="0"/>
              <w:rPr>
                <w:rFonts w:ascii="Arial" w:cs="Arial" w:eastAsia="Arial" w:hAnsi="Arial"/>
                <w:sz w:val="18"/>
                <w:szCs w:val="18"/>
                <w:color w:val="0000FF"/>
                <w:w w:val="95"/>
              </w:rPr>
            </w:pPr>
            <w:hyperlink r:id="rId95">
              <w:r>
                <w:rPr>
                  <w:rFonts w:ascii="Arial" w:cs="Arial" w:eastAsia="Arial" w:hAnsi="Arial"/>
                  <w:sz w:val="18"/>
                  <w:szCs w:val="18"/>
                  <w:color w:val="0000FF"/>
                  <w:w w:val="95"/>
                </w:rPr>
                <w:t>Seventh Supplemental Indenture, dated as of January 30, 2015, between the Company and U.S. Bank National Association, as trustee,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6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including the form of the 2020 Notes (incorporated herein by reference to Exhibit 4.2 to the Company’s Current Report on Form 8-K filed</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95">
              <w:r>
                <w:rPr>
                  <w:rFonts w:ascii="Arial" w:cs="Arial" w:eastAsia="Arial" w:hAnsi="Arial"/>
                  <w:sz w:val="18"/>
                  <w:szCs w:val="18"/>
                  <w:color w:val="0000FF"/>
                  <w:w w:val="89"/>
                </w:rPr>
                <w:t>on January 30, 2015).</w:t>
              </w:r>
            </w:hyperlink>
          </w:p>
        </w:tc>
        <w:tc>
          <w:tcPr>
            <w:tcW w:w="86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4.9</w:t>
            </w:r>
          </w:p>
        </w:tc>
        <w:tc>
          <w:tcPr>
            <w:tcW w:w="10300" w:type="dxa"/>
            <w:vAlign w:val="bottom"/>
            <w:gridSpan w:val="23"/>
          </w:tcPr>
          <w:p>
            <w:pPr>
              <w:spacing w:after="0"/>
              <w:rPr>
                <w:rFonts w:ascii="Arial" w:cs="Arial" w:eastAsia="Arial" w:hAnsi="Arial"/>
                <w:sz w:val="18"/>
                <w:szCs w:val="18"/>
                <w:color w:val="0000FF"/>
                <w:w w:val="96"/>
              </w:rPr>
            </w:pPr>
            <w:hyperlink r:id="rId96">
              <w:r>
                <w:rPr>
                  <w:rFonts w:ascii="Arial" w:cs="Arial" w:eastAsia="Arial" w:hAnsi="Arial"/>
                  <w:sz w:val="18"/>
                  <w:szCs w:val="18"/>
                  <w:color w:val="0000FF"/>
                  <w:w w:val="96"/>
                </w:rPr>
                <w:t>Eighth Supplemental Indenture, dated as of January 30, 2015, between the Company and U.S. Bank National Association, as trustee,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24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including the form of the 2022 Notes (incorporated herein by reference to Exhibit 4.3 to the Company’s Current Report on Form 8-K filed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on January 30, 2015).</w:t>
              </w:r>
            </w:hyperlink>
          </w:p>
        </w:tc>
        <w:tc>
          <w:tcPr>
            <w:tcW w:w="86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4.10</w:t>
            </w:r>
          </w:p>
        </w:tc>
        <w:tc>
          <w:tcPr>
            <w:tcW w:w="10300" w:type="dxa"/>
            <w:vAlign w:val="bottom"/>
            <w:gridSpan w:val="23"/>
          </w:tcPr>
          <w:p>
            <w:pPr>
              <w:spacing w:after="0"/>
              <w:rPr>
                <w:rFonts w:ascii="Arial" w:cs="Arial" w:eastAsia="Arial" w:hAnsi="Arial"/>
                <w:sz w:val="18"/>
                <w:szCs w:val="18"/>
                <w:color w:val="0000FF"/>
                <w:w w:val="97"/>
              </w:rPr>
            </w:pPr>
            <w:hyperlink r:id="rId97">
              <w:r>
                <w:rPr>
                  <w:rFonts w:ascii="Arial" w:cs="Arial" w:eastAsia="Arial" w:hAnsi="Arial"/>
                  <w:sz w:val="18"/>
                  <w:szCs w:val="18"/>
                  <w:color w:val="0000FF"/>
                  <w:w w:val="97"/>
                </w:rPr>
                <w:t>Ninth Supplemental Indenture, dated as of January 30, 2015, between the Company and U.S. Bank National Association, as trustee,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16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including the form of the 2025 Notes (incorporated herein by reference to Exhibit 4.4 to the Company’s Current Report on Form 8-K filed</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on January 30, 2015).</w:t>
              </w:r>
            </w:hyperlink>
          </w:p>
        </w:tc>
        <w:tc>
          <w:tcPr>
            <w:tcW w:w="86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4.11</w:t>
            </w:r>
          </w:p>
        </w:tc>
        <w:tc>
          <w:tcPr>
            <w:tcW w:w="10300" w:type="dxa"/>
            <w:vAlign w:val="bottom"/>
            <w:gridSpan w:val="23"/>
          </w:tcPr>
          <w:p>
            <w:pPr>
              <w:spacing w:after="0"/>
              <w:rPr>
                <w:rFonts w:ascii="Arial" w:cs="Arial" w:eastAsia="Arial" w:hAnsi="Arial"/>
                <w:sz w:val="18"/>
                <w:szCs w:val="18"/>
                <w:color w:val="0000FF"/>
                <w:w w:val="97"/>
              </w:rPr>
            </w:pPr>
            <w:hyperlink r:id="rId98">
              <w:r>
                <w:rPr>
                  <w:rFonts w:ascii="Arial" w:cs="Arial" w:eastAsia="Arial" w:hAnsi="Arial"/>
                  <w:sz w:val="18"/>
                  <w:szCs w:val="18"/>
                  <w:color w:val="0000FF"/>
                  <w:w w:val="97"/>
                </w:rPr>
                <w:t>Tenth Supplemental Indenture, dated as of January 30, 2015, between the Company and U.S. Bank National Association, as trustee,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12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including the form of the 2045 Notes (incorporated herein by reference to Exhibit 4.5 to the Company’s Current Report on Form 8-K filed</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98">
              <w:r>
                <w:rPr>
                  <w:rFonts w:ascii="Arial" w:cs="Arial" w:eastAsia="Arial" w:hAnsi="Arial"/>
                  <w:sz w:val="18"/>
                  <w:szCs w:val="18"/>
                  <w:color w:val="0000FF"/>
                  <w:w w:val="89"/>
                </w:rPr>
                <w:t>on January 30, 2015).</w:t>
              </w:r>
            </w:hyperlink>
          </w:p>
        </w:tc>
        <w:tc>
          <w:tcPr>
            <w:tcW w:w="86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4.12</w:t>
            </w:r>
          </w:p>
        </w:tc>
        <w:tc>
          <w:tcPr>
            <w:tcW w:w="10300" w:type="dxa"/>
            <w:vAlign w:val="bottom"/>
            <w:gridSpan w:val="23"/>
          </w:tcPr>
          <w:p>
            <w:pPr>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Eleventh Supplemental Indenture, dated as of August 22, 2017, between the Company and U.S. Bank National Association, as trustee,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220" w:type="dxa"/>
            <w:vAlign w:val="bottom"/>
            <w:tcBorders>
              <w:top w:val="single" w:sz="8" w:color="0000FF"/>
            </w:tcBorders>
            <w:gridSpan w:val="19"/>
          </w:tcPr>
          <w:p>
            <w:pPr>
              <w:spacing w:after="0" w:line="156" w:lineRule="exact"/>
              <w:rPr>
                <w:rFonts w:ascii="Arial" w:cs="Arial" w:eastAsia="Arial" w:hAnsi="Arial"/>
                <w:sz w:val="18"/>
                <w:szCs w:val="18"/>
                <w:color w:val="0000FF"/>
                <w:w w:val="97"/>
              </w:rPr>
            </w:pPr>
            <w:hyperlink r:id="rId99">
              <w:r>
                <w:rPr>
                  <w:rFonts w:ascii="Arial" w:cs="Arial" w:eastAsia="Arial" w:hAnsi="Arial"/>
                  <w:sz w:val="18"/>
                  <w:szCs w:val="18"/>
                  <w:color w:val="0000FF"/>
                  <w:w w:val="97"/>
                </w:rPr>
                <w:t>including the form of the 2024 Notes (incorporated by reference to Exhibit 4.2 to the Company’s Current Report on Form 8-K filed on</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2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August 22, 2017).</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180" w:type="dxa"/>
            <w:vAlign w:val="bottom"/>
          </w:tcPr>
          <w:p>
            <w:pPr>
              <w:ind w:left="20"/>
              <w:spacing w:after="0"/>
              <w:rPr>
                <w:sz w:val="20"/>
                <w:szCs w:val="20"/>
                <w:color w:val="auto"/>
              </w:rPr>
            </w:pPr>
            <w:r>
              <w:rPr>
                <w:rFonts w:ascii="Arial" w:cs="Arial" w:eastAsia="Arial" w:hAnsi="Arial"/>
                <w:sz w:val="18"/>
                <w:szCs w:val="18"/>
                <w:color w:val="auto"/>
              </w:rPr>
              <w:t>4.13</w:t>
            </w:r>
          </w:p>
        </w:tc>
        <w:tc>
          <w:tcPr>
            <w:tcW w:w="10360" w:type="dxa"/>
            <w:vAlign w:val="bottom"/>
            <w:gridSpan w:val="32"/>
          </w:tcPr>
          <w:p>
            <w:pPr>
              <w:spacing w:after="0"/>
              <w:rPr>
                <w:rFonts w:ascii="Arial" w:cs="Arial" w:eastAsia="Arial" w:hAnsi="Arial"/>
                <w:sz w:val="18"/>
                <w:szCs w:val="18"/>
                <w:color w:val="0000FF"/>
                <w:w w:val="97"/>
              </w:rPr>
            </w:pPr>
            <w:hyperlink r:id="rId101">
              <w:r>
                <w:rPr>
                  <w:rFonts w:ascii="Arial" w:cs="Arial" w:eastAsia="Arial" w:hAnsi="Arial"/>
                  <w:sz w:val="18"/>
                  <w:szCs w:val="18"/>
                  <w:color w:val="0000FF"/>
                  <w:w w:val="97"/>
                </w:rPr>
                <w:t>Twelfth Supplemental Indenture, dated as of August 22, 2017, between the Company and U.S. Bank National Association, as trustee,</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including the form of the 2027 Notes (incorporated by reference to Exhibit 4.3 to the Company’s Current Report on Form 8-K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240" w:type="dxa"/>
            <w:vAlign w:val="bottom"/>
            <w:gridSpan w:val="26"/>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August 22,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4.14</w:t>
            </w:r>
          </w:p>
        </w:tc>
        <w:tc>
          <w:tcPr>
            <w:tcW w:w="10360" w:type="dxa"/>
            <w:vAlign w:val="bottom"/>
            <w:gridSpan w:val="32"/>
          </w:tcPr>
          <w:p>
            <w:pPr>
              <w:spacing w:after="0"/>
              <w:rPr>
                <w:rFonts w:ascii="Arial" w:cs="Arial" w:eastAsia="Arial" w:hAnsi="Arial"/>
                <w:sz w:val="18"/>
                <w:szCs w:val="18"/>
                <w:color w:val="0000FF"/>
                <w:w w:val="92"/>
              </w:rPr>
            </w:pPr>
            <w:hyperlink r:id="rId102">
              <w:r>
                <w:rPr>
                  <w:rFonts w:ascii="Arial" w:cs="Arial" w:eastAsia="Arial" w:hAnsi="Arial"/>
                  <w:sz w:val="18"/>
                  <w:szCs w:val="18"/>
                  <w:color w:val="0000FF"/>
                  <w:w w:val="92"/>
                </w:rPr>
                <w:t>Thirteenth Supplemental Indenture, dated as of November 25, 2019, between the Company and U.S. Bank National Association, as trustee,</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6" w:lineRule="exact"/>
              <w:rPr>
                <w:rFonts w:ascii="Arial" w:cs="Arial" w:eastAsia="Arial" w:hAnsi="Arial"/>
                <w:sz w:val="18"/>
                <w:szCs w:val="18"/>
                <w:color w:val="0000FF"/>
                <w:w w:val="93"/>
              </w:rPr>
            </w:pPr>
            <w:hyperlink r:id="rId102">
              <w:r>
                <w:rPr>
                  <w:rFonts w:ascii="Arial" w:cs="Arial" w:eastAsia="Arial" w:hAnsi="Arial"/>
                  <w:sz w:val="18"/>
                  <w:szCs w:val="18"/>
                  <w:color w:val="0000FF"/>
                  <w:w w:val="93"/>
                </w:rPr>
                <w:t>including the form of the 2024 Notes (incorporated herein by reference to Exhibit 4.2 to the Company's Current Report on Form 8-K filed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on November 25, 2019).</w:t>
              </w:r>
            </w:hyperlink>
          </w:p>
        </w:tc>
        <w:tc>
          <w:tcPr>
            <w:tcW w:w="836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4.15</w:t>
            </w:r>
          </w:p>
        </w:tc>
        <w:tc>
          <w:tcPr>
            <w:tcW w:w="10360" w:type="dxa"/>
            <w:vAlign w:val="bottom"/>
            <w:gridSpan w:val="32"/>
          </w:tcPr>
          <w:p>
            <w:pPr>
              <w:spacing w:after="0"/>
              <w:rPr>
                <w:rFonts w:ascii="Arial" w:cs="Arial" w:eastAsia="Arial" w:hAnsi="Arial"/>
                <w:sz w:val="18"/>
                <w:szCs w:val="18"/>
                <w:color w:val="0000FF"/>
                <w:w w:val="98"/>
              </w:rPr>
            </w:pPr>
            <w:hyperlink r:id="rId103">
              <w:r>
                <w:rPr>
                  <w:rFonts w:ascii="Arial" w:cs="Arial" w:eastAsia="Arial" w:hAnsi="Arial"/>
                  <w:sz w:val="18"/>
                  <w:szCs w:val="18"/>
                  <w:color w:val="0000FF"/>
                  <w:w w:val="98"/>
                </w:rPr>
                <w:t>Fourteenth Supplemental Indenture, dated as of November 25, 2019, between the Company and U.S. Bank National Association, as</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20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trustee, including the form of the 2029 Notes (incorporated herein by reference to Exhibit 4.3 to the Company's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K filed on November 25,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8"/>
                <w:szCs w:val="18"/>
                <w:color w:val="auto"/>
              </w:rPr>
              <w:t>4.16*</w:t>
            </w:r>
          </w:p>
        </w:tc>
        <w:tc>
          <w:tcPr>
            <w:tcW w:w="10360" w:type="dxa"/>
            <w:vAlign w:val="bottom"/>
            <w:gridSpan w:val="32"/>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Description of the Registrant's securities registered pursuant to Section 12 of the Securities Exchange Act of 1934.</w:t>
              </w:r>
            </w:hyperlink>
          </w:p>
        </w:tc>
        <w:tc>
          <w:tcPr>
            <w:tcW w:w="0" w:type="dxa"/>
            <w:vAlign w:val="bottom"/>
          </w:tcPr>
          <w:p>
            <w:pPr>
              <w:spacing w:after="0"/>
              <w:rPr>
                <w:sz w:val="1"/>
                <w:szCs w:val="1"/>
                <w:color w:val="auto"/>
              </w:rPr>
            </w:pPr>
          </w:p>
        </w:tc>
      </w:tr>
      <w:tr>
        <w:trPr>
          <w:trHeight w:val="182"/>
        </w:trPr>
        <w:tc>
          <w:tcPr>
            <w:tcW w:w="1180" w:type="dxa"/>
            <w:vAlign w:val="bottom"/>
          </w:tcPr>
          <w:p>
            <w:pPr>
              <w:ind w:left="20"/>
              <w:spacing w:after="0" w:line="182" w:lineRule="exact"/>
              <w:rPr>
                <w:sz w:val="20"/>
                <w:szCs w:val="20"/>
                <w:color w:val="auto"/>
              </w:rPr>
            </w:pPr>
            <w:r>
              <w:rPr>
                <w:rFonts w:ascii="Arial" w:cs="Arial" w:eastAsia="Arial" w:hAnsi="Arial"/>
                <w:sz w:val="17"/>
                <w:szCs w:val="17"/>
                <w:color w:val="auto"/>
              </w:rPr>
              <w:t>10.1</w:t>
            </w:r>
            <w:r>
              <w:rPr>
                <w:rFonts w:ascii="Arial" w:cs="Arial" w:eastAsia="Arial" w:hAnsi="Arial"/>
                <w:sz w:val="21"/>
                <w:szCs w:val="21"/>
                <w:color w:val="auto"/>
                <w:vertAlign w:val="superscript"/>
              </w:rPr>
              <w:t>+</w:t>
            </w:r>
          </w:p>
        </w:tc>
        <w:tc>
          <w:tcPr>
            <w:tcW w:w="10360" w:type="dxa"/>
            <w:vAlign w:val="bottom"/>
            <w:gridSpan w:val="32"/>
          </w:tcPr>
          <w:p>
            <w:pPr>
              <w:spacing w:after="0" w:line="182" w:lineRule="exact"/>
              <w:rPr>
                <w:sz w:val="20"/>
                <w:szCs w:val="20"/>
                <w:color w:val="auto"/>
              </w:rPr>
            </w:pPr>
            <w:r>
              <w:rPr>
                <w:rFonts w:ascii="Arial" w:cs="Arial" w:eastAsia="Arial" w:hAnsi="Arial"/>
                <w:sz w:val="18"/>
                <w:szCs w:val="18"/>
                <w:color w:val="auto"/>
                <w:w w:val="95"/>
              </w:rPr>
              <w:t>National Health Laboratories Incorporated Pension Equalization Plan (incorporated herein by reference to the Company’s Annual Report</w:t>
            </w:r>
          </w:p>
        </w:tc>
        <w:tc>
          <w:tcPr>
            <w:tcW w:w="0" w:type="dxa"/>
            <w:vAlign w:val="bottom"/>
          </w:tcPr>
          <w:p>
            <w:pPr>
              <w:spacing w:after="0"/>
              <w:rPr>
                <w:sz w:val="1"/>
                <w:szCs w:val="1"/>
                <w:color w:val="auto"/>
              </w:rPr>
            </w:pPr>
          </w:p>
        </w:tc>
      </w:tr>
      <w:tr>
        <w:trPr>
          <w:trHeight w:val="229"/>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10.2</w:t>
            </w:r>
            <w:r>
              <w:rPr>
                <w:rFonts w:ascii="Arial" w:cs="Arial" w:eastAsia="Arial" w:hAnsi="Arial"/>
                <w:sz w:val="23"/>
                <w:szCs w:val="23"/>
                <w:color w:val="auto"/>
                <w:vertAlign w:val="superscript"/>
              </w:rPr>
              <w:t>+</w:t>
            </w:r>
          </w:p>
        </w:tc>
        <w:tc>
          <w:tcPr>
            <w:tcW w:w="10360" w:type="dxa"/>
            <w:vAlign w:val="bottom"/>
            <w:gridSpan w:val="32"/>
          </w:tcPr>
          <w:p>
            <w:pPr>
              <w:spacing w:after="0"/>
              <w:rPr>
                <w:sz w:val="20"/>
                <w:szCs w:val="20"/>
                <w:color w:val="auto"/>
              </w:rPr>
            </w:pPr>
            <w:r>
              <w:rPr>
                <w:rFonts w:ascii="Arial" w:cs="Arial" w:eastAsia="Arial" w:hAnsi="Arial"/>
                <w:sz w:val="18"/>
                <w:szCs w:val="18"/>
                <w:color w:val="auto"/>
              </w:rPr>
              <w:t>on Form 10-K for the fiscal year ended December 31, 1992).</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0360" w:type="dxa"/>
            <w:vAlign w:val="bottom"/>
            <w:gridSpan w:val="32"/>
          </w:tcPr>
          <w:p>
            <w:pPr>
              <w:spacing w:after="0" w:line="190"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Laboratory Corporation of America Holdings Amended and Restated New Pension Equalization Plan (incorporated herein by reference to</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10.3</w:t>
            </w:r>
            <w:r>
              <w:rPr>
                <w:rFonts w:ascii="Arial" w:cs="Arial" w:eastAsia="Arial" w:hAnsi="Arial"/>
                <w:sz w:val="23"/>
                <w:szCs w:val="23"/>
                <w:color w:val="auto"/>
                <w:vertAlign w:val="superscript"/>
              </w:rPr>
              <w:t>+</w:t>
            </w:r>
          </w:p>
        </w:tc>
        <w:tc>
          <w:tcPr>
            <w:tcW w:w="76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Exhibit 10.1 to the Company's Quarterly Report on Form 10-Q for the period ended September 30, 2004).</w:t>
              </w:r>
            </w:hyperlink>
          </w:p>
        </w:tc>
        <w:tc>
          <w:tcPr>
            <w:tcW w:w="24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9080" w:type="dxa"/>
            <w:vAlign w:val="bottom"/>
            <w:tcBorders>
              <w:bottom w:val="single" w:sz="8" w:color="0000FF"/>
            </w:tcBorders>
            <w:gridSpan w:val="13"/>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First Amendment to the Laboratory Corporation of America Holdings Amended and Restated New Pension Equalization Plan</w:t>
              </w:r>
            </w:hyperlink>
          </w:p>
        </w:tc>
        <w:tc>
          <w:tcPr>
            <w:tcW w:w="128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360" w:type="dxa"/>
            <w:vAlign w:val="bottom"/>
            <w:gridSpan w:val="32"/>
          </w:tcPr>
          <w:p>
            <w:pPr>
              <w:spacing w:after="0" w:line="182" w:lineRule="exact"/>
              <w:rPr>
                <w:rFonts w:ascii="Arial" w:cs="Arial" w:eastAsia="Arial" w:hAnsi="Arial"/>
                <w:sz w:val="18"/>
                <w:szCs w:val="18"/>
                <w:color w:val="0000FF"/>
                <w:w w:val="96"/>
              </w:rPr>
            </w:pPr>
            <w:hyperlink r:id="rId105">
              <w:r>
                <w:rPr>
                  <w:rFonts w:ascii="Arial" w:cs="Arial" w:eastAsia="Arial" w:hAnsi="Arial"/>
                  <w:sz w:val="18"/>
                  <w:szCs w:val="18"/>
                  <w:color w:val="0000FF"/>
                  <w:w w:val="96"/>
                </w:rPr>
                <w:t>(incorporated herein by reference to Exhibit 10.2 to the Company’s Quarterly Report on Form 10-Q for the period ended September 30,</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2004).</w:t>
              </w:r>
            </w:hyperlink>
          </w:p>
        </w:tc>
        <w:tc>
          <w:tcPr>
            <w:tcW w:w="8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2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line="223" w:lineRule="exact"/>
              <w:rPr>
                <w:sz w:val="20"/>
                <w:szCs w:val="20"/>
                <w:color w:val="auto"/>
              </w:rPr>
            </w:pPr>
            <w:r>
              <w:rPr>
                <w:rFonts w:ascii="Arial" w:cs="Arial" w:eastAsia="Arial" w:hAnsi="Arial"/>
                <w:sz w:val="18"/>
                <w:szCs w:val="18"/>
                <w:color w:val="auto"/>
              </w:rPr>
              <w:t>10.4</w:t>
            </w:r>
            <w:r>
              <w:rPr>
                <w:rFonts w:ascii="Arial" w:cs="Arial" w:eastAsia="Arial" w:hAnsi="Arial"/>
                <w:sz w:val="23"/>
                <w:szCs w:val="23"/>
                <w:color w:val="auto"/>
                <w:vertAlign w:val="superscript"/>
              </w:rPr>
              <w:t>+</w:t>
            </w:r>
          </w:p>
        </w:tc>
        <w:tc>
          <w:tcPr>
            <w:tcW w:w="10360" w:type="dxa"/>
            <w:vAlign w:val="bottom"/>
            <w:gridSpan w:val="32"/>
          </w:tcPr>
          <w:p>
            <w:pPr>
              <w:spacing w:after="0"/>
              <w:rPr>
                <w:rFonts w:ascii="Arial" w:cs="Arial" w:eastAsia="Arial" w:hAnsi="Arial"/>
                <w:sz w:val="18"/>
                <w:szCs w:val="18"/>
                <w:color w:val="0000FF"/>
              </w:rPr>
            </w:pPr>
            <w:hyperlink r:id="rId106">
              <w:r>
                <w:rPr>
                  <w:rFonts w:ascii="Arial" w:cs="Arial" w:eastAsia="Arial" w:hAnsi="Arial"/>
                  <w:sz w:val="18"/>
                  <w:szCs w:val="18"/>
                  <w:color w:val="0000FF"/>
                </w:rPr>
                <w:t>Second Amendment to the Laboratory Corporation of America Holdings Amended and Restated New Pension Equalization Plan</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3"/>
              </w:rPr>
            </w:pPr>
            <w:hyperlink r:id="rId106">
              <w:r>
                <w:rPr>
                  <w:rFonts w:ascii="Arial" w:cs="Arial" w:eastAsia="Arial" w:hAnsi="Arial"/>
                  <w:sz w:val="18"/>
                  <w:szCs w:val="18"/>
                  <w:color w:val="0000FF"/>
                  <w:w w:val="93"/>
                </w:rPr>
                <w:t>(incorporated herein by reference to Exhibit 10.4 to the Company’s Annual Report on Form 10-K for the fiscal year ended December 31,</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10.5</w:t>
            </w:r>
            <w:r>
              <w:rPr>
                <w:rFonts w:ascii="Arial" w:cs="Arial" w:eastAsia="Arial" w:hAnsi="Arial"/>
                <w:sz w:val="23"/>
                <w:szCs w:val="23"/>
                <w:color w:val="auto"/>
                <w:vertAlign w:val="superscript"/>
              </w:rPr>
              <w:t>+</w:t>
            </w:r>
          </w:p>
        </w:tc>
        <w:tc>
          <w:tcPr>
            <w:tcW w:w="480" w:type="dxa"/>
            <w:vAlign w:val="bottom"/>
            <w:tcBorders>
              <w:bottom w:val="single" w:sz="8" w:color="0000FF"/>
            </w:tcBorders>
          </w:tcPr>
          <w:p>
            <w:pPr>
              <w:spacing w:after="0" w:line="15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2004).</w:t>
              </w:r>
            </w:hyperlink>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rPr>
            </w:pPr>
            <w:hyperlink r:id="rId107">
              <w:r>
                <w:rPr>
                  <w:rFonts w:ascii="Arial" w:cs="Arial" w:eastAsia="Arial" w:hAnsi="Arial"/>
                  <w:sz w:val="18"/>
                  <w:szCs w:val="18"/>
                  <w:color w:val="0000FF"/>
                </w:rPr>
                <w:t>Laboratory Corporation of America Holdings Deferred Compensation Plan (incorporated herein by reference to Exhibit 10.22 the</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10.6</w:t>
            </w:r>
            <w:r>
              <w:rPr>
                <w:rFonts w:ascii="Arial" w:cs="Arial" w:eastAsia="Arial" w:hAnsi="Arial"/>
                <w:sz w:val="23"/>
                <w:szCs w:val="23"/>
                <w:color w:val="auto"/>
                <w:vertAlign w:val="superscript"/>
              </w:rPr>
              <w:t>+</w:t>
            </w:r>
          </w:p>
        </w:tc>
        <w:tc>
          <w:tcPr>
            <w:tcW w:w="63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Company’s Annual Report on Form 10-K for the fiscal year ended December 31, 2004).</w:t>
              </w:r>
            </w:hyperlink>
          </w:p>
        </w:tc>
        <w:tc>
          <w:tcPr>
            <w:tcW w:w="39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w w:val="96"/>
              </w:rPr>
            </w:pPr>
            <w:hyperlink r:id="rId108">
              <w:r>
                <w:rPr>
                  <w:rFonts w:ascii="Arial" w:cs="Arial" w:eastAsia="Arial" w:hAnsi="Arial"/>
                  <w:sz w:val="18"/>
                  <w:szCs w:val="18"/>
                  <w:color w:val="0000FF"/>
                  <w:w w:val="96"/>
                </w:rPr>
                <w:t>First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10.7</w:t>
            </w:r>
            <w:r>
              <w:rPr>
                <w:rFonts w:ascii="Arial" w:cs="Arial" w:eastAsia="Arial" w:hAnsi="Arial"/>
                <w:sz w:val="23"/>
                <w:szCs w:val="23"/>
                <w:color w:val="auto"/>
                <w:vertAlign w:val="superscript"/>
              </w:rPr>
              <w:t>+</w:t>
            </w:r>
          </w:p>
        </w:tc>
        <w:tc>
          <w:tcPr>
            <w:tcW w:w="78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Exhibit 10.23 to the Company’s Annual Report on Form 10-K for the fiscal year ended December 31, 2004).</w:t>
              </w:r>
            </w:hyperlink>
          </w:p>
        </w:tc>
        <w:tc>
          <w:tcPr>
            <w:tcW w:w="24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Second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10.8</w:t>
            </w:r>
            <w:r>
              <w:rPr>
                <w:rFonts w:ascii="Arial" w:cs="Arial" w:eastAsia="Arial" w:hAnsi="Arial"/>
                <w:sz w:val="23"/>
                <w:szCs w:val="23"/>
                <w:color w:val="auto"/>
                <w:vertAlign w:val="superscript"/>
              </w:rPr>
              <w:t>+</w:t>
            </w:r>
          </w:p>
        </w:tc>
        <w:tc>
          <w:tcPr>
            <w:tcW w:w="10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Exhibit 10.8 to the Company’s Quarterly Report on Form 10-Q for the period ended June 30, 2005).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w w:val="94"/>
              </w:rPr>
            </w:pPr>
            <w:hyperlink r:id="rId110">
              <w:r>
                <w:rPr>
                  <w:rFonts w:ascii="Arial" w:cs="Arial" w:eastAsia="Arial" w:hAnsi="Arial"/>
                  <w:sz w:val="18"/>
                  <w:szCs w:val="18"/>
                  <w:color w:val="0000FF"/>
                  <w:w w:val="94"/>
                </w:rPr>
                <w:t>Third Amendment to the Laboratory Corporation of America Amended and Restated New Pension Equalization Plan (incorporated herein</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10.9</w:t>
            </w:r>
            <w:r>
              <w:rPr>
                <w:rFonts w:ascii="Arial" w:cs="Arial" w:eastAsia="Arial" w:hAnsi="Arial"/>
                <w:sz w:val="23"/>
                <w:szCs w:val="23"/>
                <w:color w:val="auto"/>
                <w:vertAlign w:val="superscript"/>
              </w:rPr>
              <w:t>+</w:t>
            </w:r>
          </w:p>
        </w:tc>
        <w:tc>
          <w:tcPr>
            <w:tcW w:w="100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by reference Exhibit 10.6 to the Company’s Quarterly Report on Form 10-Q for the period ended June 30, 2005).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Third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78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Exhibit 10.28 to the Company’s Annual Report on Form 10-K for the fiscal year ended December 31, 2006).</w:t>
              </w:r>
            </w:hyperlink>
          </w:p>
        </w:tc>
        <w:tc>
          <w:tcPr>
            <w:tcW w:w="24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w w:val="94"/>
              </w:rPr>
            </w:pPr>
            <w:hyperlink r:id="rId112">
              <w:r>
                <w:rPr>
                  <w:rFonts w:ascii="Arial" w:cs="Arial" w:eastAsia="Arial" w:hAnsi="Arial"/>
                  <w:sz w:val="18"/>
                  <w:szCs w:val="18"/>
                  <w:color w:val="0000FF"/>
                  <w:w w:val="94"/>
                </w:rPr>
                <w:t>Fourth Amendment to the Laboratory Corporation of America Holdings Deferred Compensation Plan (incorporated herein by reference to</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78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Exhibit 10.34 to the Company’s Annual Report on Form 10-K for the fiscal year ended December 31, 2007).</w:t>
              </w:r>
            </w:hyperlink>
          </w:p>
        </w:tc>
        <w:tc>
          <w:tcPr>
            <w:tcW w:w="24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w w:val="96"/>
              </w:rPr>
            </w:pPr>
            <w:hyperlink r:id="rId113">
              <w:r>
                <w:rPr>
                  <w:rFonts w:ascii="Arial" w:cs="Arial" w:eastAsia="Arial" w:hAnsi="Arial"/>
                  <w:sz w:val="18"/>
                  <w:szCs w:val="18"/>
                  <w:color w:val="0000FF"/>
                  <w:w w:val="96"/>
                </w:rPr>
                <w:t>Laboratory Corporation of America Holdings 2008 Stock Incentive Plan (incorporated herein by reference to Annex III to the Company’s</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10.12</w:t>
            </w:r>
            <w:r>
              <w:rPr>
                <w:rFonts w:ascii="Arial" w:cs="Arial" w:eastAsia="Arial" w:hAnsi="Arial"/>
                <w:sz w:val="23"/>
                <w:szCs w:val="23"/>
                <w:color w:val="auto"/>
                <w:vertAlign w:val="superscript"/>
              </w:rPr>
              <w:t>+</w:t>
            </w:r>
          </w:p>
        </w:tc>
        <w:tc>
          <w:tcPr>
            <w:tcW w:w="5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Definitive Proxy Statement on Schedule 14A filed on March 25, 2008).</w:t>
              </w:r>
            </w:hyperlink>
          </w:p>
        </w:tc>
        <w:tc>
          <w:tcPr>
            <w:tcW w:w="514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w w:val="96"/>
              </w:rPr>
            </w:pPr>
            <w:hyperlink r:id="rId114">
              <w:r>
                <w:rPr>
                  <w:rFonts w:ascii="Arial" w:cs="Arial" w:eastAsia="Arial" w:hAnsi="Arial"/>
                  <w:sz w:val="18"/>
                  <w:szCs w:val="18"/>
                  <w:color w:val="0000FF"/>
                  <w:w w:val="96"/>
                </w:rPr>
                <w:t>Amendment to Laboratory Corporation of America Holdings 2008 Stock Incentive Plan (incorporated herein by reference to Exhibit 10.2</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10.13</w:t>
            </w:r>
            <w:r>
              <w:rPr>
                <w:rFonts w:ascii="Arial" w:cs="Arial" w:eastAsia="Arial" w:hAnsi="Arial"/>
                <w:sz w:val="23"/>
                <w:szCs w:val="23"/>
                <w:color w:val="auto"/>
                <w:vertAlign w:val="superscript"/>
              </w:rPr>
              <w:t>+</w:t>
            </w:r>
          </w:p>
        </w:tc>
        <w:tc>
          <w:tcPr>
            <w:tcW w:w="50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to the Company’s Current Report on Form 8-K filed on May 7, 2008).</w:t>
              </w:r>
            </w:hyperlink>
          </w:p>
        </w:tc>
        <w:tc>
          <w:tcPr>
            <w:tcW w:w="50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10360" w:type="dxa"/>
            <w:vAlign w:val="bottom"/>
            <w:gridSpan w:val="32"/>
          </w:tcPr>
          <w:p>
            <w:pPr>
              <w:spacing w:after="0"/>
              <w:rPr>
                <w:rFonts w:ascii="Arial" w:cs="Arial" w:eastAsia="Arial" w:hAnsi="Arial"/>
                <w:sz w:val="18"/>
                <w:szCs w:val="18"/>
                <w:color w:val="0000FF"/>
              </w:rPr>
            </w:pPr>
            <w:hyperlink r:id="rId115">
              <w:r>
                <w:rPr>
                  <w:rFonts w:ascii="Arial" w:cs="Arial" w:eastAsia="Arial" w:hAnsi="Arial"/>
                  <w:sz w:val="18"/>
                  <w:szCs w:val="18"/>
                  <w:color w:val="0000FF"/>
                </w:rPr>
                <w:t>Laboratory Corporation of America Holdings 2012 Omnibus Incentive Plan (incorporated herein by reference to Exhibit 10.1 to the</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10.14</w:t>
            </w:r>
          </w:p>
        </w:tc>
        <w:tc>
          <w:tcPr>
            <w:tcW w:w="10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Company’s Current Report on Form 8-K filed on May 2, 2012).</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10360" w:type="dxa"/>
            <w:vAlign w:val="bottom"/>
            <w:tcBorders>
              <w:bottom w:val="single" w:sz="8" w:color="0000FF"/>
            </w:tcBorders>
            <w:gridSpan w:val="32"/>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Second Amended and Restated Credit Agreement, dated as of September 15, 2017, (originally dated as of December 21, 2011), among the</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0360" w:type="dxa"/>
            <w:vAlign w:val="bottom"/>
            <w:tcBorders>
              <w:bottom w:val="single" w:sz="8" w:color="0000FF"/>
            </w:tcBorders>
            <w:gridSpan w:val="32"/>
          </w:tcPr>
          <w:p>
            <w:pPr>
              <w:spacing w:after="0" w:line="196"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Company, Bank of America, N.A. as Administrative Agent, Swing Line Lender and L/C Issuer, Wells Fargo Bank, National Association as</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0360" w:type="dxa"/>
            <w:vAlign w:val="bottom"/>
            <w:gridSpan w:val="32"/>
          </w:tcPr>
          <w:p>
            <w:pPr>
              <w:spacing w:after="0" w:line="196"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Syndication Agent and L/C Issuer, Credit Suisse AG, Cayman Islands Branch as Documentation Agent and L/C Issuer, the Bank of Tokyo-</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180"/>
        <w:spacing w:after="0" w:line="257"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Mitsubishi UFJ, LTD., Barclays Bank PLC, Credit Suisse AG, Cayman Islands Branch, KeyBank National Association, PNC Bank,</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National Association, TD Bank, N.A., and U.S. Bank National Association, as Documentation Agents, Merrill Lynch, Pierce, Fenner &amp;</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Smith Incorporated, Wells Fargo Securities, LLC and Credit Suisse Securities (USA) LL as Joint Lead Arrangers and Joint Book</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Managers, and the lenders named therein (incorporated herein by reference to Exhibit 10.3 to the Company’s Annual Report on Form 10-Q</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filed on November 2, 2017).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5"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1180" w:type="dxa"/>
            <w:vAlign w:val="bottom"/>
          </w:tcPr>
          <w:p>
            <w:pPr>
              <w:ind w:left="20"/>
              <w:spacing w:after="0"/>
              <w:rPr>
                <w:sz w:val="20"/>
                <w:szCs w:val="20"/>
                <w:color w:val="auto"/>
              </w:rPr>
            </w:pPr>
            <w:r>
              <w:rPr>
                <w:rFonts w:ascii="Arial" w:cs="Arial" w:eastAsia="Arial" w:hAnsi="Arial"/>
                <w:sz w:val="18"/>
                <w:szCs w:val="18"/>
                <w:color w:val="auto"/>
              </w:rPr>
              <w:t>10.15</w:t>
            </w:r>
          </w:p>
        </w:tc>
        <w:tc>
          <w:tcPr>
            <w:tcW w:w="10180" w:type="dxa"/>
            <w:vAlign w:val="bottom"/>
            <w:gridSpan w:val="17"/>
          </w:tcPr>
          <w:p>
            <w:pPr>
              <w:spacing w:after="0"/>
              <w:rPr>
                <w:rFonts w:ascii="Arial" w:cs="Arial" w:eastAsia="Arial" w:hAnsi="Arial"/>
                <w:sz w:val="18"/>
                <w:szCs w:val="18"/>
                <w:color w:val="0000FF"/>
                <w:w w:val="98"/>
              </w:rPr>
            </w:pPr>
            <w:hyperlink r:id="rId118">
              <w:r>
                <w:rPr>
                  <w:rFonts w:ascii="Arial" w:cs="Arial" w:eastAsia="Arial" w:hAnsi="Arial"/>
                  <w:sz w:val="18"/>
                  <w:szCs w:val="18"/>
                  <w:color w:val="0000FF"/>
                  <w:w w:val="98"/>
                </w:rPr>
                <w:t>Amendment No. 1, dated as of May 7, 2020, to the Second Amended and Restated Credit Agreement, dated September 15, 2017</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60" w:type="dxa"/>
            <w:vAlign w:val="bottom"/>
            <w:tcBorders>
              <w:top w:val="single" w:sz="8" w:color="0000FF"/>
            </w:tcBorders>
            <w:gridSpan w:val="11"/>
          </w:tcPr>
          <w:p>
            <w:pPr>
              <w:spacing w:after="0" w:line="182" w:lineRule="exact"/>
              <w:rPr>
                <w:rFonts w:ascii="Arial" w:cs="Arial" w:eastAsia="Arial" w:hAnsi="Arial"/>
                <w:sz w:val="18"/>
                <w:szCs w:val="18"/>
                <w:color w:val="0000FF"/>
                <w:w w:val="93"/>
              </w:rPr>
            </w:pPr>
            <w:hyperlink r:id="rId118">
              <w:r>
                <w:rPr>
                  <w:rFonts w:ascii="Arial" w:cs="Arial" w:eastAsia="Arial" w:hAnsi="Arial"/>
                  <w:sz w:val="18"/>
                  <w:szCs w:val="18"/>
                  <w:color w:val="0000FF"/>
                  <w:w w:val="93"/>
                </w:rPr>
                <w:t>(originally dated as of December 21, 2011), among the Company, Bank of America, N.A. as administrative agent, and the lenders party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10040" w:type="dxa"/>
            <w:vAlign w:val="bottom"/>
            <w:tcBorders>
              <w:top w:val="single" w:sz="8" w:color="0000FF"/>
            </w:tcBorders>
            <w:gridSpan w:val="10"/>
          </w:tcPr>
          <w:p>
            <w:pPr>
              <w:spacing w:after="0"/>
              <w:rPr>
                <w:rFonts w:ascii="Arial" w:cs="Arial" w:eastAsia="Arial" w:hAnsi="Arial"/>
                <w:sz w:val="18"/>
                <w:szCs w:val="18"/>
                <w:u w:val="single" w:color="auto"/>
                <w:color w:val="0000FF"/>
                <w:w w:val="97"/>
              </w:rPr>
            </w:pPr>
            <w:hyperlink r:id="rId118">
              <w:r>
                <w:rPr>
                  <w:rFonts w:ascii="Arial" w:cs="Arial" w:eastAsia="Arial" w:hAnsi="Arial"/>
                  <w:sz w:val="18"/>
                  <w:szCs w:val="18"/>
                  <w:u w:val="single" w:color="auto"/>
                  <w:color w:val="0000FF"/>
                  <w:w w:val="97"/>
                </w:rPr>
                <w:t>thereto (incorporated herein by reference to Exhibit 10.2 to the Company’s Quarterly Report on Form 10-Q filed on May 8, 2020).</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20"/>
              <w:spacing w:after="0" w:line="201" w:lineRule="exact"/>
              <w:rPr>
                <w:sz w:val="20"/>
                <w:szCs w:val="20"/>
                <w:color w:val="auto"/>
              </w:rPr>
            </w:pPr>
            <w:r>
              <w:rPr>
                <w:rFonts w:ascii="Arial" w:cs="Arial" w:eastAsia="Arial" w:hAnsi="Arial"/>
                <w:sz w:val="18"/>
                <w:szCs w:val="18"/>
                <w:color w:val="auto"/>
              </w:rPr>
              <w:t>10.16</w:t>
            </w:r>
            <w:r>
              <w:rPr>
                <w:rFonts w:ascii="Arial" w:cs="Arial" w:eastAsia="Arial" w:hAnsi="Arial"/>
                <w:sz w:val="23"/>
                <w:szCs w:val="23"/>
                <w:color w:val="auto"/>
                <w:vertAlign w:val="superscript"/>
              </w:rPr>
              <w:t>+</w:t>
            </w:r>
          </w:p>
        </w:tc>
        <w:tc>
          <w:tcPr>
            <w:tcW w:w="10180" w:type="dxa"/>
            <w:vAlign w:val="bottom"/>
            <w:gridSpan w:val="17"/>
          </w:tcPr>
          <w:p>
            <w:pPr>
              <w:spacing w:after="0" w:line="201" w:lineRule="exact"/>
              <w:rPr>
                <w:rFonts w:ascii="Arial" w:cs="Arial" w:eastAsia="Arial" w:hAnsi="Arial"/>
                <w:sz w:val="18"/>
                <w:szCs w:val="18"/>
                <w:color w:val="0000FF"/>
                <w:w w:val="98"/>
              </w:rPr>
            </w:pPr>
            <w:hyperlink r:id="rId119">
              <w:r>
                <w:rPr>
                  <w:rFonts w:ascii="Arial" w:cs="Arial" w:eastAsia="Arial" w:hAnsi="Arial"/>
                  <w:sz w:val="18"/>
                  <w:szCs w:val="18"/>
                  <w:color w:val="0000FF"/>
                  <w:w w:val="98"/>
                </w:rPr>
                <w:t>Laboratory Corporation of America Holdings 2016 Omnibus Incentive Plan (incorporated by reference herein to Exhibit 10.1 to the</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10.17</w:t>
            </w:r>
            <w:r>
              <w:rPr>
                <w:rFonts w:ascii="Arial" w:cs="Arial" w:eastAsia="Arial" w:hAnsi="Arial"/>
                <w:sz w:val="23"/>
                <w:szCs w:val="23"/>
                <w:color w:val="auto"/>
                <w:vertAlign w:val="superscript"/>
              </w:rPr>
              <w:t>+</w:t>
            </w:r>
          </w:p>
        </w:tc>
        <w:tc>
          <w:tcPr>
            <w:tcW w:w="47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Company’s Current Report on Form 8-K filed on May 16, 2016).</w:t>
              </w:r>
            </w:hyperlink>
          </w:p>
        </w:tc>
        <w:tc>
          <w:tcPr>
            <w:tcW w:w="53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10180" w:type="dxa"/>
            <w:vAlign w:val="bottom"/>
            <w:gridSpan w:val="17"/>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Laboratory Corporation of America Holdings 2016 Employee Stock Purchase Plan (incorporated by reference herein to Exhibit 10.2 to the</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Company’s Current Report on Form 8-K filed on May 16, 2016).</w:t>
              </w:r>
            </w:hyperlink>
          </w:p>
        </w:tc>
        <w:tc>
          <w:tcPr>
            <w:tcW w:w="54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10.18</w:t>
            </w:r>
          </w:p>
        </w:tc>
        <w:tc>
          <w:tcPr>
            <w:tcW w:w="10180" w:type="dxa"/>
            <w:vAlign w:val="bottom"/>
            <w:gridSpan w:val="17"/>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Term Loan Credit Agreement, dated June 3, 2019, by and among Laboratory Corporation of America Holdings, Bank of America, N.A., as</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administrative agent, and the lenders party thereto (incorporated by reference to Exhibit 10.1 to the Company’s Current Report on Form 8-</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10.19</w:t>
            </w:r>
          </w:p>
        </w:tc>
        <w:tc>
          <w:tcPr>
            <w:tcW w:w="10120" w:type="dxa"/>
            <w:vAlign w:val="bottom"/>
            <w:gridSpan w:val="14"/>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K filed on June 3,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10180" w:type="dxa"/>
            <w:vAlign w:val="bottom"/>
            <w:gridSpan w:val="17"/>
          </w:tcPr>
          <w:p>
            <w:pPr>
              <w:spacing w:after="0"/>
              <w:rPr>
                <w:rFonts w:ascii="Arial" w:cs="Arial" w:eastAsia="Arial" w:hAnsi="Arial"/>
                <w:sz w:val="18"/>
                <w:szCs w:val="18"/>
                <w:color w:val="0000FF"/>
                <w:w w:val="96"/>
              </w:rPr>
            </w:pPr>
            <w:hyperlink r:id="rId122">
              <w:r>
                <w:rPr>
                  <w:rFonts w:ascii="Arial" w:cs="Arial" w:eastAsia="Arial" w:hAnsi="Arial"/>
                  <w:sz w:val="18"/>
                  <w:szCs w:val="18"/>
                  <w:color w:val="0000FF"/>
                  <w:w w:val="96"/>
                </w:rPr>
                <w:t>Amendment No. 1, dated as of May 7, 2020, to the Term Loan Credit Agreement, dated June 3, 2019, among the Company, Bank of</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0180" w:type="dxa"/>
            <w:vAlign w:val="bottom"/>
            <w:gridSpan w:val="17"/>
          </w:tcPr>
          <w:p>
            <w:pPr>
              <w:spacing w:after="0" w:line="182"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America, N.A. as administrative agent, and the lenders party thereto. (incorporated herein by reference to Exhibit 10.1 to the Company’s</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984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Quarterly Report on Form 10-Q filed on May 8, 2020)</w:t>
              </w:r>
              <w:r>
                <w:rPr>
                  <w:rFonts w:ascii="Arial" w:cs="Arial" w:eastAsia="Arial" w:hAnsi="Arial"/>
                  <w:sz w:val="18"/>
                  <w:szCs w:val="18"/>
                  <w:u w:val="single" w:color="auto"/>
                  <w:color w:val="0000FF"/>
                </w:rPr>
                <w:t>.</w:t>
              </w:r>
            </w:hyperlink>
          </w:p>
        </w:tc>
        <w:tc>
          <w:tcPr>
            <w:tcW w:w="24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243" w:lineRule="exact"/>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vMerge w:val="continue"/>
          </w:tcPr>
          <w:p>
            <w:pPr>
              <w:spacing w:after="0"/>
              <w:rPr>
                <w:sz w:val="19"/>
                <w:szCs w:val="19"/>
                <w:color w:val="auto"/>
              </w:rPr>
            </w:pPr>
          </w:p>
        </w:tc>
        <w:tc>
          <w:tcPr>
            <w:tcW w:w="10180" w:type="dxa"/>
            <w:vAlign w:val="bottom"/>
            <w:gridSpan w:val="17"/>
          </w:tcPr>
          <w:p>
            <w:pPr>
              <w:spacing w:after="0"/>
              <w:rPr>
                <w:rFonts w:ascii="Arial" w:cs="Arial" w:eastAsia="Arial" w:hAnsi="Arial"/>
                <w:sz w:val="18"/>
                <w:szCs w:val="18"/>
                <w:color w:val="0000FF"/>
                <w:w w:val="97"/>
              </w:rPr>
            </w:pPr>
            <w:hyperlink r:id="rId123">
              <w:r>
                <w:rPr>
                  <w:rFonts w:ascii="Arial" w:cs="Arial" w:eastAsia="Arial" w:hAnsi="Arial"/>
                  <w:sz w:val="18"/>
                  <w:szCs w:val="18"/>
                  <w:color w:val="0000FF"/>
                  <w:w w:val="97"/>
                </w:rPr>
                <w:t>Executive Employment Agreement, dated June 4, 2019, by and between Laboratory Corporation of America Holdings and Adam H.</w:t>
              </w:r>
            </w:hyperlink>
          </w:p>
        </w:tc>
        <w:tc>
          <w:tcPr>
            <w:tcW w:w="0" w:type="dxa"/>
            <w:vAlign w:val="bottom"/>
          </w:tcPr>
          <w:p>
            <w:pPr>
              <w:spacing w:after="0"/>
              <w:rPr>
                <w:sz w:val="1"/>
                <w:szCs w:val="1"/>
                <w:color w:val="auto"/>
              </w:rPr>
            </w:pPr>
          </w:p>
        </w:tc>
      </w:tr>
      <w:tr>
        <w:trPr>
          <w:trHeight w:val="209"/>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10.21</w:t>
            </w:r>
            <w:r>
              <w:rPr>
                <w:rFonts w:ascii="Arial" w:cs="Arial" w:eastAsia="Arial" w:hAnsi="Arial"/>
                <w:sz w:val="23"/>
                <w:szCs w:val="23"/>
                <w:color w:val="auto"/>
                <w:vertAlign w:val="superscript"/>
              </w:rPr>
              <w:t>*+</w:t>
            </w:r>
          </w:p>
        </w:tc>
        <w:tc>
          <w:tcPr>
            <w:tcW w:w="10140" w:type="dxa"/>
            <w:vAlign w:val="bottom"/>
            <w:tcBorders>
              <w:top w:val="single" w:sz="8" w:color="0000FF"/>
            </w:tcBorders>
            <w:gridSpan w:val="15"/>
          </w:tcPr>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Schechter (incorporated by reference to Exhibit 10.1 to the Company’s Current Report on Form 8-K filed on June 5, 2019).</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80" w:type="dxa"/>
            <w:vAlign w:val="bottom"/>
            <w:vMerge w:val="continue"/>
          </w:tcPr>
          <w:p>
            <w:pPr>
              <w:spacing w:after="0"/>
              <w:rPr>
                <w:sz w:val="21"/>
                <w:szCs w:val="21"/>
                <w:color w:val="auto"/>
              </w:rPr>
            </w:pPr>
          </w:p>
        </w:tc>
        <w:tc>
          <w:tcPr>
            <w:tcW w:w="10180" w:type="dxa"/>
            <w:vAlign w:val="bottom"/>
            <w:gridSpan w:val="17"/>
          </w:tcPr>
          <w:p>
            <w:pPr>
              <w:spacing w:after="0"/>
              <w:rPr>
                <w:rFonts w:ascii="Arial" w:cs="Arial" w:eastAsia="Arial" w:hAnsi="Arial"/>
                <w:sz w:val="18"/>
                <w:szCs w:val="18"/>
                <w:color w:val="0000FF"/>
              </w:rPr>
            </w:pPr>
            <w:hyperlink w:anchor="page122">
              <w:r>
                <w:rPr>
                  <w:rFonts w:ascii="Arial" w:cs="Arial" w:eastAsia="Arial" w:hAnsi="Arial"/>
                  <w:sz w:val="18"/>
                  <w:szCs w:val="18"/>
                  <w:u w:val="single" w:color="auto"/>
                  <w:color w:val="0000FF"/>
                </w:rPr>
                <w:t>Amended and Restated Master Senior Executive Severance Plan</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190"/>
        </w:trPr>
        <w:tc>
          <w:tcPr>
            <w:tcW w:w="1180" w:type="dxa"/>
            <w:vAlign w:val="bottom"/>
          </w:tcPr>
          <w:p>
            <w:pPr>
              <w:ind w:left="20"/>
              <w:spacing w:after="0" w:line="190" w:lineRule="exact"/>
              <w:rPr>
                <w:sz w:val="20"/>
                <w:szCs w:val="20"/>
                <w:color w:val="auto"/>
              </w:rPr>
            </w:pPr>
            <w:r>
              <w:rPr>
                <w:rFonts w:ascii="Arial" w:cs="Arial" w:eastAsia="Arial" w:hAnsi="Arial"/>
                <w:sz w:val="18"/>
                <w:szCs w:val="18"/>
                <w:color w:val="auto"/>
              </w:rPr>
              <w:t>16.1</w:t>
            </w:r>
          </w:p>
        </w:tc>
        <w:tc>
          <w:tcPr>
            <w:tcW w:w="10180" w:type="dxa"/>
            <w:vAlign w:val="bottom"/>
            <w:gridSpan w:val="17"/>
          </w:tcPr>
          <w:p>
            <w:pPr>
              <w:spacing w:after="0" w:line="190"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Letter of PricewaterhouseCoopers LLP, dated November 5, 2020 (incorporated by reference to Exhibit 16.1 to the Company’s Current</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Report on Form 8-K filed on November 5, 2020).</w:t>
              </w:r>
            </w:hyperlink>
          </w:p>
        </w:tc>
        <w:tc>
          <w:tcPr>
            <w:tcW w:w="6080" w:type="dxa"/>
            <w:vAlign w:val="bottom"/>
            <w:tcBorders>
              <w:top w:val="single" w:sz="8" w:color="0000FF"/>
            </w:tcBorders>
            <w:gridSpan w:val="5"/>
          </w:tcPr>
          <w:p>
            <w:pPr>
              <w:spacing w:after="0"/>
              <w:rPr>
                <w:sz w:val="13"/>
                <w:szCs w:val="13"/>
                <w:color w:val="auto"/>
              </w:rPr>
            </w:pPr>
          </w:p>
        </w:tc>
        <w:tc>
          <w:tcPr>
            <w:tcW w:w="42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789"/>
        </w:trPr>
        <w:tc>
          <w:tcPr>
            <w:tcW w:w="1180" w:type="dxa"/>
            <w:vAlign w:val="bottom"/>
          </w:tcPr>
          <w:p>
            <w:pPr>
              <w:ind w:left="20"/>
              <w:spacing w:after="0"/>
              <w:rPr>
                <w:sz w:val="20"/>
                <w:szCs w:val="20"/>
                <w:color w:val="auto"/>
              </w:rPr>
            </w:pPr>
            <w:r>
              <w:rPr>
                <w:rFonts w:ascii="Arial" w:cs="Arial" w:eastAsia="Arial" w:hAnsi="Arial"/>
                <w:sz w:val="18"/>
                <w:szCs w:val="18"/>
                <w:color w:val="auto"/>
              </w:rPr>
              <w:t>21*</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List of Subsidiaries of the Company</w:t>
              </w:r>
            </w:hyperlink>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23.1*</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Consent of PricewaterhouseCoopers LLP, an independent registered public accounting firm</w:t>
              </w:r>
            </w:hyperlink>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24.1*</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Power of Attorney of Kerrii B. Anderson</w:t>
              </w:r>
            </w:hyperlink>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24.2*</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Power of Attorney of Jean-Luc Bélingard</w:t>
              </w:r>
            </w:hyperlink>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24.3*</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2">
              <w:r>
                <w:rPr>
                  <w:rFonts w:ascii="Arial" w:cs="Arial" w:eastAsia="Arial" w:hAnsi="Arial"/>
                  <w:sz w:val="18"/>
                  <w:szCs w:val="18"/>
                  <w:u w:val="single" w:color="auto"/>
                  <w:color w:val="0000FF"/>
                </w:rPr>
                <w:t>Power of Attorney of Jeffrey A. Davis</w:t>
              </w:r>
            </w:hyperlink>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24.4*</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Power of Attorney of D. Gary Gilliland, M.D., Ph.D.</w:t>
              </w:r>
            </w:hyperlink>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24.5*</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Power of Attorney of Garheng Kong, M.D., Ph.D.</w:t>
              </w:r>
            </w:hyperlink>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24.6*</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5">
              <w:r>
                <w:rPr>
                  <w:rFonts w:ascii="Arial" w:cs="Arial" w:eastAsia="Arial" w:hAnsi="Arial"/>
                  <w:sz w:val="18"/>
                  <w:szCs w:val="18"/>
                  <w:u w:val="single" w:color="auto"/>
                  <w:color w:val="0000FF"/>
                </w:rPr>
                <w:t>Power of Attorney of Peter M. Neupert</w:t>
              </w:r>
            </w:hyperlink>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24.7*</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Power of Attorney of Richelle P. Parham</w:t>
              </w:r>
            </w:hyperlink>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24.8*</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7">
              <w:r>
                <w:rPr>
                  <w:rFonts w:ascii="Arial" w:cs="Arial" w:eastAsia="Arial" w:hAnsi="Arial"/>
                  <w:sz w:val="18"/>
                  <w:szCs w:val="18"/>
                  <w:u w:val="single" w:color="auto"/>
                  <w:color w:val="0000FF"/>
                </w:rPr>
                <w:t>Power of Attorney of R. Sanders Williams, M.D.</w:t>
              </w:r>
            </w:hyperlink>
          </w:p>
        </w:tc>
        <w:tc>
          <w:tcPr>
            <w:tcW w:w="0" w:type="dxa"/>
            <w:vAlign w:val="bottom"/>
          </w:tcPr>
          <w:p>
            <w:pPr>
              <w:spacing w:after="0"/>
              <w:rPr>
                <w:sz w:val="1"/>
                <w:szCs w:val="1"/>
                <w:color w:val="auto"/>
              </w:rPr>
            </w:pPr>
          </w:p>
        </w:tc>
      </w:tr>
      <w:tr>
        <w:trPr>
          <w:trHeight w:val="445"/>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Certification by the Chief Executive Officer pursuant to Rule 13a-14(a) or Rule 15d-14(a)</w:t>
              </w:r>
            </w:hyperlink>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10180" w:type="dxa"/>
            <w:vAlign w:val="bottom"/>
            <w:gridSpan w:val="17"/>
          </w:tcPr>
          <w:p>
            <w:pPr>
              <w:ind w:left="20"/>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Certification by the Chief Financial Officer pursuant to Rule 13a-14(a) or Rule 15d-14(a)</w:t>
              </w:r>
            </w:hyperlink>
          </w:p>
        </w:tc>
        <w:tc>
          <w:tcPr>
            <w:tcW w:w="0" w:type="dxa"/>
            <w:vAlign w:val="bottom"/>
          </w:tcPr>
          <w:p>
            <w:pPr>
              <w:spacing w:after="0"/>
              <w:rPr>
                <w:sz w:val="1"/>
                <w:szCs w:val="1"/>
                <w:color w:val="auto"/>
              </w:rPr>
            </w:pPr>
          </w:p>
        </w:tc>
      </w:tr>
      <w:tr>
        <w:trPr>
          <w:trHeight w:val="190"/>
        </w:trPr>
        <w:tc>
          <w:tcPr>
            <w:tcW w:w="1180" w:type="dxa"/>
            <w:vAlign w:val="bottom"/>
          </w:tcPr>
          <w:p>
            <w:pPr>
              <w:ind w:left="20"/>
              <w:spacing w:after="0" w:line="190" w:lineRule="exact"/>
              <w:rPr>
                <w:sz w:val="20"/>
                <w:szCs w:val="20"/>
                <w:color w:val="auto"/>
              </w:rPr>
            </w:pPr>
            <w:r>
              <w:rPr>
                <w:rFonts w:ascii="Arial" w:cs="Arial" w:eastAsia="Arial" w:hAnsi="Arial"/>
                <w:sz w:val="18"/>
                <w:szCs w:val="18"/>
                <w:color w:val="auto"/>
              </w:rPr>
              <w:t>32*</w:t>
            </w:r>
          </w:p>
        </w:tc>
        <w:tc>
          <w:tcPr>
            <w:tcW w:w="10180" w:type="dxa"/>
            <w:vAlign w:val="bottom"/>
            <w:gridSpan w:val="17"/>
          </w:tcPr>
          <w:p>
            <w:pPr>
              <w:ind w:left="20"/>
              <w:spacing w:after="0" w:line="190" w:lineRule="exact"/>
              <w:rPr>
                <w:rFonts w:ascii="Arial" w:cs="Arial" w:eastAsia="Arial" w:hAnsi="Arial"/>
                <w:sz w:val="18"/>
                <w:szCs w:val="18"/>
                <w:color w:val="0000FF"/>
                <w:w w:val="94"/>
              </w:rPr>
            </w:pPr>
            <w:hyperlink w:anchor="page160">
              <w:r>
                <w:rPr>
                  <w:rFonts w:ascii="Arial" w:cs="Arial" w:eastAsia="Arial" w:hAnsi="Arial"/>
                  <w:sz w:val="18"/>
                  <w:szCs w:val="18"/>
                  <w:color w:val="0000FF"/>
                  <w:w w:val="94"/>
                </w:rPr>
                <w:t>Written Statement of Chief Executive Officer and Chief Financial Officer pursuant to Section 906 of the Sarbanes-Oxley Act of 2002 (18</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56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9"/>
              </w:rPr>
            </w:pPr>
            <w:hyperlink w:anchor="page160">
              <w:r>
                <w:rPr>
                  <w:rFonts w:ascii="Arial" w:cs="Arial" w:eastAsia="Arial" w:hAnsi="Arial"/>
                  <w:sz w:val="18"/>
                  <w:szCs w:val="18"/>
                  <w:color w:val="0000FF"/>
                  <w:w w:val="89"/>
                </w:rPr>
                <w:t>U.S.C. Section 1350)</w:t>
              </w:r>
            </w:hyperlink>
          </w:p>
        </w:tc>
        <w:tc>
          <w:tcPr>
            <w:tcW w:w="852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0180" w:type="dxa"/>
            <w:vAlign w:val="bottom"/>
            <w:gridSpan w:val="17"/>
          </w:tcPr>
          <w:p>
            <w:pPr>
              <w:ind w:left="20"/>
              <w:spacing w:after="0"/>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1180" w:type="dxa"/>
            <w:vAlign w:val="bottom"/>
            <w:vMerge w:val="continue"/>
          </w:tcPr>
          <w:p>
            <w:pPr>
              <w:spacing w:after="0"/>
              <w:rPr>
                <w:sz w:val="19"/>
                <w:szCs w:val="19"/>
                <w:color w:val="auto"/>
              </w:rPr>
            </w:pPr>
          </w:p>
        </w:tc>
        <w:tc>
          <w:tcPr>
            <w:tcW w:w="10180" w:type="dxa"/>
            <w:vAlign w:val="bottom"/>
            <w:gridSpan w:val="17"/>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10180" w:type="dxa"/>
            <w:vAlign w:val="bottom"/>
            <w:gridSpan w:val="17"/>
          </w:tcPr>
          <w:p>
            <w:pPr>
              <w:ind w:left="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101.CAL*</w:t>
            </w:r>
          </w:p>
        </w:tc>
        <w:tc>
          <w:tcPr>
            <w:tcW w:w="10180" w:type="dxa"/>
            <w:vAlign w:val="bottom"/>
            <w:gridSpan w:val="17"/>
          </w:tcPr>
          <w:p>
            <w:pPr>
              <w:ind w:left="20"/>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101.DEF*</w:t>
            </w:r>
          </w:p>
        </w:tc>
        <w:tc>
          <w:tcPr>
            <w:tcW w:w="10180" w:type="dxa"/>
            <w:vAlign w:val="bottom"/>
            <w:gridSpan w:val="17"/>
          </w:tcPr>
          <w:p>
            <w:pPr>
              <w:ind w:left="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10180" w:type="dxa"/>
            <w:vAlign w:val="bottom"/>
            <w:gridSpan w:val="17"/>
          </w:tcPr>
          <w:p>
            <w:pPr>
              <w:ind w:left="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10180" w:type="dxa"/>
            <w:vAlign w:val="bottom"/>
            <w:gridSpan w:val="17"/>
          </w:tcPr>
          <w:p>
            <w:pPr>
              <w:ind w:left="20"/>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10180" w:type="dxa"/>
            <w:vAlign w:val="bottom"/>
            <w:gridSpan w:val="17"/>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0" w:hanging="1174"/>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or furnished herewith, as required</w:t>
      </w:r>
    </w:p>
    <w:p>
      <w:pPr>
        <w:spacing w:after="0" w:line="23" w:lineRule="exact"/>
        <w:rPr>
          <w:sz w:val="20"/>
          <w:szCs w:val="20"/>
          <w:color w:val="auto"/>
        </w:rPr>
      </w:pPr>
    </w:p>
    <w:p>
      <w:pPr>
        <w:ind w:left="1200" w:hanging="1174"/>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Adam H. Schechter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Dated: February 25,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on February 25, 2021 in the capacities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3"/>
          </w:tcPr>
          <w:p>
            <w:pPr>
              <w:ind w:left="2400"/>
              <w:spacing w:after="0"/>
              <w:rPr>
                <w:sz w:val="20"/>
                <w:szCs w:val="20"/>
                <w:color w:val="auto"/>
              </w:rPr>
            </w:pPr>
            <w:r>
              <w:rPr>
                <w:rFonts w:ascii="Arial" w:cs="Arial" w:eastAsia="Arial" w:hAnsi="Arial"/>
                <w:sz w:val="18"/>
                <w:szCs w:val="18"/>
                <w:color w:val="auto"/>
              </w:rPr>
              <w:t>Signature</w:t>
            </w:r>
          </w:p>
        </w:tc>
        <w:tc>
          <w:tcPr>
            <w:tcW w:w="28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2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87"/>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ADAM H. SCHECHTER</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Adam H. Schechter</w:t>
            </w: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465"/>
        </w:trPr>
        <w:tc>
          <w:tcPr>
            <w:tcW w:w="5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GLENN A. EISENBERG</w:t>
            </w: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w w:val="96"/>
              </w:rPr>
              <w:t>Executive Vice President, Chief Financial Officer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Glenn A. Eisenberg</w:t>
            </w: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38"/>
        </w:trPr>
        <w:tc>
          <w:tcPr>
            <w:tcW w:w="5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PETER J. WILKINSON</w:t>
            </w: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w w:val="91"/>
              </w:rPr>
              <w:t>Senior Vice President and Chief Accounting Officer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Peter J. Wilkinson</w:t>
            </w: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(Principal Accounting Officer)</w:t>
            </w:r>
          </w:p>
        </w:tc>
      </w:tr>
      <w:tr>
        <w:trPr>
          <w:trHeight w:val="46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Kerrii B. Anderson</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6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Jean-Luc Bélingard</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6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Jeffrey A. Davis</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8"/>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D. Gary Gilliland, M.D., Ph.D.</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6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Garheng Kong, M.D., Ph.D.</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6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Peter M. Neupert</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6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Richelle Parham</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6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R. Sanders Williams, M.D.</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95" w:lineRule="exact"/>
        <w:rPr>
          <w:sz w:val="20"/>
          <w:szCs w:val="20"/>
          <w:color w:val="auto"/>
        </w:rPr>
      </w:pPr>
    </w:p>
    <w:p>
      <w:pPr>
        <w:ind w:firstLine="8"/>
        <w:spacing w:after="0" w:line="342" w:lineRule="auto"/>
        <w:tabs>
          <w:tab w:leader="none" w:pos="139"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Sandra van der Vaart, by her signing her name hereto, does hereby sign this Annual Report on behalf of the directors of the Registrant after whose typed names asterisks appear, pursuant to powers of attorney duly executed by such directors and filed with the Securities and Exchange Commission.</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van der Vaart</w:t>
            </w:r>
          </w:p>
        </w:tc>
      </w:tr>
      <w:tr>
        <w:trPr>
          <w:trHeight w:val="229"/>
        </w:trPr>
        <w:tc>
          <w:tcPr>
            <w:tcW w:w="6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Sandra van der Vaart</w:t>
            </w:r>
          </w:p>
        </w:tc>
      </w:tr>
      <w:tr>
        <w:trPr>
          <w:trHeight w:val="230"/>
        </w:trPr>
        <w:tc>
          <w:tcPr>
            <w:tcW w:w="6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1010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751"/>
        </w:trPr>
        <w:tc>
          <w:tcPr>
            <w:tcW w:w="10100" w:type="dxa"/>
            <w:vAlign w:val="bottom"/>
          </w:tcPr>
          <w:p>
            <w:pPr>
              <w:ind w:left="230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4"/>
        </w:trPr>
        <w:tc>
          <w:tcPr>
            <w:tcW w:w="1010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01"/>
        </w:trPr>
        <w:tc>
          <w:tcPr>
            <w:tcW w:w="1010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418"/>
        </w:trPr>
        <w:tc>
          <w:tcPr>
            <w:tcW w:w="10100" w:type="dxa"/>
            <w:vAlign w:val="bottom"/>
          </w:tcPr>
          <w:p>
            <w:pPr>
              <w:ind w:left="2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Report of Independent Registered Public Accounting Firm</w:t>
              </w:r>
            </w:hyperlink>
          </w:p>
        </w:tc>
        <w:tc>
          <w:tcPr>
            <w:tcW w:w="440" w:type="dxa"/>
            <w:vAlign w:val="bottom"/>
          </w:tcPr>
          <w:p>
            <w:pPr>
              <w:spacing w:after="0"/>
              <w:rPr>
                <w:sz w:val="24"/>
                <w:szCs w:val="24"/>
                <w:color w:val="auto"/>
              </w:rPr>
            </w:pPr>
          </w:p>
        </w:tc>
        <w:tc>
          <w:tcPr>
            <w:tcW w:w="680" w:type="dxa"/>
            <w:vAlign w:val="bottom"/>
            <w:gridSpan w:val="2"/>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71">
              <w:r>
                <w:rPr>
                  <w:rFonts w:ascii="Arial" w:cs="Arial" w:eastAsia="Arial" w:hAnsi="Arial"/>
                  <w:sz w:val="18"/>
                  <w:szCs w:val="18"/>
                  <w:color w:val="0000FF"/>
                  <w:w w:val="88"/>
                </w:rPr>
                <w:t>2</w:t>
              </w:r>
            </w:hyperlink>
          </w:p>
        </w:tc>
      </w:tr>
      <w:tr>
        <w:trPr>
          <w:trHeight w:val="480"/>
        </w:trPr>
        <w:tc>
          <w:tcPr>
            <w:tcW w:w="1010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c>
          <w:tcPr>
            <w:tcW w:w="4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418"/>
        </w:trPr>
        <w:tc>
          <w:tcPr>
            <w:tcW w:w="10100" w:type="dxa"/>
            <w:vAlign w:val="bottom"/>
          </w:tcPr>
          <w:p>
            <w:pPr>
              <w:ind w:left="2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Consolidated Balance Sheets</w:t>
              </w:r>
            </w:hyperlink>
          </w:p>
        </w:tc>
        <w:tc>
          <w:tcPr>
            <w:tcW w:w="440" w:type="dxa"/>
            <w:vAlign w:val="bottom"/>
          </w:tcPr>
          <w:p>
            <w:pPr>
              <w:spacing w:after="0"/>
              <w:rPr>
                <w:sz w:val="24"/>
                <w:szCs w:val="24"/>
                <w:color w:val="auto"/>
              </w:rPr>
            </w:pPr>
          </w:p>
        </w:tc>
        <w:tc>
          <w:tcPr>
            <w:tcW w:w="680" w:type="dxa"/>
            <w:vAlign w:val="bottom"/>
            <w:gridSpan w:val="2"/>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74">
              <w:r>
                <w:rPr>
                  <w:rFonts w:ascii="Arial" w:cs="Arial" w:eastAsia="Arial" w:hAnsi="Arial"/>
                  <w:sz w:val="18"/>
                  <w:szCs w:val="18"/>
                  <w:color w:val="0000FF"/>
                  <w:w w:val="88"/>
                </w:rPr>
                <w:t>5</w:t>
              </w:r>
            </w:hyperlink>
          </w:p>
        </w:tc>
      </w:tr>
      <w:tr>
        <w:trPr>
          <w:trHeight w:val="20"/>
        </w:trPr>
        <w:tc>
          <w:tcPr>
            <w:tcW w:w="10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0100" w:type="dxa"/>
            <w:vAlign w:val="bottom"/>
          </w:tcPr>
          <w:p>
            <w:pPr>
              <w:ind w:left="2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Consolidated Statements of Operations</w:t>
              </w:r>
            </w:hyperlink>
          </w:p>
        </w:tc>
        <w:tc>
          <w:tcPr>
            <w:tcW w:w="440" w:type="dxa"/>
            <w:vAlign w:val="bottom"/>
          </w:tcPr>
          <w:p>
            <w:pPr>
              <w:spacing w:after="0"/>
              <w:rPr>
                <w:sz w:val="24"/>
                <w:szCs w:val="24"/>
                <w:color w:val="auto"/>
              </w:rPr>
            </w:pPr>
          </w:p>
        </w:tc>
        <w:tc>
          <w:tcPr>
            <w:tcW w:w="680" w:type="dxa"/>
            <w:vAlign w:val="bottom"/>
            <w:gridSpan w:val="2"/>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75">
              <w:r>
                <w:rPr>
                  <w:rFonts w:ascii="Arial" w:cs="Arial" w:eastAsia="Arial" w:hAnsi="Arial"/>
                  <w:sz w:val="18"/>
                  <w:szCs w:val="18"/>
                  <w:color w:val="0000FF"/>
                  <w:w w:val="88"/>
                </w:rPr>
                <w:t>6</w:t>
              </w:r>
            </w:hyperlink>
          </w:p>
        </w:tc>
      </w:tr>
      <w:tr>
        <w:trPr>
          <w:trHeight w:val="20"/>
        </w:trPr>
        <w:tc>
          <w:tcPr>
            <w:tcW w:w="10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6"/>
        </w:trPr>
        <w:tc>
          <w:tcPr>
            <w:tcW w:w="10100" w:type="dxa"/>
            <w:vAlign w:val="bottom"/>
          </w:tcPr>
          <w:p>
            <w:pPr>
              <w:ind w:left="26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Consolidated Statements of Comprehensive Earnings</w:t>
              </w:r>
            </w:hyperlink>
          </w:p>
        </w:tc>
        <w:tc>
          <w:tcPr>
            <w:tcW w:w="440" w:type="dxa"/>
            <w:vAlign w:val="bottom"/>
          </w:tcPr>
          <w:p>
            <w:pPr>
              <w:spacing w:after="0"/>
              <w:rPr>
                <w:sz w:val="24"/>
                <w:szCs w:val="24"/>
                <w:color w:val="auto"/>
              </w:rPr>
            </w:pPr>
          </w:p>
        </w:tc>
        <w:tc>
          <w:tcPr>
            <w:tcW w:w="680" w:type="dxa"/>
            <w:vAlign w:val="bottom"/>
            <w:gridSpan w:val="2"/>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76">
              <w:r>
                <w:rPr>
                  <w:rFonts w:ascii="Arial" w:cs="Arial" w:eastAsia="Arial" w:hAnsi="Arial"/>
                  <w:sz w:val="18"/>
                  <w:szCs w:val="18"/>
                  <w:color w:val="0000FF"/>
                  <w:w w:val="88"/>
                </w:rPr>
                <w:t>7</w:t>
              </w:r>
            </w:hyperlink>
          </w:p>
        </w:tc>
      </w:tr>
      <w:tr>
        <w:trPr>
          <w:trHeight w:val="20"/>
        </w:trPr>
        <w:tc>
          <w:tcPr>
            <w:tcW w:w="10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0100" w:type="dxa"/>
            <w:vAlign w:val="bottom"/>
          </w:tcPr>
          <w:p>
            <w:pPr>
              <w:ind w:left="2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Changes in Shareholders' Equity</w:t>
              </w:r>
            </w:hyperlink>
          </w:p>
        </w:tc>
        <w:tc>
          <w:tcPr>
            <w:tcW w:w="440" w:type="dxa"/>
            <w:vAlign w:val="bottom"/>
          </w:tcPr>
          <w:p>
            <w:pPr>
              <w:spacing w:after="0"/>
              <w:rPr>
                <w:sz w:val="24"/>
                <w:szCs w:val="24"/>
                <w:color w:val="auto"/>
              </w:rPr>
            </w:pPr>
          </w:p>
        </w:tc>
        <w:tc>
          <w:tcPr>
            <w:tcW w:w="680" w:type="dxa"/>
            <w:vAlign w:val="bottom"/>
            <w:gridSpan w:val="2"/>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77">
              <w:r>
                <w:rPr>
                  <w:rFonts w:ascii="Arial" w:cs="Arial" w:eastAsia="Arial" w:hAnsi="Arial"/>
                  <w:sz w:val="18"/>
                  <w:szCs w:val="18"/>
                  <w:color w:val="0000FF"/>
                  <w:w w:val="88"/>
                </w:rPr>
                <w:t>8</w:t>
              </w:r>
            </w:hyperlink>
          </w:p>
        </w:tc>
      </w:tr>
      <w:tr>
        <w:trPr>
          <w:trHeight w:val="20"/>
        </w:trPr>
        <w:tc>
          <w:tcPr>
            <w:tcW w:w="10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0100" w:type="dxa"/>
            <w:vAlign w:val="bottom"/>
          </w:tcPr>
          <w:p>
            <w:pPr>
              <w:ind w:left="2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Consolidated Statements of Cash Flows</w:t>
              </w:r>
            </w:hyperlink>
          </w:p>
        </w:tc>
        <w:tc>
          <w:tcPr>
            <w:tcW w:w="440" w:type="dxa"/>
            <w:vAlign w:val="bottom"/>
          </w:tcPr>
          <w:p>
            <w:pPr>
              <w:spacing w:after="0"/>
              <w:rPr>
                <w:sz w:val="24"/>
                <w:szCs w:val="24"/>
                <w:color w:val="auto"/>
              </w:rPr>
            </w:pPr>
          </w:p>
        </w:tc>
        <w:tc>
          <w:tcPr>
            <w:tcW w:w="680" w:type="dxa"/>
            <w:vAlign w:val="bottom"/>
            <w:gridSpan w:val="2"/>
          </w:tcPr>
          <w:p>
            <w:pPr>
              <w:jc w:val="center"/>
              <w:ind w:right="440"/>
              <w:spacing w:after="0"/>
              <w:rPr>
                <w:rFonts w:ascii="Arial" w:cs="Arial" w:eastAsia="Arial" w:hAnsi="Arial"/>
                <w:sz w:val="18"/>
                <w:szCs w:val="18"/>
                <w:color w:val="0000FF"/>
                <w:w w:val="88"/>
              </w:rPr>
            </w:pPr>
            <w:r>
              <w:rPr>
                <w:rFonts w:ascii="Arial" w:cs="Arial" w:eastAsia="Arial" w:hAnsi="Arial"/>
                <w:sz w:val="18"/>
                <w:szCs w:val="18"/>
                <w:color w:val="0000FF"/>
                <w:w w:val="88"/>
              </w:rPr>
              <w:t>F-</w:t>
            </w:r>
            <w:hyperlink w:anchor="page78">
              <w:r>
                <w:rPr>
                  <w:rFonts w:ascii="Arial" w:cs="Arial" w:eastAsia="Arial" w:hAnsi="Arial"/>
                  <w:sz w:val="18"/>
                  <w:szCs w:val="18"/>
                  <w:color w:val="0000FF"/>
                  <w:w w:val="88"/>
                </w:rPr>
                <w:t>9</w:t>
              </w:r>
            </w:hyperlink>
          </w:p>
        </w:tc>
      </w:tr>
      <w:tr>
        <w:trPr>
          <w:trHeight w:val="20"/>
        </w:trPr>
        <w:tc>
          <w:tcPr>
            <w:tcW w:w="10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010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Notes to Consolidated Financial Statements</w:t>
              </w:r>
            </w:hyperlink>
          </w:p>
        </w:tc>
        <w:tc>
          <w:tcPr>
            <w:tcW w:w="440" w:type="dxa"/>
            <w:vAlign w:val="bottom"/>
          </w:tcPr>
          <w:p>
            <w:pPr>
              <w:spacing w:after="0"/>
              <w:rPr>
                <w:sz w:val="24"/>
                <w:szCs w:val="24"/>
                <w:color w:val="auto"/>
              </w:rPr>
            </w:pPr>
          </w:p>
        </w:tc>
        <w:tc>
          <w:tcPr>
            <w:tcW w:w="680" w:type="dxa"/>
            <w:vAlign w:val="bottom"/>
            <w:gridSpan w:val="2"/>
          </w:tcPr>
          <w:p>
            <w:pPr>
              <w:jc w:val="center"/>
              <w:ind w:right="400"/>
              <w:spacing w:after="0"/>
              <w:rPr>
                <w:rFonts w:ascii="Arial" w:cs="Arial" w:eastAsia="Arial" w:hAnsi="Arial"/>
                <w:sz w:val="18"/>
                <w:szCs w:val="18"/>
                <w:color w:val="0000FF"/>
                <w:w w:val="75"/>
              </w:rPr>
            </w:pPr>
            <w:r>
              <w:rPr>
                <w:rFonts w:ascii="Arial" w:cs="Arial" w:eastAsia="Arial" w:hAnsi="Arial"/>
                <w:sz w:val="18"/>
                <w:szCs w:val="18"/>
                <w:color w:val="0000FF"/>
                <w:w w:val="75"/>
              </w:rPr>
              <w:t>F-</w:t>
            </w:r>
            <w:hyperlink w:anchor="page79">
              <w:r>
                <w:rPr>
                  <w:rFonts w:ascii="Arial" w:cs="Arial" w:eastAsia="Arial" w:hAnsi="Arial"/>
                  <w:sz w:val="18"/>
                  <w:szCs w:val="18"/>
                  <w:color w:val="0000FF"/>
                  <w:w w:val="75"/>
                </w:rPr>
                <w:t>10</w:t>
              </w:r>
            </w:hyperlink>
          </w:p>
        </w:tc>
      </w:tr>
      <w:tr>
        <w:trPr>
          <w:trHeight w:val="20"/>
        </w:trPr>
        <w:tc>
          <w:tcPr>
            <w:tcW w:w="101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360" w:firstLine="3364"/>
        <w:spacing w:after="0" w:line="31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Shareholders of Laboratory Corporation of America Holdings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Laboratory Corporation of America Holdings and its subsidiaries (the “Company”) as of December 31, 2020 and 2019, and the related consolidated statements of operations, comprehensive earnings, changes in shareholders' equity and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Labcorp Diagnostics Segment (Dx) Net Accounts Receivable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Notes 2 and 7 to the consolidated financial statements, the Dx business’s revenues are distributed among four payer portfolios - clients, patients, Medicare and Medicaid, and third-party. Dx accounts receivable due from these payer portfolios was $1,515.5 million as of December 31, 2020. Management has a formal process to estimate implicit price concessions for uncollectable accounts. Management considers negotiated discounts and anticipated adjustments, including historical collection experience for each of the payer portfolios, when revenues and accounts receivable are recorded. Anticipated write-offs are recorded as an adjustment to revenue and at an amount considered necessary to record the revenue at its net realizable value. In addition to contractual discounts, other adjustments including anticipated payer denials and other external factors that could affect the collectibility of its receivables are considered when determining revenue and the net receivable amount.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Dx net accounts receivable is a critical audit matter are the significant judgment and estimation by management to determine net accounts receivable related to the Dx segment, which led to a high degree of auditor judgment, subjectivity and effort in performing procedures and in evaluating the audit evidence related to the valuation of net Dx accounts receivable.</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Dx net accounts receivable. These procedures also included, among others, testing management's process for developing the estimate of net accounts receivable, and the relevance of historical billing and collection data as an input to the analysis; testing the accuracy of a sample of revenue transactions and a sample of cash collections from the historical billing and collection data which is used in management’s analysis; and performing a retrospective comparison of actual cash collected to the prior year estimate of net accounts receivable.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Estimating Costs to Complete for Clinical Research Services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21 to the consolidated financial statements, Labcorp Drug Development (DD) revenue was $4,877.7 million for the year ended December 31, 2020. Clinical services utilizing the input-based measure of progress account for 50% of DD revenue. The majority of clinical development and commercialization service long-term contracts within the DD segment are service contracts for clinical research that represent a single performance obligation (e.g., management of a clinical study). Revenue for these service contracts is recognized over time based on the progress of the performance obligation which was measured by the proportion of the actual costs incurred to the total costs expected to complete the contract (including labor and pass-through costs such as investigator grants and reimbursable out-of-pocket expenses). This cost-based method of revenue recognition required management to estimate the costs to complete these service contracts on an ongoing basis.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estimating costs to complete for clinical research services is a critical audit matter are the significant judgment and estimation by management when developing the costs to complete, including the labor and third party costs to complete the service contracts, which led to a high degree of auditor judgment, subjectivity and effort in performing procedures and in evaluating evidence related to the cost estimates made by management.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estimated costs to complete. These procedures also included, among others, testing management's process for estimating cost to complete the service contracts, testing, for certain contracts, actual costs incurred and evaluating the reasonableness of management’s estimation of costs to complete projects, including labor and third party costs to complete service contracts; and evaluating whether the assumptions used were reasonable by performing a retrospective comparison of current year project costs to historical cost estimates made by management.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Two Reporting Units within the DD Segment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in Notes 1 and 9 to the consolidated financial statements, the Company’s consolidated goodwill balance was $7,751.5 million as of December 31, 2020, and the goodwill associated with the Company’s DD segment was $3,951.3 million. For the year ended December 31, 2020, the Company recorded goodwill impairment of $418.7 million for one of its reporting units within the DD segment. Management assesses goodwill for impairment at least annually or whenever events or changes in circumstances indicate that the carrying amount of such assets may not be recoverable. The Company recognizes an impairment charge for the amount by which the reporting unit's carrying amount exceeds its fair value. Fair value of a reporting unit is estimated using both income-based and market-based valuation methods. Management’s impairment analysis for certain reporting units utilized significant judgments and assumptions related to the market comparable method analysis, such as selected market multiples, and related to cash flow projections, such as revenue and terminal growth rates, projected operating margin, and the discount rate.</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of the two reporting units within the DD segment is a critical audit matter are the significant judgment by management when developing the fair value estimate of the reporting units, which led to a high degree of auditor judgment, subjectivity, and audit effort in performing procedures to evaluate management’s market comparable method analysis and cash flow projections, including significant assumptions for the selected market multiples, revenue and terminal growth rates, projected operating margin, and the discount rate. Also, the audit effort involved the use of professionals with specialized skill and knowledge to assist in performing these procedures and evaluating the audit evidence obtained from these procedures.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significant assumptions used in the valuation of the reporting units. These procedures also included, among others, testing management's process for estimating the fair value of the reporting units which involved evaluating the appropriateness of the valuation methods and the reasonableness of significant assumptions used in the market comparable method analysis and cash flow projections, including the selected market multiples, revenue and terminal growth rates, projected operating margin, and the discount rate. Evaluating the reasonableness of the revenue and terminal growth rates and projected operating margin involved considering the past performance of the reporting unit and considering whether these assumptions were consistent with evidence obtained in other areas of the audit. Professionals with specialized skill and knowledge were used to assist in the evaluation of the appropriateness of the Company’s valuation methods and the reasonableness of (i) the terminal growth rates impacting the reporting units' future cash flows, (ii) the selected market multiple applied to the reporting units' financial information and (iii) the discount rate.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Information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176"/>
        </w:trPr>
        <w:tc>
          <w:tcPr>
            <w:tcW w:w="7800" w:type="dxa"/>
            <w:vAlign w:val="bottom"/>
          </w:tcPr>
          <w:p>
            <w:pPr>
              <w:ind w:left="220"/>
              <w:spacing w:after="0" w:line="176" w:lineRule="exact"/>
              <w:rPr>
                <w:sz w:val="20"/>
                <w:szCs w:val="20"/>
                <w:color w:val="auto"/>
              </w:rPr>
            </w:pPr>
            <w:r>
              <w:rPr>
                <w:rFonts w:ascii="Arial" w:cs="Arial" w:eastAsia="Arial" w:hAnsi="Arial"/>
                <w:sz w:val="18"/>
                <w:szCs w:val="18"/>
                <w:color w:val="auto"/>
                <w:w w:val="95"/>
              </w:rPr>
              <w:t>Accounts receivable, net of allowance for doubtful accounts of $22.1 and $19.0 as of December 31,</w:t>
            </w: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2,479.8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1,543.9</w:t>
            </w: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2020 and 2019, respectively</w:t>
            </w: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services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Supplies inventory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36"/>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7"/>
        </w:trPr>
        <w:tc>
          <w:tcPr>
            <w:tcW w:w="78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5,125.4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2,981.2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7,865.0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Joint venture partnerships and equity method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5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18,046.4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638.9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operating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Short-term finance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23"/>
        </w:trPr>
        <w:tc>
          <w:tcPr>
            <w:tcW w:w="78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2,655.8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10,459.3</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w w:val="99"/>
              </w:rPr>
              <w:t>Common stock, 97.5 and 97.2 shares outstanding at December 31, 2020 and 2019, respectively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7,903.6</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36"/>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7,567.0</w:t>
            </w:r>
          </w:p>
        </w:tc>
        <w:tc>
          <w:tcPr>
            <w:tcW w:w="0" w:type="dxa"/>
            <w:vAlign w:val="bottom"/>
          </w:tcPr>
          <w:p>
            <w:pPr>
              <w:spacing w:after="0"/>
              <w:rPr>
                <w:sz w:val="1"/>
                <w:szCs w:val="1"/>
                <w:color w:val="auto"/>
              </w:rPr>
            </w:pPr>
          </w:p>
        </w:tc>
      </w:tr>
      <w:tr>
        <w:trPr>
          <w:trHeight w:val="25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18,046.4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751"/>
        </w:trPr>
        <w:tc>
          <w:tcPr>
            <w:tcW w:w="9000" w:type="dxa"/>
            <w:vAlign w:val="bottom"/>
            <w:gridSpan w:val="5"/>
          </w:tcPr>
          <w:p>
            <w:pPr>
              <w:jc w:val="center"/>
              <w:ind w:left="215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862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7280" w:type="dxa"/>
            <w:vAlign w:val="bottom"/>
          </w:tcPr>
          <w:p>
            <w:pPr>
              <w:jc w:val="center"/>
              <w:ind w:left="3870"/>
              <w:spacing w:after="0"/>
              <w:rPr>
                <w:sz w:val="20"/>
                <w:szCs w:val="20"/>
                <w:color w:val="auto"/>
              </w:rPr>
            </w:pPr>
            <w:r>
              <w:rPr>
                <w:rFonts w:ascii="Arial" w:cs="Arial" w:eastAsia="Arial" w:hAnsi="Arial"/>
                <w:sz w:val="18"/>
                <w:szCs w:val="18"/>
                <w:b w:val="1"/>
                <w:bCs w:val="1"/>
                <w:color w:val="auto"/>
                <w:w w:val="92"/>
              </w:rPr>
              <w:t>(In Millions, Except Per Share Data)</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26"/>
        </w:trPr>
        <w:tc>
          <w:tcPr>
            <w:tcW w:w="7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4"/>
                <w:szCs w:val="24"/>
                <w:color w:val="auto"/>
              </w:rPr>
            </w:pPr>
          </w:p>
        </w:tc>
      </w:tr>
      <w:tr>
        <w:trPr>
          <w:trHeight w:val="237"/>
        </w:trPr>
        <w:tc>
          <w:tcPr>
            <w:tcW w:w="7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11,333.4</w:t>
            </w:r>
          </w:p>
        </w:tc>
      </w:tr>
      <w:tr>
        <w:trPr>
          <w:trHeight w:val="237"/>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8,157.0</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3,176.4</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1,570.9</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Goodwill and other asset impairments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1,325.7</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(244.2)</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income,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r>
      <w:tr>
        <w:trPr>
          <w:trHeight w:val="217"/>
        </w:trPr>
        <w:tc>
          <w:tcPr>
            <w:tcW w:w="728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1,268.3</w:t>
            </w:r>
          </w:p>
        </w:tc>
      </w:tr>
      <w:tr>
        <w:trPr>
          <w:trHeight w:val="24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r>
      <w:tr>
        <w:trPr>
          <w:trHeight w:val="217"/>
        </w:trPr>
        <w:tc>
          <w:tcPr>
            <w:tcW w:w="72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883.9</w:t>
            </w: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the noncontrolling interest</w:t>
            </w: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7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751"/>
        </w:trPr>
        <w:tc>
          <w:tcPr>
            <w:tcW w:w="9160" w:type="dxa"/>
            <w:vAlign w:val="bottom"/>
            <w:gridSpan w:val="5"/>
          </w:tcPr>
          <w:p>
            <w:pPr>
              <w:jc w:val="center"/>
              <w:ind w:left="199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20" w:type="dxa"/>
            <w:vAlign w:val="bottom"/>
            <w:gridSpan w:val="4"/>
          </w:tcPr>
          <w:p>
            <w:pPr>
              <w:jc w:val="center"/>
              <w:ind w:left="2230"/>
              <w:spacing w:after="0"/>
              <w:rPr>
                <w:sz w:val="20"/>
                <w:szCs w:val="20"/>
                <w:color w:val="auto"/>
              </w:rPr>
            </w:pPr>
            <w:r>
              <w:rPr>
                <w:rFonts w:ascii="Arial" w:cs="Arial" w:eastAsia="Arial" w:hAnsi="Arial"/>
                <w:sz w:val="18"/>
                <w:szCs w:val="18"/>
                <w:b w:val="1"/>
                <w:bCs w:val="1"/>
                <w:color w:val="auto"/>
                <w:w w:val="99"/>
              </w:rPr>
              <w:t>CONSOLIDATED STATEMENTS OF COMPREHENSIVE EARNINGS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92"/>
              </w:rPr>
              <w:t>(In Millions, Except Per Share Data)</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58"/>
        </w:trPr>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4"/>
                <w:szCs w:val="24"/>
                <w:color w:val="auto"/>
              </w:rPr>
            </w:pPr>
          </w:p>
        </w:tc>
      </w:tr>
      <w:tr>
        <w:trPr>
          <w:trHeight w:val="237"/>
        </w:trPr>
        <w:tc>
          <w:tcPr>
            <w:tcW w:w="7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2018</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(176.6)</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benefit plan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Other comprehensive earnings (loss) before tax</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 related to items of comprehensive earnings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r>
      <w:tr>
        <w:trPr>
          <w:trHeight w:val="23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earnings attributable to the noncontrolling interest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5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Laboratory Corporation of America Holdings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LABORATORY CORPORATION OF AMERICA HOLDINGS AND SUBSIDIARIES CONSOLIDATED STATEMENTS OF CHANGES IN SHAREHOLDERS’ EQUITY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980" w:type="dxa"/>
            <w:vAlign w:val="bottom"/>
            <w:vMerge w:val="restart"/>
          </w:tcPr>
          <w:p>
            <w:pPr>
              <w:jc w:val="center"/>
              <w:ind w:right="4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0"/>
              </w:rPr>
              <w:t>Treasury</w:t>
            </w:r>
          </w:p>
        </w:tc>
        <w:tc>
          <w:tcPr>
            <w:tcW w:w="1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Paid-in</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1"/>
                <w:szCs w:val="11"/>
                <w:color w:val="auto"/>
              </w:rPr>
            </w:pP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Capital</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Stock</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Earnings (Loss)</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8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1,989.8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6,196.1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6,804.1</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Conversion of zero-coupon convertible debt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8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1,451.1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7,079.8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6,971.4</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823.8</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net of tax</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Retirement of treasury stock</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8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7,903.6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7,567.0</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Adoption of credit loss accounting standard</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1,556.1</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Other comprehensive earnings, net of tax</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9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4"/>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9,359.7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51"/>
        </w:trPr>
        <w:tc>
          <w:tcPr>
            <w:tcW w:w="9180" w:type="dxa"/>
            <w:vAlign w:val="bottom"/>
            <w:gridSpan w:val="4"/>
          </w:tcPr>
          <w:p>
            <w:pPr>
              <w:jc w:val="center"/>
              <w:ind w:left="1970"/>
              <w:spacing w:after="0"/>
              <w:rPr>
                <w:sz w:val="20"/>
                <w:szCs w:val="20"/>
                <w:color w:val="auto"/>
              </w:rPr>
            </w:pPr>
            <w:r>
              <w:rPr>
                <w:rFonts w:ascii="Arial" w:cs="Arial" w:eastAsia="Arial" w:hAnsi="Arial"/>
                <w:sz w:val="18"/>
                <w:szCs w:val="18"/>
                <w:b w:val="1"/>
                <w:bCs w:val="1"/>
                <w:color w:val="auto"/>
              </w:rPr>
              <w:t>LABORATORY CORPORATION OF AMERICA HOLDINGS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8140" w:type="dxa"/>
            <w:vAlign w:val="bottom"/>
          </w:tcPr>
          <w:p>
            <w:pPr>
              <w:jc w:val="center"/>
              <w:ind w:left="30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814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(In Millions)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25"/>
        </w:trPr>
        <w:tc>
          <w:tcPr>
            <w:tcW w:w="8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8"/>
                <w:szCs w:val="18"/>
                <w:b w:val="1"/>
                <w:bCs w:val="1"/>
                <w:color w:val="auto"/>
              </w:rPr>
              <w:t>Years Ended December 31,</w:t>
            </w:r>
          </w:p>
        </w:tc>
      </w:tr>
      <w:tr>
        <w:trPr>
          <w:trHeight w:val="237"/>
        </w:trPr>
        <w:tc>
          <w:tcPr>
            <w:tcW w:w="8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business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Operating lease right-of-use asset expense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Change in assets and liabilities (net of effects of acquisitions and divestitures):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accounts receivable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Increase in unbilled services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inventory</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Increase in prepaid expenses and other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accounts payable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Increase (decrease) in deferred revenue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accrued expenses and other</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sale of assets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or distributions of investments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sale of business</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658.2</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exit of swaps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provided by investing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Senior Notes offerings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term loan</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term loan</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revolving credit facilities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revolving credit facilities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Payments on Senior Notes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debt issuance costs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share settlement tax payments from issuance of stock to employees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issuance of stock to employees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(1,389.9)</w:t>
            </w:r>
          </w:p>
        </w:tc>
      </w:tr>
      <w:tr>
        <w:trPr>
          <w:trHeight w:val="24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r>
      <w:tr>
        <w:trPr>
          <w:trHeight w:val="20"/>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Statement Presentation</w:t>
      </w:r>
    </w:p>
    <w:p>
      <w:pPr>
        <w:spacing w:after="0" w:line="62" w:lineRule="exact"/>
        <w:rPr>
          <w:sz w:val="20"/>
          <w:szCs w:val="20"/>
          <w:color w:val="auto"/>
        </w:rPr>
      </w:pPr>
    </w:p>
    <w:p>
      <w:pPr>
        <w:jc w:val="both"/>
        <w:ind w:firstLine="283"/>
        <w:spacing w:after="0" w:line="239" w:lineRule="auto"/>
        <w:rPr>
          <w:sz w:val="20"/>
          <w:szCs w:val="20"/>
          <w:color w:val="auto"/>
        </w:rPr>
      </w:pPr>
      <w:r>
        <w:rPr>
          <w:rFonts w:ascii="Arial" w:cs="Arial" w:eastAsia="Arial" w:hAnsi="Arial"/>
          <w:sz w:val="18"/>
          <w:szCs w:val="18"/>
          <w:color w:val="auto"/>
        </w:rPr>
        <w:t>Laboratory Corporation of America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Holdings (Labcorp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the Company) is a leading global life sciences company that provides vital information to help doctors, hospitals, pharmaceutical companies, researchers, and patients make clear and confident decisions. By leveraging its strong diagnostics and drug development capabilities, the Company provides insights and accelerates innovations to improve health and improve lives. With over 72,400 employees, the Company serves clients in more than 100 countries.</w:t>
      </w:r>
    </w:p>
    <w:p>
      <w:pPr>
        <w:spacing w:after="0" w:line="109" w:lineRule="exact"/>
        <w:rPr>
          <w:sz w:val="20"/>
          <w:szCs w:val="20"/>
          <w:color w:val="auto"/>
        </w:rPr>
      </w:pPr>
    </w:p>
    <w:p>
      <w:pPr>
        <w:jc w:val="both"/>
        <w:ind w:firstLine="283"/>
        <w:spacing w:after="0" w:line="296" w:lineRule="auto"/>
        <w:rPr>
          <w:sz w:val="20"/>
          <w:szCs w:val="20"/>
          <w:color w:val="auto"/>
        </w:rPr>
      </w:pPr>
      <w:r>
        <w:rPr>
          <w:rFonts w:ascii="Arial" w:cs="Arial" w:eastAsia="Arial" w:hAnsi="Arial"/>
          <w:sz w:val="16"/>
          <w:szCs w:val="16"/>
          <w:color w:val="auto"/>
        </w:rPr>
        <w:t>The Company reports its business in two segments, Labcorp Diagnostics (Dx) and Labcorp Drug Development (DD). As part of the Company's rebranding initiative announced in December 2020, the Company changed the names of its segments, which were previously referred to as LabCorp Diagnostics and Covance Drug Development. For further financial information about these segments, including information for each of the last three fiscal years regarding revenue, operating income, and other important information, see Note 21 Business Segment Information to the Consolidated Financial Statements. In 2020, Dx and DD contributed 65% and 35%, respectively, of revenues to the Company, and in 2019 contributed 60% and 40%, respectively.</w:t>
      </w:r>
    </w:p>
    <w:p>
      <w:pPr>
        <w:spacing w:after="0" w:line="67"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96" w:lineRule="exact"/>
        <w:rPr>
          <w:sz w:val="20"/>
          <w:szCs w:val="20"/>
          <w:color w:val="auto"/>
        </w:rPr>
      </w:pPr>
    </w:p>
    <w:p>
      <w:pPr>
        <w:jc w:val="both"/>
        <w:ind w:firstLine="283"/>
        <w:spacing w:after="0" w:line="286" w:lineRule="auto"/>
        <w:rPr>
          <w:sz w:val="20"/>
          <w:szCs w:val="20"/>
          <w:color w:val="auto"/>
        </w:rPr>
      </w:pPr>
      <w:r>
        <w:rPr>
          <w:rFonts w:ascii="Arial" w:cs="Arial" w:eastAsia="Arial" w:hAnsi="Arial"/>
          <w:sz w:val="17"/>
          <w:szCs w:val="17"/>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Guidance</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2016, the FASB issued a new accounting standard intended to provide financial statement users with more decision-useful information about expected credit losses and other commitments to extend credit held by the reporting entity. The standard replaces the incurred loss impairment methodology in current generally accepted accounting principles (GAAP) with one that reflects expected credit losses and requires consideration of a broader range of reasonable and supportable information to inform credit loss estimates. The Company recorded an opening retained earnings adjustment of $7.0 with the adoption of this standard on January 1, 2020.</w:t>
      </w:r>
    </w:p>
    <w:p>
      <w:pPr>
        <w:spacing w:after="0" w:line="10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August 2018, the FASB issued a new accounting standard to reduce, modify, and add to the disclosure requirements on fair value measurements. The Company adopted this standard effective January 1, 2020. The adoption of this standard did not have a material impact on the consolidated financial statements.</w:t>
      </w:r>
    </w:p>
    <w:p>
      <w:pPr>
        <w:spacing w:after="0" w:line="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2018, the FASB issued a new accounting standard to align the requirements for capitalizing implementation costs incurred in a hosting arrangement that is a service contract with the requirements for capitalizing implementation costs incurred to develop or obtain internal-use software. The Company adopted this standard effective January 1, 2020. The adoption of this standard did not have a material impact on the consolidated financial statements.</w:t>
      </w:r>
    </w:p>
    <w:p>
      <w:pPr>
        <w:spacing w:after="0" w:line="9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August 2018, the FASB issued a new accounting standard to modify the disclosure requirements for employers that sponsor defined benefit pension or other postretirement plans. The Company adopted this standard effective January 1, 2020. The adoption of this standard did not have a material impact on the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Novel Coronavirus (COVID-19) Financial Statement Impact</w:t>
      </w:r>
    </w:p>
    <w:p>
      <w:pPr>
        <w:spacing w:after="0" w:line="13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March 2020, COVID-19 was declared a pandemic. COVID-19 has had and continues to have an extensive impact on the global health and economic environments. During 2020, the Company recorded goodwill and other asset impairment charges of $462.1, $450.5 within DD and $11.6 within Dx, as a result of the COVID-19 pandemic. The Company concluded that the fair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value was less than carrying value for two of its reporting units and recorded goodwill impairment of $418.7 and $3.7 for DD and Dx, respectively. Additional impairment of identifiable intangible and tangible assets of $31.8 and $7.9 was recorded for DD and Dx, respectively, for impairment of a tradename, software, customer relationships, technology assets and a note receivable. The Company also impaired certain of the Company's investments by a total of $25.4 during 2020 due to the impact of COVID-19; $7.1 was included in Equity method earnings (loss), net and $18.3 was included in Other, net.</w:t>
      </w:r>
    </w:p>
    <w:p>
      <w:pPr>
        <w:spacing w:after="0" w:line="7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7"/>
          <w:szCs w:val="17"/>
          <w:color w:val="auto"/>
        </w:rPr>
        <w:t>In April 2020, the Company received cash payments of approximately $55.9 from the Public Health and Social Services Emergency Fund for provider relief that was appropriated by Congress to the U.S. Department of Health and Human Services (HHS) in the Coronavirus Aid, Relief, and Economic Security Act (CARES Act Provider Relief Funds). In August 2020, the Company received an additional $76.2 in CARES Act Provider Relief Funds. As the Company's Diagnostic business demonstrated recovery and demand for COVID-19 testing increased, the Company determined that the negative financial impact of COVID-19 which the CARES Act Provider Relief Funds were designed to address no longer applied to the Company. As a result, the Company returned the CARES Act Provider Relief Funds, to the government in the fourth quarter of 2020. There was no impact to the Company's consolidated financial statements as of December 31, 2020 and for the year then ended.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Out-of-Pocket Expenses</w:t>
      </w:r>
    </w:p>
    <w:p>
      <w:pPr>
        <w:spacing w:after="0" w:line="67" w:lineRule="exact"/>
        <w:rPr>
          <w:sz w:val="20"/>
          <w:szCs w:val="20"/>
          <w:color w:val="auto"/>
        </w:rPr>
      </w:pPr>
    </w:p>
    <w:p>
      <w:pPr>
        <w:jc w:val="both"/>
        <w:ind w:firstLine="251"/>
        <w:spacing w:after="0" w:line="263" w:lineRule="auto"/>
        <w:tabs>
          <w:tab w:leader="none" w:pos="5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pays on behalf of its customers certain out-of-pocket costs for which the Company is reimbursed at cost, without mark-up or profit. Out-of-pocket costs paid by DD are reflected in operating expenses, while the reimbursements received are reflected in revenues in the consolidated statements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6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revenue includes direct labor and related benefit charges,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67"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implicit price concessions, revenue estimates, the allowances for doubtful accounts, deferred tax assets, fair values of acquired assets and assumed liabilities in business combinations, fair value of goodwill and indefinite-lived intangible assets, amortization lives for acquired intangible assets, and accruals for self-insurance reserves, litigation reserves and pensions. The allowance for doubtful accounts is determined based on historical collections trends, the aging of accounts, current economic conditions and regulatory changes. Actual results could differ from those estimates.</w:t>
      </w:r>
    </w:p>
    <w:p>
      <w:pPr>
        <w:spacing w:after="0" w:line="8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extent to which the COVID-19 pandemic has and will continue to impact the Company’s business and financial results depend on numerous evolving factors including, but not limited to: the magnitude and duration of the COVID-19 pandemic, the impact to worldwide macroeconomic conditions including interest rates, employment rates and health insurance coverage,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as of December 31, 2020, and through the date of this Annual Report. The accounting matters assessed included, but were not limited to, the Company’s implicit price concessions and credit losses, equity investments, notes receivable and the carrying value of goodwill and other long-lived assets. The Company’s future assessment of the magnitude and duration of COVID-19, as well as other factors, could result in additional material impacts to the Company’s consolidated financial statements in future reporting periods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67"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89"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Company maintains cash and cash equivalents with various major financial institutions. The total cash and cash equivalent balances that exceeded the balances insured by the Federal Deposit Insurance Commission, were approximately $1,319.4 and $335.0 at December 31, 2020, and 2019, respectively.</w:t>
      </w:r>
    </w:p>
    <w:p>
      <w:pPr>
        <w:spacing w:after="0" w:line="89"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Substantially all of the Company’s accounts receivable are with companies in the healthcare or biopharmaceutical industry and individuals. However, concentrations of credit risk are mitigated due to the number of the Company’s customers as well as their dispersion across many different geographic regions.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right="20" w:firstLine="283"/>
        <w:spacing w:after="0" w:line="311" w:lineRule="auto"/>
        <w:rPr>
          <w:sz w:val="20"/>
          <w:szCs w:val="20"/>
          <w:color w:val="auto"/>
        </w:rPr>
      </w:pPr>
      <w:r>
        <w:rPr>
          <w:rFonts w:ascii="Arial" w:cs="Arial" w:eastAsia="Arial" w:hAnsi="Arial"/>
          <w:sz w:val="16"/>
          <w:szCs w:val="16"/>
          <w:color w:val="auto"/>
        </w:rPr>
        <w:t>Although Dx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$109.8 and $81.4 at December 31, 2020, and 2019, respectively.</w:t>
      </w:r>
    </w:p>
    <w:p>
      <w:pPr>
        <w:spacing w:after="0" w:line="68" w:lineRule="exact"/>
        <w:rPr>
          <w:sz w:val="20"/>
          <w:szCs w:val="20"/>
          <w:color w:val="auto"/>
        </w:rPr>
      </w:pPr>
    </w:p>
    <w:p>
      <w:pPr>
        <w:jc w:val="both"/>
        <w:ind w:firstLine="283"/>
        <w:spacing w:after="0" w:line="291"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 capitated accounts receivable balances from the Ontario government sponsored healthcare plan were CAD 0.6 and CAD 3.2 at December 31, 2020, and 2019, respectively.</w:t>
      </w:r>
    </w:p>
    <w:p>
      <w:pPr>
        <w:spacing w:after="0" w:line="72"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portion of the Company's accounts receivable due from patients comprises the largest portion of credit risk. At December 31, 2020, and 2019, receivables due from patients represented approximately 13.9% and 21.1% of the Company's consolidated gross accounts receivable, respectively. The Company applies assumptions and judgments including historical collection experience and reasonable and supportable forecasts for assessing collectability and determining allowances for doubtful accounts for accounts receivable from patients.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67"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performance share awards, and shares issuable upon conversion of zero-coupon subordinated notes.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color w:val="auto"/>
              </w:rPr>
              <w:t>Income</w:t>
            </w: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color w:val="auto"/>
              </w:rPr>
              <w:t>Shares</w:t>
            </w:r>
          </w:p>
        </w:tc>
        <w:tc>
          <w:tcPr>
            <w:tcW w:w="900" w:type="dxa"/>
            <w:vAlign w:val="bottom"/>
            <w:gridSpan w:val="3"/>
          </w:tcPr>
          <w:p>
            <w:pPr>
              <w:jc w:val="center"/>
              <w:ind w:right="120"/>
              <w:spacing w:after="0" w:line="166" w:lineRule="exact"/>
              <w:rPr>
                <w:sz w:val="20"/>
                <w:szCs w:val="20"/>
                <w:color w:val="auto"/>
              </w:rPr>
            </w:pPr>
            <w:r>
              <w:rPr>
                <w:rFonts w:ascii="Arial" w:cs="Arial" w:eastAsia="Arial" w:hAnsi="Arial"/>
                <w:sz w:val="16"/>
                <w:szCs w:val="16"/>
                <w:color w:val="auto"/>
                <w:w w:val="86"/>
              </w:rPr>
              <w:t>Per Share</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auto"/>
              </w:rPr>
              <w:t>Income</w:t>
            </w: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color w:val="auto"/>
              </w:rPr>
              <w:t>Shares</w:t>
            </w:r>
          </w:p>
        </w:tc>
        <w:tc>
          <w:tcPr>
            <w:tcW w:w="900" w:type="dxa"/>
            <w:vAlign w:val="bottom"/>
            <w:gridSpan w:val="3"/>
          </w:tcPr>
          <w:p>
            <w:pPr>
              <w:jc w:val="center"/>
              <w:ind w:right="120"/>
              <w:spacing w:after="0" w:line="166" w:lineRule="exact"/>
              <w:rPr>
                <w:sz w:val="20"/>
                <w:szCs w:val="20"/>
                <w:color w:val="auto"/>
              </w:rPr>
            </w:pPr>
            <w:r>
              <w:rPr>
                <w:rFonts w:ascii="Arial" w:cs="Arial" w:eastAsia="Arial" w:hAnsi="Arial"/>
                <w:sz w:val="16"/>
                <w:szCs w:val="16"/>
                <w:color w:val="auto"/>
                <w:w w:val="86"/>
              </w:rPr>
              <w:t>Per Share</w:t>
            </w: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w:t>
            </w: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color w:val="auto"/>
              </w:rPr>
              <w:t>Shares</w:t>
            </w:r>
          </w:p>
        </w:tc>
        <w:tc>
          <w:tcPr>
            <w:tcW w:w="800" w:type="dxa"/>
            <w:vAlign w:val="bottom"/>
            <w:gridSpan w:val="2"/>
          </w:tcPr>
          <w:p>
            <w:pPr>
              <w:jc w:val="right"/>
              <w:spacing w:after="0" w:line="166" w:lineRule="exact"/>
              <w:rPr>
                <w:sz w:val="20"/>
                <w:szCs w:val="20"/>
                <w:color w:val="auto"/>
              </w:rPr>
            </w:pPr>
            <w:r>
              <w:rPr>
                <w:rFonts w:ascii="Arial" w:cs="Arial" w:eastAsia="Arial" w:hAnsi="Arial"/>
                <w:sz w:val="16"/>
                <w:szCs w:val="16"/>
                <w:color w:val="auto"/>
                <w:w w:val="97"/>
              </w:rPr>
              <w:t>Per Share</w:t>
            </w:r>
          </w:p>
        </w:tc>
        <w:tc>
          <w:tcPr>
            <w:tcW w:w="0" w:type="dxa"/>
            <w:vAlign w:val="bottom"/>
          </w:tcPr>
          <w:p>
            <w:pPr>
              <w:spacing w:after="0"/>
              <w:rPr>
                <w:sz w:val="1"/>
                <w:szCs w:val="1"/>
                <w:color w:val="auto"/>
              </w:rPr>
            </w:pPr>
          </w:p>
        </w:tc>
      </w:tr>
      <w:tr>
        <w:trPr>
          <w:trHeight w:val="219"/>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94"/>
              </w:rPr>
              <w:t>Amount</w:t>
            </w:r>
          </w:p>
        </w:tc>
        <w:tc>
          <w:tcPr>
            <w:tcW w:w="0" w:type="dxa"/>
            <w:vAlign w:val="bottom"/>
          </w:tcPr>
          <w:p>
            <w:pPr>
              <w:spacing w:after="0"/>
              <w:rPr>
                <w:sz w:val="1"/>
                <w:szCs w:val="1"/>
                <w:color w:val="auto"/>
              </w:rPr>
            </w:pPr>
          </w:p>
        </w:tc>
      </w:tr>
      <w:tr>
        <w:trPr>
          <w:trHeight w:val="241"/>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Stock options and stock awards</w:t>
            </w: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convertible debt, net of tax</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1,556.1</w:t>
            </w: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15.88</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823.8</w:t>
            </w: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883.7</w:t>
            </w: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283"/>
        <w:spacing w:after="0" w:line="273" w:lineRule="auto"/>
        <w:rPr>
          <w:sz w:val="20"/>
          <w:szCs w:val="20"/>
          <w:color w:val="auto"/>
        </w:rPr>
      </w:pPr>
      <w:r>
        <w:rPr>
          <w:rFonts w:ascii="Arial" w:cs="Arial" w:eastAsia="Arial" w:hAnsi="Arial"/>
          <w:sz w:val="18"/>
          <w:szCs w:val="18"/>
          <w:color w:val="auto"/>
        </w:rPr>
        <w:t>The following table summarizes the potential common shares not included in the computation of diluted earnings per share because their impact would have been antidilutive:</w:t>
      </w:r>
    </w:p>
    <w:p>
      <w:pPr>
        <w:spacing w:after="0" w:line="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6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17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Company measures stock compensation cost for all equity awards at fair value on the date of grant and recognizes compensation expense over the service period for awards expected to vest. The fair value of restricted stock units is determined based on the number of shares granted and the quoted price of the Company’s common stock on the grant date. The grant date fair value of performance awards is based on a Monte Carlo simulated fair value for the relative (as compared to the peer companies) total shareholder return component of the performance awards. Such value is recognized as an expense over the service period, net of estimated forfeitures and the Company's determination of whether it is probable that the performance targets will be achieved. At the end of each reporting period, the Company reassesses the probability of achieving performance targets. The estimation of equity awards that will ultimately vest requires judgment and the Company considers many factors when estimating expected forfeitures, including types of awards, employee class, and historical experience. Forfeitures are recognized as a reduction of compensation expense in earnings in the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right="520" w:firstLine="283"/>
        <w:spacing w:after="0" w:line="360" w:lineRule="auto"/>
        <w:rPr>
          <w:sz w:val="20"/>
          <w:szCs w:val="20"/>
          <w:color w:val="auto"/>
        </w:rPr>
      </w:pPr>
      <w:r>
        <w:rPr>
          <w:rFonts w:ascii="Arial" w:cs="Arial" w:eastAsia="Arial" w:hAnsi="Arial"/>
          <w:sz w:val="18"/>
          <w:szCs w:val="18"/>
          <w:color w:val="auto"/>
        </w:rPr>
        <w:t xml:space="preserve">See Note 15 Stock Compensation Plans for assumptions used in calculating compensation expense for the Company’s stock compensation plans. </w:t>
      </w:r>
      <w:r>
        <w:rPr>
          <w:rFonts w:ascii="Arial" w:cs="Arial" w:eastAsia="Arial" w:hAnsi="Arial"/>
          <w:sz w:val="18"/>
          <w:szCs w:val="18"/>
          <w:b w:val="1"/>
          <w:bCs w:val="1"/>
          <w:color w:val="auto"/>
        </w:rPr>
        <w:t>Cash Equivalents</w:t>
      </w:r>
    </w:p>
    <w:p>
      <w:pPr>
        <w:jc w:val="both"/>
        <w:ind w:firstLine="243"/>
        <w:spacing w:after="0" w:line="277" w:lineRule="auto"/>
        <w:rPr>
          <w:sz w:val="20"/>
          <w:szCs w:val="20"/>
          <w:color w:val="auto"/>
        </w:rPr>
      </w:pPr>
      <w:r>
        <w:rPr>
          <w:rFonts w:ascii="Arial" w:cs="Arial" w:eastAsia="Arial" w:hAnsi="Arial"/>
          <w:sz w:val="18"/>
          <w:szCs w:val="18"/>
          <w:color w:val="auto"/>
        </w:rPr>
        <w:t>Cash and cash equivalents consist of highly liquid instruments, such as commercial paper, time deposits, and other money market instruments, substantially all of which have maturities when purchased of three months or less.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Supplies Inventory</w:t>
      </w:r>
    </w:p>
    <w:p>
      <w:pPr>
        <w:spacing w:after="0" w:line="67"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8"/>
          <w:szCs w:val="18"/>
          <w:color w:val="auto"/>
        </w:rPr>
        <w:t>Inventories, consisting primarily of purchased laboratory and customer supplies and finished goods, are stated at the lower of cost (first-in, first-out) or net realizable value. Supplies accounted for $403.6 and $228.3 and finished goods accounted for $19.6 and $16.4 of total inventory at December 31, 2020, and 2019, respectively. The Company's inventory reserve balance was $20.2 and $0.0, as of December 31, 2020 and 2019, respectively. Once recorded, the reserves are considered permanent adjustments to the carrying value of inventory.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67"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Property, plant and equipment are recorded at cost. Depreciation and amortization expense is computed on all classes of assets based on their estimated useful lives, as indicated below, using the straight-line method.</w:t>
      </w:r>
    </w:p>
    <w:p>
      <w:pPr>
        <w:spacing w:after="0" w:line="49" w:lineRule="exact"/>
        <w:rPr>
          <w:sz w:val="20"/>
          <w:szCs w:val="20"/>
          <w:color w:val="auto"/>
        </w:rPr>
      </w:pPr>
    </w:p>
    <w:p>
      <w:pPr>
        <w:ind w:left="10520"/>
        <w:spacing w:after="0"/>
        <w:rPr>
          <w:sz w:val="20"/>
          <w:szCs w:val="20"/>
          <w:color w:val="auto"/>
        </w:rPr>
      </w:pPr>
      <w:r>
        <w:rPr>
          <w:rFonts w:ascii="Arial" w:cs="Arial" w:eastAsia="Arial" w:hAnsi="Arial"/>
          <w:sz w:val="18"/>
          <w:szCs w:val="18"/>
          <w:color w:val="auto"/>
        </w:rPr>
        <w:t>Years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29"/>
        </w:trPr>
        <w:tc>
          <w:tcPr>
            <w:tcW w:w="101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10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10180" w:type="dxa"/>
            <w:vAlign w:val="bottom"/>
          </w:tcPr>
          <w:p>
            <w:pPr>
              <w:ind w:left="20"/>
              <w:spacing w:after="0"/>
              <w:rPr>
                <w:sz w:val="20"/>
                <w:szCs w:val="20"/>
                <w:color w:val="auto"/>
              </w:rPr>
            </w:pPr>
            <w:r>
              <w:rPr>
                <w:rFonts w:ascii="Arial" w:cs="Arial" w:eastAsia="Arial" w:hAnsi="Arial"/>
                <w:sz w:val="18"/>
                <w:szCs w:val="18"/>
                <w:color w:val="auto"/>
              </w:rPr>
              <w:t>Software</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r>
    </w:tbl>
    <w:p>
      <w:pPr>
        <w:spacing w:after="0" w:line="133"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Leasehold improvements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67" w:lineRule="exact"/>
        <w:rPr>
          <w:sz w:val="20"/>
          <w:szCs w:val="20"/>
          <w:color w:val="auto"/>
        </w:rPr>
      </w:pPr>
    </w:p>
    <w:p>
      <w:pPr>
        <w:jc w:val="both"/>
        <w:ind w:firstLine="283"/>
        <w:spacing w:after="0" w:line="273" w:lineRule="auto"/>
        <w:rPr>
          <w:sz w:val="20"/>
          <w:szCs w:val="20"/>
          <w:color w:val="auto"/>
        </w:rPr>
      </w:pPr>
      <w:r>
        <w:rPr>
          <w:rFonts w:ascii="Arial" w:cs="Arial" w:eastAsia="Arial" w:hAnsi="Arial"/>
          <w:sz w:val="17"/>
          <w:szCs w:val="17"/>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ranging from three to ten years, generally five years. Amortization begins once the underlying system is substantially complete and ready for its intended use.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6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assesses goodwill and indefinite-lived intangibles for impairment at least annually or whenever events or changes in circumstances indicate that the carrying amount of such assets may not be recoverable. The Company recognizes an impairment charge for the amount by which the reporting unit's carrying amount exceeds its fair value.</w:t>
      </w:r>
    </w:p>
    <w:p>
      <w:pPr>
        <w:spacing w:after="0" w:line="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Based upon the revised forecasted revenues and operating income following the declaration of the COVID-19 global pandemic, management concluded there was a triggering event and updated its annual 2019 goodwill impairment testing as of March 31, 2020, for certain of its DD reporting units and Dx reporting units. Based on the quantitative impairment assessment performed in the same manner as our annual quantitative assessment, the Company concluded that the fair value was less than carrying value for two of its reporting unit and recorded a goodwill impairment of $418.7 for DD and $3.7 for Dx.</w:t>
      </w:r>
    </w:p>
    <w:p>
      <w:pPr>
        <w:spacing w:after="0" w:line="17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Management performed its annual goodwill and intangible asset impairment testing as of the beginning of the fourth quarter of 2020. The Company elected to perform the qualitative assessment for goodwill and intangible assets for the domestic Dx reporting units and certain DD reporting units, a quantitative assessment for two of the DD reporting units and a quantitative assessment for the Canadian reporting unit and its indefinite-lived assets consisting of acquired Canadian licenses.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qualitative assessment, the Company considered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 If applicable, performance in recent years was compared to forecasts included in prior valuations. Based on the results of the qualitative assessment, the Company concluded that it was not more likely than not that the carrying values of the goodwill and intangible assets were greater than their fair values, and that further quantitative testing was not necessary.</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annual 2020 quantitative impairment assessment performed at the beginning of the fourth quarter, the Company utilized a combination of income and market approaches to determine the fair value of two DD reporting units and an income approach to determine the fair value of the Canadian reporting unit and its indefinite-lived assets consisting of acquired Canadian licenses. Based upon the results of the quantitative assessments, the Company concluded that the fair values of the goodwill and intangible assets, including the indefinite-lived Canadian licenses, as of October 1, 2020, were greater than the carrying values.</w:t>
      </w:r>
    </w:p>
    <w:p>
      <w:pPr>
        <w:spacing w:after="0" w:line="9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In addition, given the ongoing and rapidly changing nature of the COVID-19 pandemic, there is significant uncertainty regarding the duration and severity of the pandemic as well as any future government restrictions, which may unfavorably impact existing assumptions. Accordingly, there can be no assurance that the estimates and assumptions made for the purposes of the goodwill impairment analysis will prove to be accurate predictions of future performance.</w:t>
      </w:r>
    </w:p>
    <w:p>
      <w:pPr>
        <w:spacing w:after="0" w:line="97"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Management's impairment analysis for certain reporting units utilized significant judgments and assumptions related to the market comparable method analysis, such as selected market multiples, and related to cash flow projections, such as revenue and terminal growth rates, projected operating margin, and the discount rate. A significant increase in the discount rate, decrease in the revenue and terminal growth rate, or decreased operating margin, or substantial reductions in end markets and volume assumptions could have a negative impact on the estimated fair value of this reporting unit. A future impairment charge for goodwill or intangible assets could have a material effect on the Company's consolidated financial position and results of operations.</w:t>
      </w:r>
    </w:p>
    <w:p>
      <w:pPr>
        <w:spacing w:after="0" w:line="8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Long-lived assets, other than goodwill and indefinite-lived assets,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Intangible assets are amortized on a straight-line basis over the expected periods to be benefited, as set forth in the table below, such as legal life for patents and technology and contractual lives for non-compete agreements.</w:t>
      </w:r>
    </w:p>
    <w:p>
      <w:pPr>
        <w:spacing w:after="0" w:line="85"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Patents, licenses and technology</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67"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The costs related to the issuance of debt are capitalized, netted against the related debt for presentation purposes and amortized to interest expense over the terms of the related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w:t>
      </w:r>
    </w:p>
    <w:p>
      <w:pPr>
        <w:spacing w:after="0" w:line="67"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4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On January 1, 2019 the Company adopted the new lease accounting standard using the modified retrospective method. Comparative periods were not adjusted and are presented in accordance with the lease guidance in effect for that period. The Company elected the package of practical expedients, which includes not reassessing whether existing contracts contain leases under the new definition of a lease, reassessing the classification of existing leases, and reassessing whether previously capitalized initial direct costs qualify for capitalization under the new standard. The new standard requires lessees to apply a dual approach, classifying leases as either finance or operating leases based on the principle of whether or not the lease is effectively a financed purchase by the lessee. The classification will determine whether lease expense is recognized based on an effective interest method or on a straight-line basis over the term of the lease. A lessee is also required to record a right-of-use (ROU) asset and a lease liability for all leases with a term of greater than 12 months regardless of their classification. The Company elected to utilize the short-term lease exemption and not record leases with initial terms of 12 months or less on the balance sheet. Leases with an initial term of 12 months or less are not recorded on the Consolidated Balance Sheets. Operating lease expense is recognized on a straight-line basis over the lease term. Operating lease assets and liabilities are recognized at the commencement date, based on the present value of the future lease payments over the lease term.</w:t>
      </w:r>
    </w:p>
    <w:p>
      <w:pPr>
        <w:spacing w:after="0" w:line="6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 certain number of these leases contain rent escalation clauses either fixed or adjusted periodically for inflation or market rates that are factored into the Company's determination of lease payments. The Company also has variable lease payments that do not depend on a rate or index, for items such as volume purchase commitments, which are recorded as variable cost when incurred. As most of the Company's leases do not provide an implicit rate, the Company estimates an incremental borrowing rate based on the credit quality of the Company and by comparing interest rates available in the market for similar borrowings,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The Company determined that all renewal options within leases for main laboratories, rapid response (STAT) laboratories, branches or combination sites were reasonably possible to be exercised and therefore are included in the accounting lease term. See Note 5 Leases to the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40" w:lineRule="exact"/>
        <w:rPr>
          <w:sz w:val="20"/>
          <w:szCs w:val="20"/>
          <w:color w:val="auto"/>
        </w:rPr>
      </w:pPr>
    </w:p>
    <w:p>
      <w:pPr>
        <w:jc w:val="both"/>
        <w:ind w:firstLine="283"/>
        <w:spacing w:after="0" w:line="290"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67"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Interest rate swap agreements, which have been used by the Company from time to time in the management of interest rate exposure, are accounted for at fair value.</w:t>
      </w:r>
    </w:p>
    <w:p>
      <w:pPr>
        <w:spacing w:after="0" w:line="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Cross currency swap agreements, which have been used by the Company to hedge exposure of its net investment in a foreign subsidiary denominated in non-U.S. currency, are accounted for at fair value.</w:t>
      </w:r>
    </w:p>
    <w:p>
      <w:pPr>
        <w:spacing w:after="0" w:line="89"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See Note 19 Derivative Instruments and Hedging Activities for the Company’s objectives in using derivative instruments and the effect of derivative instruments and related hedged items on the Company’s financial position, financial performance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67" w:lineRule="exact"/>
        <w:rPr>
          <w:sz w:val="20"/>
          <w:szCs w:val="20"/>
          <w:color w:val="auto"/>
        </w:rPr>
      </w:pPr>
    </w:p>
    <w:p>
      <w:pPr>
        <w:jc w:val="both"/>
        <w:ind w:firstLine="283"/>
        <w:spacing w:after="0" w:line="287"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w:t>
      </w:r>
    </w:p>
    <w:p>
      <w:pPr>
        <w:spacing w:after="0" w:line="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unobservable inputs that require the Company to use present value and other valuation techniques in the determination of fair value (Level 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9"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expenses R&amp;D costs as incurred.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67"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6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August 2018, the FASB issued a new accounting standard to reduce, modify, and add to the disclosure requirements on defined benefit pension and other postretirement plans. The standard is effective on January 1, 2021, with early adoption permitted. The adoption of this standard is not expected to have a material impact on the consolidated financial statements.</w:t>
      </w:r>
    </w:p>
    <w:p>
      <w:pPr>
        <w:spacing w:after="0" w:line="8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December 2019, the FASB issued a new accounting standard to simplify accounting for income taxes and remove, modify, and add to the disclosure requirements of income taxes. The standard is effective January 1, 2021, with early adoption permitted. The adoption of this standard is not expected to have a material impact on the consolidated financial statements.</w:t>
      </w:r>
    </w:p>
    <w:p>
      <w:pPr>
        <w:spacing w:after="0" w:line="10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January 2020, the FASB issued a new accounting standard to clarify the interaction of the accounting for equity securities and investments accounted for under the equity method of accounting and the accounting for certain forward contracts and purchased options. The standard is effective January 1, 2021. The adoption of this standard is not expected to have a material impact on the consolidated financial statements.</w:t>
      </w:r>
    </w:p>
    <w:p>
      <w:pPr>
        <w:spacing w:after="0" w:line="7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March 2020, the FASB issued a new accounting standard to provide optional expedients and exceptions if certain conditions are met for applying GAAP to contracts, hedging relationships, and other transactions affected by reference rate reform. The expedients and exceptions in the standard are effective between March 12, 2020, and December 31, 2022. The Company did not elect to apply any of the expedients or exceptions for the period ended December 31, 2020, and is currently evaluating the impact this new standard will have on the consolidated financial statements.</w:t>
      </w:r>
    </w:p>
    <w:p>
      <w:pPr>
        <w:spacing w:after="0" w:line="7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August 2020, the FASB issued a new accounting standard to address issues identified as a result of the complexity associated with applying generally accepted accounting principles for convertible instruments and contracts in an entity's own equity. The standard is effective January 1, 2022, with early adoption permitted. The Company is evaluating the impact this new standard will have on the consolidated financial statements.</w:t>
      </w:r>
    </w:p>
    <w:p>
      <w:pPr>
        <w:spacing w:after="0" w:line="80" w:lineRule="exact"/>
        <w:rPr>
          <w:sz w:val="20"/>
          <w:szCs w:val="20"/>
          <w:color w:val="auto"/>
        </w:rPr>
      </w:pPr>
    </w:p>
    <w:p>
      <w:pPr>
        <w:ind w:right="9380" w:firstLine="8"/>
        <w:spacing w:after="0" w:line="387" w:lineRule="auto"/>
        <w:tabs>
          <w:tab w:leader="none" w:pos="405"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REVENUES Description of Revenues</w:t>
      </w:r>
    </w:p>
    <w:p>
      <w:pPr>
        <w:spacing w:after="0" w:line="1"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8"/>
          <w:szCs w:val="18"/>
          <w:color w:val="auto"/>
        </w:rPr>
        <w:t>Dx attributes revenues to a geographical region based upon where the diagnostic test is performed, while DD attributes revenues to a geographical region based upon where the services are performed. The Company's revenue by segment payers/customer groups for the years ended December 31, 2020, 2019 and 2018 is as follows:</w:t>
      </w:r>
    </w:p>
    <w:p>
      <w:pPr>
        <w:spacing w:after="0" w:line="82"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1260" w:type="dxa"/>
            <w:vAlign w:val="bottom"/>
            <w:tcBorders>
              <w:right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3"/>
              </w:rPr>
              <w:t>For the Year Ended</w:t>
            </w:r>
          </w:p>
        </w:tc>
        <w:tc>
          <w:tcPr>
            <w:tcW w:w="500" w:type="dxa"/>
            <w:vAlign w:val="bottom"/>
            <w:tcBorders>
              <w:top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3"/>
              </w:rPr>
              <w:t>For the Year Ended</w:t>
            </w:r>
          </w:p>
        </w:tc>
        <w:tc>
          <w:tcPr>
            <w:tcW w:w="520" w:type="dxa"/>
            <w:vAlign w:val="bottom"/>
            <w:tcBorders>
              <w:top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8"/>
              </w:rPr>
              <w:t>For the Year Ended</w:t>
            </w:r>
          </w:p>
        </w:tc>
        <w:tc>
          <w:tcPr>
            <w:tcW w:w="6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60" w:type="dxa"/>
            <w:vAlign w:val="bottom"/>
            <w:tcBorders>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5"/>
              </w:rPr>
              <w:t>December 31, 2020</w:t>
            </w:r>
          </w:p>
        </w:tc>
        <w:tc>
          <w:tcPr>
            <w:tcW w:w="500" w:type="dxa"/>
            <w:vAlign w:val="bottom"/>
            <w:tcBorders>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5"/>
              </w:rPr>
              <w:t>December 31, 2019</w:t>
            </w:r>
          </w:p>
        </w:tc>
        <w:tc>
          <w:tcPr>
            <w:tcW w:w="5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9"/>
              </w:rPr>
              <w:t>December 31, 2018</w:t>
            </w:r>
          </w:p>
        </w:tc>
        <w:tc>
          <w:tcPr>
            <w:tcW w:w="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60" w:type="dxa"/>
            <w:vAlign w:val="bottom"/>
            <w:tcBorders>
              <w:right w:val="single" w:sz="8" w:color="auto"/>
            </w:tcBorders>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2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600" w:type="dxa"/>
            <w:vAlign w:val="bottom"/>
            <w:tcBorders>
              <w:right w:val="single" w:sz="8" w:color="auto"/>
            </w:tcBorders>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260" w:type="dxa"/>
            <w:vAlign w:val="bottom"/>
            <w:tcBorders>
              <w:right w:val="single" w:sz="8" w:color="auto"/>
            </w:tcBorders>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Payer/Customer</w:t>
            </w: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6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Clients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3"/>
        </w:trPr>
        <w:tc>
          <w:tcPr>
            <w:tcW w:w="12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56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120" w:type="dxa"/>
            <w:vAlign w:val="bottom"/>
            <w:tcBorders>
              <w:right w:val="single" w:sz="8" w:color="auto"/>
            </w:tcBorders>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8 %</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38"/>
        </w:trPr>
        <w:tc>
          <w:tcPr>
            <w:tcW w:w="1260" w:type="dxa"/>
            <w:vAlign w:val="bottom"/>
            <w:tcBorders>
              <w:right w:val="single" w:sz="8" w:color="auto"/>
            </w:tcBorders>
            <w:shd w:val="clear" w:color="auto" w:fill="CCEEFF"/>
          </w:tcPr>
          <w:p>
            <w:pPr>
              <w:ind w:left="120"/>
              <w:spacing w:after="0" w:line="138" w:lineRule="exact"/>
              <w:rPr>
                <w:sz w:val="20"/>
                <w:szCs w:val="20"/>
                <w:color w:val="auto"/>
              </w:rPr>
            </w:pPr>
            <w:r>
              <w:rPr>
                <w:rFonts w:ascii="Arial" w:cs="Arial" w:eastAsia="Arial" w:hAnsi="Arial"/>
                <w:sz w:val="14"/>
                <w:szCs w:val="14"/>
                <w:color w:val="auto"/>
              </w:rPr>
              <w:t>Medicare and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tcBorders>
              <w:right w:val="single" w:sz="8" w:color="auto"/>
            </w:tcBorders>
            <w:shd w:val="clear" w:color="auto" w:fill="CCEEFF"/>
          </w:tcPr>
          <w:p>
            <w:pPr>
              <w:spacing w:after="0"/>
              <w:rPr>
                <w:sz w:val="12"/>
                <w:szCs w:val="12"/>
                <w:color w:val="auto"/>
              </w:rPr>
            </w:pPr>
          </w:p>
        </w:tc>
        <w:tc>
          <w:tcPr>
            <w:tcW w:w="2100" w:type="dxa"/>
            <w:vAlign w:val="bottom"/>
            <w:gridSpan w:val="6"/>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9%—%   —%</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89"/>
        </w:trPr>
        <w:tc>
          <w:tcPr>
            <w:tcW w:w="12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Medicaid</w:t>
            </w: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100" w:type="dxa"/>
            <w:vAlign w:val="bottom"/>
            <w:gridSpan w:val="6"/>
            <w:vMerge w:val="continue"/>
            <w:shd w:val="clear" w:color="auto" w:fill="CCEEFF"/>
          </w:tcPr>
          <w:p>
            <w:pPr>
              <w:spacing w:after="0"/>
              <w:rPr>
                <w:sz w:val="16"/>
                <w:szCs w:val="16"/>
                <w:color w:val="auto"/>
              </w:rPr>
            </w:pPr>
          </w:p>
        </w:tc>
        <w:tc>
          <w:tcPr>
            <w:tcW w:w="60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60" w:type="dxa"/>
            <w:vAlign w:val="bottom"/>
            <w:tcBorders>
              <w:bottom w:val="single" w:sz="8" w:color="CCEEFF"/>
              <w:right w:val="single" w:sz="8" w:color="auto"/>
            </w:tcBorders>
          </w:tcPr>
          <w:p>
            <w:pPr>
              <w:ind w:left="120"/>
              <w:spacing w:after="0"/>
              <w:rPr>
                <w:sz w:val="20"/>
                <w:szCs w:val="20"/>
                <w:color w:val="auto"/>
              </w:rPr>
            </w:pPr>
            <w:r>
              <w:rPr>
                <w:rFonts w:ascii="Arial" w:cs="Arial" w:eastAsia="Arial" w:hAnsi="Arial"/>
                <w:sz w:val="14"/>
                <w:szCs w:val="14"/>
                <w:color w:val="auto"/>
              </w:rPr>
              <w:t>Third-party</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Borders>
              <w:bottom w:val="single" w:sz="8" w:color="CCEEFF"/>
              <w:right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CCEEFF"/>
              <w:right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18"/>
        </w:trPr>
        <w:tc>
          <w:tcPr>
            <w:tcW w:w="1260" w:type="dxa"/>
            <w:vAlign w:val="bottom"/>
            <w:tcBorders>
              <w:right w:val="single" w:sz="8" w:color="auto"/>
            </w:tcBorders>
            <w:shd w:val="clear" w:color="auto" w:fill="CCEEFF"/>
          </w:tcPr>
          <w:p>
            <w:pPr>
              <w:ind w:left="20"/>
              <w:spacing w:after="0" w:line="118" w:lineRule="exact"/>
              <w:rPr>
                <w:sz w:val="20"/>
                <w:szCs w:val="20"/>
                <w:color w:val="auto"/>
              </w:rPr>
            </w:pPr>
            <w:r>
              <w:rPr>
                <w:rFonts w:ascii="Arial" w:cs="Arial" w:eastAsia="Arial" w:hAnsi="Arial"/>
                <w:sz w:val="13"/>
                <w:szCs w:val="13"/>
                <w:i w:val="1"/>
                <w:iCs w:val="1"/>
                <w:color w:val="auto"/>
              </w:rPr>
              <w:t>Total Dx revenues</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Borders>
              <w:right w:val="single" w:sz="8" w:color="auto"/>
            </w:tcBorders>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Borders>
              <w:right w:val="single" w:sz="8" w:color="auto"/>
            </w:tcBorders>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189"/>
        </w:trPr>
        <w:tc>
          <w:tcPr>
            <w:tcW w:w="12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by payer</w:t>
            </w: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60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DD</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6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w w:val="95"/>
              </w:rPr>
              <w:t>Biopharmaceutical</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and medical device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35 %</w:t>
            </w:r>
          </w:p>
        </w:tc>
        <w:tc>
          <w:tcPr>
            <w:tcW w:w="120" w:type="dxa"/>
            <w:vAlign w:val="bottom"/>
            <w:tcBorders>
              <w:righ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Borders>
              <w:righ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1"/>
                <w:szCs w:val="11"/>
                <w:color w:val="auto"/>
              </w:rPr>
            </w:pP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186"/>
        </w:trPr>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companies</w:t>
            </w:r>
          </w:p>
        </w:tc>
        <w:tc>
          <w:tcPr>
            <w:tcW w:w="5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60" w:type="dxa"/>
            <w:vAlign w:val="bottom"/>
            <w:tcBorders>
              <w:right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82 %</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Revenues in the U.S. were $11,192.3 (80.1%), $8,981.3 (77.7%) and $8,843.5 (78.0%) for the years ended December 31, 2020, 2019 and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current revenue recognition policies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Dx</w:t>
      </w:r>
    </w:p>
    <w:p>
      <w:pPr>
        <w:spacing w:after="0" w:line="6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Dx is an independent clinical laboratory business. It offers a comprehensive menu of frequently requested and specialty diagnostic tests through an integrated network of primary and specialty laboratories across the U.S. In addition to diagnostic testing along with occupational and wellness testing for employers and forensic DNA analysis, Dx also offered a range of other testing services.</w:t>
      </w:r>
    </w:p>
    <w:p>
      <w:pPr>
        <w:spacing w:after="0" w:line="11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Within the Dx segment, a revenue transaction is initiated when Dx receives a requisition order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Sales are distributed among four payer portfolios - clients, patients, Medicare and Medicaid and third-party. Dx considers negotiated discounts and anticipated adjustments, including historical collection experience for the payer portfolio, when sales are recorded.</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descriptions of the Dx payer portfolios: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w:t>
      </w:r>
    </w:p>
    <w:p>
      <w:pPr>
        <w:spacing w:after="0" w:line="6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Client payers represent the portion of Dx’s revenue related to physicians, hospitals, health systems, accountable care organizations (ACOs), employers and other entities where payment is received exclusively from the entity ordering the testing service. Generally, client sales are recorded on a fee-for-service basis at Dx’s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Patients</w:t>
      </w:r>
    </w:p>
    <w:p>
      <w:pPr>
        <w:spacing w:after="0" w:line="6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This portfolio includes revenue from uninsured patients and member cost-share for insured patients (e.g., coinsurance, deductibles and non-covered services). Uninsured patients are billed based upon Dx’s patient list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and Medicaid</w:t>
      </w:r>
    </w:p>
    <w:p>
      <w:pPr>
        <w:spacing w:after="0" w:line="63"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This portfolio relates to fee-for-service revenue from traditional Medicare and Medicaid programs. Revenue from these programs is based on the fee schedule established by the related government authority. 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r>
        <w:rPr>
          <w:rFonts w:ascii="Arial" w:cs="Arial" w:eastAsia="Arial" w:hAnsi="Arial"/>
          <w:sz w:val="19"/>
          <w:szCs w:val="19"/>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w:t>
      </w:r>
    </w:p>
    <w:p>
      <w:pPr>
        <w:spacing w:after="0" w:line="6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Third-party includes revenue related to MCOs. The majority of Dx's third-party revenue is reimbursed on a fee-for-service basis. These payers are billed at Dx's established list price and revenue is recorded net of contractual discounts. The majority of Dx’s MCO sales are recorded based upon contractually negotiated fee schedules with sales for non-contracted MCOs recorded based on historical reimbursement experience.</w:t>
      </w:r>
    </w:p>
    <w:p>
      <w:pPr>
        <w:spacing w:after="0" w:line="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p>
    <w:p>
      <w:pPr>
        <w:spacing w:after="0" w:line="8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DD</w:t>
      </w:r>
    </w:p>
    <w:p>
      <w:pPr>
        <w:spacing w:after="0" w:line="63" w:lineRule="exact"/>
        <w:rPr>
          <w:sz w:val="20"/>
          <w:szCs w:val="20"/>
          <w:color w:val="auto"/>
        </w:rPr>
      </w:pPr>
    </w:p>
    <w:p>
      <w:pPr>
        <w:jc w:val="both"/>
        <w:ind w:firstLine="251"/>
        <w:spacing w:after="0" w:line="272" w:lineRule="auto"/>
        <w:tabs>
          <w:tab w:leader="none" w:pos="5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 a CRO business that provides end-to-end drug development services from early-stage research to clinical trial management and beyond. DD provides these services predominantly to biopharmaceutical and medical device companies worldwide. Because DD's client base generally consumes these drug development services across the entire portfolio of DD pre-clinical and clinical services offerings, there is little variability in the customer base of any particular DD service offering. The nature of DD’s obligations includes agreements to provide preclinical services, to manage a full clinical trial, provide services for a specific phase of a trial, or provide research products to the customer. Generally, the amount of the transaction price estimated at the beginning of the contract is equal to the amount expected to be billed to the customer. Other payments may also factor into the calculation of transaction price, such as volume-based rebates that are retroactively applied to prior transactions in the period.</w:t>
      </w:r>
    </w:p>
    <w:p>
      <w:pPr>
        <w:spacing w:after="0" w:line="96"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Historically, a majority of DD’s revenues have been earned under contracts that range in duration from a few months to a few years, but can extend in duration up to five years or longer. Occasionally, DD also has entered into minimum volume arrangements with certain customers. Under these types of arrangements, if the annual minimum dollar value of a service commitment is not reached, the customer is required to pay DD for the shortfall. Annual minimum commitment shortfalls are not recognized until the end of the period when the amount has been determined and agreed to by the customer.</w:t>
      </w:r>
    </w:p>
    <w:p>
      <w:pPr>
        <w:spacing w:after="0" w:line="63" w:lineRule="exact"/>
        <w:rPr>
          <w:sz w:val="20"/>
          <w:szCs w:val="20"/>
          <w:color w:val="auto"/>
        </w:rPr>
      </w:pPr>
    </w:p>
    <w:p>
      <w:pPr>
        <w:jc w:val="both"/>
        <w:ind w:firstLine="251"/>
        <w:spacing w:after="0" w:line="263" w:lineRule="auto"/>
        <w:tabs>
          <w:tab w:leader="none" w:pos="5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recognizes revenue either as services are performed or as products are delivered, depending on the nature of the work contracted. If performance is completed at a specific point in time, the Company evaluates the nature of the agreement to determine when the good or service is transferred into the customer’s control.</w:t>
      </w:r>
    </w:p>
    <w:p>
      <w:pPr>
        <w:spacing w:after="0" w:line="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Service contracts generally take the form of fee-for-service or fixed-price arrangements subject to pricing adjustments based on changes in scope. In cases where performance spans multiple accounting periods, revenue is recognized as services are performed, measured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The total contract value, or total contractual payments, represents the aggregate contracted price for each of the agreed upon services to be provided. When using an input method, revenue is recognized by dividing the actual units of input incurred by the total units of input budgeted in the contract, and multiplying that percentage by the total contract value. In each situation, the Company believes that the methods used most accurately depict the progress of the Company towards completing its obligations. Billing schedules and payment terms are generally negotiated on a contract-by-contract basis. In some cases, DD bills the customer for the total contract value in progress-based installments as certain non-contingent billing milestones are reached over the contract duration. These milestones include, but are not limited to, contract signing, initial dosing, investigator site initiation, patient enrollment and/or database lock. The term “billing milestone” relates only to a billing trigger in a contract whereby amounts become billable and payable in accordance with a negotiated predetermined billing schedule throughout the term of a project. These billing milestones are generally not performance-based (i.e., there is no potential additional consideration tied to specific deliverables or performance). In other cases, billing and payment terms are tied to the passage of time (e.g., monthly billings). In either case, the total contract value and aggregate amounts billed to the customer would be the same at the end of the project.</w:t>
      </w:r>
    </w:p>
    <w:p>
      <w:pPr>
        <w:spacing w:after="0" w:line="9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Proportional performance contracts typically contain a single service (e.g., management of a clinical study) and therefore no allocation of the contract price is required. Fee-for-service contracts are typically priced based on transaction volume. Since the volume of activities in a fee-for-service contract is unspecified, the contract price is entirely variable and is allocated to the time period in which it is earned. For contracts that include multiple distinct goods and services, DD allocates the contract price to the goods and services based on a customer price list, if available. If a price list is not available, DD will estimate the transaction price using either market prices or an “expected cost plus margin” approach.</w:t>
      </w:r>
    </w:p>
    <w:p>
      <w:pPr>
        <w:spacing w:after="0" w:line="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While DD attempts to negotiate terms that provide for billing and payment of services prior or within close proximity to the provision of services, this is not always possible. While a project is ongoing, cash payments are not necessarily representative of aggregate revenue earned at any particular point in time, as revenues are recognized when services are provided, while amounts billed and paid are in accordance with the negotiated billing and payment terms.</w:t>
      </w:r>
    </w:p>
    <w:p>
      <w:pPr>
        <w:spacing w:after="0" w:line="9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some cases, payments received are in excess of revenue recognized. For example, a contract invoicing schedule may provide for an upfront payment of 10% of the full contract value upon contract signing, but at the time of signing performance of services has not yet begun. Payments received in advance of services being provided are deferred as contract liabilities on the balance sheet. As the contracted services are subsequently performed and the associated revenue is recognized, the contract liability balance is reduced by the amount of revenue recognized during the period.</w:t>
      </w:r>
    </w:p>
    <w:p>
      <w:pPr>
        <w:spacing w:after="0" w:line="9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other cases, services may be provided and revenue recognized before the customer is invoiced. In these cases, revenue recognized will exceed amounts billed, and the difference, representing a contract asset, is recorded for the amount that 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currently not billable to the customer pursuant to contractual terms. Once the customer is invoiced, the contract asset is reduced for the amount billed, and a corresponding account receivable is recorded. All contract assets are billable to customers within one year from the respective balance sheet date.</w:t>
      </w:r>
    </w:p>
    <w:p>
      <w:pPr>
        <w:spacing w:after="0" w:line="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Most contracts are terminable with or without cause by the customer, either immediately or upon notice. These contracts often require payment to DD of expenses to wind-down the study or project, fees earned to date and, in some cases, a termination fee or a payment to DD of some portion of the fees or profits that could have been earned by DD under the contract if it had not been terminated early. Termination fees are included in revenues when services are performed and realization is assured.</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descriptions of the full range of drug development services provided by DD:</w:t>
      </w:r>
    </w:p>
    <w:p>
      <w:pPr>
        <w:spacing w:after="0" w:line="6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Preclinical services include fee-for-service activities such as bioanalytical testing services, and proportional performance activities such as toxicology studies. Until June 3, 2019, preclinical services also included the sale of research models. See Note 3 Business Acquisitions and Dispositions to the Consolidated Financial Statements for more information. Revenue for sale of research models was recognized at a point in time, typically upon shipment, when control transferred to the customer. Revenue for bioanalytical testing services is recognized at a point in time upon communication of results to the customer. Revenue for proportional performance activities, including toxicology studies, is recognized using an input-based measure of progress in which revenue is recognized as expenses are incurred for the research models, labor hours, and other costs attributable to the study.</w:t>
      </w:r>
    </w:p>
    <w:p>
      <w:pPr>
        <w:spacing w:after="0" w:line="70"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Through its central laboratory, DD produces and supplies specimen collection kits that are utilized in clinical studies, and provides transportation, project management, data management, and laboratory testing services on an as-needed basis throughout the duration of its customers’ clinical studies. Revenue for central laboratory services is recognized using an output-based measure of progress based on volume of activities in each period. DD also provides long-term specimen storage services, for which revenue is recognized using an input-based measure of progress based on costs incurred.</w:t>
      </w:r>
    </w:p>
    <w:p>
      <w:pPr>
        <w:spacing w:after="0" w:line="76" w:lineRule="exact"/>
        <w:rPr>
          <w:sz w:val="20"/>
          <w:szCs w:val="20"/>
          <w:color w:val="auto"/>
        </w:rPr>
      </w:pPr>
    </w:p>
    <w:p>
      <w:pPr>
        <w:jc w:val="both"/>
        <w:ind w:firstLine="251"/>
        <w:spacing w:after="0" w:line="272" w:lineRule="auto"/>
        <w:tabs>
          <w:tab w:leader="none" w:pos="559"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provides clinical development and commercialization services, including clinical pharmacology services, full management of Phase II through IV clinical studies, and market access solutions. Revenue for clinical pharmacology services, which includes first-in-human trials, is recognized using an output-based measure of progress based on bed nights. Revenue for full service clinical studies is recognized using an input-based measure of progress based on costs incurred (including pass-through costs such as investigator grants and reimbursable out-of-pocket expenses). Revenue for market access solutions is recognized using various methods. Revenue for fee-for-service arrangements, such as reimbursement consulting hotlines and patient assistance programs, is recognized using an output method based on transaction volume which corresponds to the amount charged to the customer. For consulting services billed based on time and materials, revenue is recognized using the right to invoice practical expedient.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63" w:lineRule="exact"/>
        <w:rPr>
          <w:sz w:val="20"/>
          <w:szCs w:val="20"/>
          <w:color w:val="auto"/>
        </w:rPr>
      </w:pPr>
    </w:p>
    <w:p>
      <w:pPr>
        <w:jc w:val="both"/>
        <w:ind w:firstLine="251"/>
        <w:spacing w:after="0" w:line="254" w:lineRule="auto"/>
        <w:tabs>
          <w:tab w:leader="none" w:pos="5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12-57 months, depending on the business. For businesses that enter primarily short-term contracts, the Company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97" w:lineRule="exact"/>
        <w:rPr>
          <w:sz w:val="20"/>
          <w:szCs w:val="20"/>
          <w:color w:val="auto"/>
        </w:rPr>
      </w:pPr>
    </w:p>
    <w:p>
      <w:pPr>
        <w:jc w:val="both"/>
        <w:ind w:firstLine="251"/>
        <w:spacing w:after="0" w:line="279" w:lineRule="auto"/>
        <w:tabs>
          <w:tab w:leader="none" w:pos="5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incurs costs to fulfill contracts with customers, which are recoverable through the service fees in the contract. Contract fulfillment costs include software implementation costs and setup costs for certain market access solutions. These costs are recognized as assets and amortized over the expected term of the contract to which the implementation relates, which is the period over which services are expected to be provided to the customer. This period typically ranges from 24-60 months. Amortization of deferred contract fulfillment costs is included in cost of goods sold.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commission assets</w:t>
            </w:r>
          </w:p>
        </w:tc>
        <w:tc>
          <w:tcPr>
            <w:tcW w:w="17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2020" w:type="dxa"/>
            <w:vAlign w:val="bottom"/>
          </w:tcPr>
          <w:p>
            <w:pPr>
              <w:spacing w:after="0"/>
              <w:rPr>
                <w:sz w:val="19"/>
                <w:szCs w:val="19"/>
                <w:color w:val="auto"/>
              </w:rPr>
            </w:pPr>
          </w:p>
        </w:tc>
      </w:tr>
      <w:tr>
        <w:trPr>
          <w:trHeight w:val="237"/>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contract fulfillment costs</w:t>
            </w:r>
          </w:p>
        </w:tc>
        <w:tc>
          <w:tcPr>
            <w:tcW w:w="17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2020" w:type="dxa"/>
            <w:vAlign w:val="bottom"/>
          </w:tcPr>
          <w:p>
            <w:pPr>
              <w:spacing w:after="0"/>
              <w:rPr>
                <w:sz w:val="20"/>
                <w:szCs w:val="20"/>
                <w:color w:val="auto"/>
              </w:rPr>
            </w:pPr>
          </w:p>
        </w:tc>
      </w:tr>
      <w:tr>
        <w:trPr>
          <w:trHeight w:val="25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2020" w:type="dxa"/>
            <w:vAlign w:val="bottom"/>
          </w:tcPr>
          <w:p>
            <w:pPr>
              <w:spacing w:after="0"/>
              <w:rPr>
                <w:sz w:val="21"/>
                <w:szCs w:val="2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73"/>
        </w:trPr>
        <w:tc>
          <w:tcPr>
            <w:tcW w:w="39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F-19</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Amortization related to sales commission assets and associated payroll taxes for the year ended December 31, 2020, 2019, and 2018 was $23.2, $21.2 and $16.9, respectively. Amortization related to deferred contract fulfillment costs for the years ended December 31, 2020, 2019 and 2018 was $10.1, $8.7 and $4.4, respectively. Impairment expense related to contract costs was immaterial to the Company’s consolidated statement of operations. The Company applies the practical expedient to not recognize the effect of financing in its contracts with customers, when the difference in timing of payment and performance is one year or less.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Unbilled Services and Unearned Revenue</w:t>
      </w:r>
    </w:p>
    <w:p>
      <w:pPr>
        <w:spacing w:after="0" w:line="5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Unbilled services are comprised primarily of unbilled receivables, but also include contract assets. A contract asset is recorded when a right to payment has been earned for work performed, but billing and payment for that work is determined by certain contractual milestones, whereas unbilled receivables are billable upon the passage of time. While DD attempts to negotiate terms that provide for billing and payment of services prior or in close proximity to the provision of services, this is not always possible and there are fluctuations in the level of unbilled services and unearned revenue from period to period. The following table provides information about receivables, unbilled services, and unearned revenue (contract liabilities) from contracts with customers for the DD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 2019</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which are included in Accounts Receivable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771.1</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483.7</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449.2</w:t>
            </w:r>
          </w:p>
        </w:tc>
      </w:tr>
    </w:tbl>
    <w:p>
      <w:pPr>
        <w:spacing w:after="0" w:line="13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recognized during the period, that was included in the unearned revenue balance at the beginning of the period, for the year ended December 31, 2020, and 2019, was $262.6 and $250.2,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 Rollforward</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adoption of the current expected credit loss standard in 2020, the Company estimates future expected losses on accounts receivable, unbilled services and notes receivable over the remaining collection period of the instrument. The rollforward for the allowance for credit losses for the year ended December 31, 2020, is as follows:</w:t>
      </w:r>
    </w:p>
    <w:p>
      <w:pPr>
        <w:spacing w:after="0" w:line="11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93"/>
              <w:spacing w:after="0" w:line="169" w:lineRule="exact"/>
              <w:rPr>
                <w:sz w:val="20"/>
                <w:szCs w:val="20"/>
                <w:color w:val="auto"/>
              </w:rPr>
            </w:pPr>
            <w:r>
              <w:rPr>
                <w:rFonts w:ascii="Arial" w:cs="Arial" w:eastAsia="Arial" w:hAnsi="Arial"/>
                <w:sz w:val="16"/>
                <w:szCs w:val="16"/>
                <w:b w:val="1"/>
                <w:bCs w:val="1"/>
                <w:color w:val="auto"/>
                <w:w w:val="98"/>
              </w:rPr>
              <w:t>Accounts</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13"/>
              <w:spacing w:after="0" w:line="169" w:lineRule="exact"/>
              <w:rPr>
                <w:sz w:val="20"/>
                <w:szCs w:val="20"/>
                <w:color w:val="auto"/>
              </w:rPr>
            </w:pPr>
            <w:r>
              <w:rPr>
                <w:rFonts w:ascii="Arial" w:cs="Arial" w:eastAsia="Arial" w:hAnsi="Arial"/>
                <w:sz w:val="16"/>
                <w:szCs w:val="16"/>
                <w:b w:val="1"/>
                <w:bCs w:val="1"/>
                <w:color w:val="auto"/>
                <w:w w:val="94"/>
              </w:rPr>
              <w:t>Unbilled</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93"/>
              <w:spacing w:after="0" w:line="169" w:lineRule="exact"/>
              <w:rPr>
                <w:sz w:val="20"/>
                <w:szCs w:val="20"/>
                <w:color w:val="auto"/>
              </w:rPr>
            </w:pPr>
            <w:r>
              <w:rPr>
                <w:rFonts w:ascii="Arial" w:cs="Arial" w:eastAsia="Arial" w:hAnsi="Arial"/>
                <w:sz w:val="16"/>
                <w:szCs w:val="16"/>
                <w:b w:val="1"/>
                <w:bCs w:val="1"/>
                <w:color w:val="auto"/>
                <w:w w:val="96"/>
              </w:rPr>
              <w:t>Note and Other</w:t>
            </w: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3"/>
              </w:rPr>
              <w:t>Receivable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88"/>
              </w:rPr>
              <w:t>Services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Receivables</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as of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Current expected credit losses opening balance impact on retained earnings</w:t>
            </w:r>
          </w:p>
        </w:tc>
        <w:tc>
          <w:tcPr>
            <w:tcW w:w="1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loss expense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 offs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allowance for credit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80" w:firstLine="243"/>
        <w:spacing w:after="0" w:line="344" w:lineRule="auto"/>
        <w:rPr>
          <w:sz w:val="20"/>
          <w:szCs w:val="20"/>
          <w:color w:val="auto"/>
        </w:rPr>
      </w:pPr>
      <w:r>
        <w:rPr>
          <w:rFonts w:ascii="Arial" w:cs="Arial" w:eastAsia="Arial" w:hAnsi="Arial"/>
          <w:sz w:val="18"/>
          <w:szCs w:val="18"/>
          <w:color w:val="auto"/>
        </w:rPr>
        <w:t xml:space="preserve">Notes and other receivables includes the $70.0 due 2022 from the Envigo transaction which is recorded in Other assets, net. </w:t>
      </w:r>
      <w:r>
        <w:rPr>
          <w:rFonts w:ascii="Arial" w:cs="Arial" w:eastAsia="Arial" w:hAnsi="Arial"/>
          <w:sz w:val="18"/>
          <w:szCs w:val="18"/>
          <w:b w:val="1"/>
          <w:bCs w:val="1"/>
          <w:i w:val="1"/>
          <w:iCs w:val="1"/>
          <w:color w:val="auto"/>
        </w:rPr>
        <w:t>Performance Obligations Under Long-Term Contracts</w:t>
      </w:r>
    </w:p>
    <w:p>
      <w:pPr>
        <w:spacing w:after="0" w:line="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Long-term contracts at the Company consist primarily of fully managed clinical studies within the DD segment. The amount of existing performance obligations under such long-term contracts unsatisfied as of December 31, 2020, and 2019, was $5,128.4 and $4,520.8, respectively. The Company expects to recognize approximately 26.0% of the remaining performance obligations as of December 31, 2020, as revenue over the next 12 months, and the balance thereafter. The Company's long-term contracts generally range from 1 to 8 years.</w:t>
      </w:r>
    </w:p>
    <w:p>
      <w:pPr>
        <w:spacing w:after="0" w:line="79"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8"/>
          <w:szCs w:val="18"/>
          <w:color w:val="auto"/>
        </w:rPr>
        <w:t>The Company applied the practical expedient and does not disclose information about remaining performance obligations that have original expected durations of one year or less. The Company also did not disclose information about remaining performance obligations when the variable consideration was related to a wholly unsatisfied performance obligation within a series of obligations.</w:t>
      </w:r>
    </w:p>
    <w:p>
      <w:pPr>
        <w:spacing w:after="0" w:line="80"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8"/>
          <w:szCs w:val="18"/>
          <w:color w:val="auto"/>
        </w:rPr>
        <w:t>Within DD, revenue of $80.9 and $88.9 was recognized during the year ended December 31, 2020, and December 31, 2019, respectively, from performance obligations that were satisfied in previous periods. This revenue comes from adjustments related to changes in scope and estimates in full service clinical studies.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 AND DISPOSITIONS</w:t>
      </w:r>
    </w:p>
    <w:p>
      <w:pPr>
        <w:spacing w:after="0" w:line="1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year ended December 31, 2020, the Company acquired various businesses and related assets for approximately $267.6 in cash (net of cash acquired). The purchase consideration for all acquisitions year to date has been allocated to the estimated fair market value of the net assets acquired, including approximately $121.3 in identifiable intangible assets and a residual amount of non-tax-deductible goodwill of approximately $166.2. The amortization periods for intangible assets acquired from these businesses range from 12 to 15 years for customer relationships. These acquisitions were made primarily to extend the Company's geographic reach in important market areas, enhance the Company's scientific differentiation and to expand the breadth and scope of the Company's CRO services.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A summary of the net assets acquired in 2020 for these businesses is included below:</w:t>
      </w:r>
    </w:p>
    <w:tbl>
      <w:tblPr>
        <w:tblLayout w:type="fixed"/>
        <w:tblInd w:w="120" w:type="dxa"/>
        <w:tblCellMar>
          <w:top w:w="0" w:type="dxa"/>
          <w:left w:w="0" w:type="dxa"/>
          <w:bottom w:w="0" w:type="dxa"/>
          <w:right w:w="0" w:type="dxa"/>
        </w:tblCellMar>
      </w:tblPr>
      <w:tr>
        <w:trPr>
          <w:trHeight w:val="182"/>
        </w:trPr>
        <w:tc>
          <w:tcPr>
            <w:tcW w:w="7400" w:type="dxa"/>
            <w:vAlign w:val="bottom"/>
          </w:tcPr>
          <w:p>
            <w:pPr>
              <w:spacing w:after="0"/>
              <w:rPr>
                <w:sz w:val="15"/>
                <w:szCs w:val="15"/>
                <w:color w:val="auto"/>
              </w:rPr>
            </w:pPr>
          </w:p>
        </w:tc>
        <w:tc>
          <w:tcPr>
            <w:tcW w:w="3620" w:type="dxa"/>
            <w:vAlign w:val="bottom"/>
            <w:gridSpan w:val="2"/>
          </w:tcPr>
          <w:p>
            <w:pPr>
              <w:jc w:val="right"/>
              <w:ind w:right="11"/>
              <w:spacing w:after="0" w:line="181" w:lineRule="exact"/>
              <w:rPr>
                <w:sz w:val="20"/>
                <w:szCs w:val="20"/>
                <w:color w:val="auto"/>
              </w:rPr>
            </w:pPr>
            <w:r>
              <w:rPr>
                <w:rFonts w:ascii="Arial" w:cs="Arial" w:eastAsia="Arial" w:hAnsi="Arial"/>
                <w:sz w:val="16"/>
                <w:szCs w:val="16"/>
                <w:b w:val="1"/>
                <w:bCs w:val="1"/>
                <w:color w:val="auto"/>
                <w:w w:val="93"/>
              </w:rPr>
              <w:t>Amounts Acquired During Year Ended December</w:t>
            </w:r>
          </w:p>
        </w:tc>
      </w:tr>
      <w:tr>
        <w:trPr>
          <w:trHeight w:val="209"/>
        </w:trPr>
        <w:tc>
          <w:tcPr>
            <w:tcW w:w="74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1451"/>
              <w:spacing w:after="0"/>
              <w:rPr>
                <w:sz w:val="20"/>
                <w:szCs w:val="20"/>
                <w:color w:val="auto"/>
              </w:rPr>
            </w:pPr>
            <w:r>
              <w:rPr>
                <w:rFonts w:ascii="Arial" w:cs="Arial" w:eastAsia="Arial" w:hAnsi="Arial"/>
                <w:sz w:val="16"/>
                <w:szCs w:val="16"/>
                <w:b w:val="1"/>
                <w:bCs w:val="1"/>
                <w:color w:val="auto"/>
              </w:rPr>
              <w:t>31, 2020</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8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82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8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8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82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r>
      <w:tr>
        <w:trPr>
          <w:trHeight w:val="20"/>
        </w:trPr>
        <w:tc>
          <w:tcPr>
            <w:tcW w:w="7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 for 2020 Acquisitions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Had the aggregate of the Company's 2020 acquisitions been completed as of January 1, 2019, the Company's pro forma results would have been as follows:</w:t>
      </w:r>
    </w:p>
    <w:p>
      <w:pPr>
        <w:spacing w:after="0" w:line="58"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14,032.7</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11,717.5</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1,564.6</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837.6</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June 3, 2019, the Company's DD segment acquired Envigo's nonclinical contract research services business, expanding DD's global nonclinical drug development capabilities with additional locations and resources. Additionally, the Company divested the CRP business, which was a part of the DD segment, to Envigo. As part of this sale, DD entered into a multi-year, renewable supply agreement with Envigo. The Company paid cash consideration of $601.0, received a floating rate secured note of $110.0, and recorded a loss on the sale of CRP of $12.2. The Company funded the transaction through the new term loan facility entered into in 2019 concurrently with the transaction.</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final valuation of acquired assets and assumed liabilities as of June 3, 2019, include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 Transferred</w:t>
            </w: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601.0</w:t>
            </w: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CRP</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w:t>
            </w:r>
          </w:p>
        </w:tc>
      </w:tr>
      <w:tr>
        <w:trPr>
          <w:trHeight w:val="20"/>
        </w:trPr>
        <w:tc>
          <w:tcPr>
            <w:tcW w:w="9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ind w:left="262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Unbilled services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Prepaid expenses and other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relationships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Trade name and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Unearned revenue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4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Final</w:t>
            </w:r>
          </w:p>
        </w:tc>
      </w:tr>
      <w:tr>
        <w:trPr>
          <w:trHeight w:val="438"/>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25.6</w:t>
            </w:r>
          </w:p>
        </w:tc>
      </w:tr>
    </w:tbl>
    <w:p>
      <w:pPr>
        <w:jc w:val="right"/>
        <w:ind w:right="80"/>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10.8</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128.4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25.2</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376.6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140.8</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030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745.8</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15.2</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10.4</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49.9</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69.3</w:t>
      </w:r>
    </w:p>
    <w:p>
      <w:pPr>
        <w:spacing w:after="0" w:line="21" w:lineRule="exact"/>
        <w:rPr>
          <w:sz w:val="20"/>
          <w:szCs w:val="20"/>
          <w:color w:val="auto"/>
        </w:rPr>
      </w:pPr>
    </w:p>
    <w:p>
      <w:pPr>
        <w:sectPr>
          <w:pgSz w:w="11900" w:h="16838" w:orient="portrait"/>
          <w:cols w:equalWidth="0" w:num="2">
            <w:col w:w="8460" w:space="720"/>
            <w:col w:w="20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9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color w:val="auto"/>
              </w:rPr>
              <w:t>Net Envigo assets acquired</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601.0</w:t>
            </w: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rate secured note receivable due 2022</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w:t>
            </w:r>
          </w:p>
        </w:tc>
      </w:tr>
      <w:tr>
        <w:trPr>
          <w:trHeight w:val="20"/>
        </w:trPr>
        <w:tc>
          <w:tcPr>
            <w:tcW w:w="9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purchase consideration for Envigo has been allocated to the estimated fair market value of the net assets acquired, including approximately $141.4 in identifiable intangible assets and a residual amount of non-tax-deductible goodwill of approximately $376.6. The amortization period for intangible assets acquired is 11 years for customer relationships.</w:t>
      </w:r>
    </w:p>
    <w:p>
      <w:pPr>
        <w:spacing w:after="0" w:line="8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Envigo transaction contributed $124.2 and $17.9 of revenues and operating income, respectively, during the year ended December 31, 2019. The divested CRP business contributed operating income of $5.5 and $13.2 for the years ended December 31, 2019 and 2018, respectively.</w:t>
      </w:r>
    </w:p>
    <w:p>
      <w:pPr>
        <w:spacing w:after="0" w:line="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year ended December 31, 2019, in addition to the Envigo transaction, the Company acquired various businesses and related assets for approximately $286.4 in cash (net of cash acquired). The purchase consideration for all acquisitions has been allocated to the estimated fair market value of the net assets acquired, including approximately $184.3 in identifiable intangible assets and a residual amount of non-tax-deductible goodwill of approximately $115.1. These acquisitions were made primarily to extend the Company's geographic reach in important market areas, enhance the Company's scientific differentiation and to expand the breadth and scope of the Company's CRO services.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Unaudited Pro Forma Information for 2019 Acquisitions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Had the aggregate of the Company's 2019 acquisitions been completed as of January 1, 2018, the Company's pro forma results would have been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w w:val="98"/>
              </w:rPr>
              <w:t>Years Ended December 31,</w:t>
            </w:r>
          </w:p>
        </w:tc>
      </w:tr>
      <w:tr>
        <w:trPr>
          <w:trHeight w:val="237"/>
        </w:trPr>
        <w:tc>
          <w:tcPr>
            <w:tcW w:w="8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11,742.5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11,738.5</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831.4</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906.6</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w:t>
      </w:r>
    </w:p>
    <w:p>
      <w:pPr>
        <w:spacing w:after="0" w:line="14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April 30, 2018, the Company entered into a definitive agreement to sell the CFS business, a global provider of innovative product design and product integrity services for end-user segments that span the global food supply chain, for an all-cash purchase price of $670.0. The transaction closed on August 1, 2018, and a net gain of $258.3 was recorded in Other, net in the consolidated statement of operations.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also divested its forensic testing services business in the U.K. and the U.S. on August 7, 2018, and December 31, 2018, respectively, resulting in losses of $48.9 and $24.5, respectively, recorded in Other, net in the consolidated statement of operations.</w:t>
      </w:r>
    </w:p>
    <w:p>
      <w:pPr>
        <w:spacing w:after="0" w:line="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Operating income for the Company's businesses divested in 2018 was $7.6 for the year ended December 31, 2018, (which includes divested operations through their respective disposal 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2020, the Company recorded net restructuring charges of $40.6; $15.3 within Dx and $25.3 within DD. The charges were comprised of $14.1 in severance and other personnel costs $17.4 for facility, operating lease right-of-use and equipment impairments, and $18.9 in facility closures and general integration activities. The charges were offset by the reversal of previously established liability of $0.6 and $9.2 in unused severance costs and facility-related costs, respectively.</w:t>
      </w:r>
    </w:p>
    <w:p>
      <w:pPr>
        <w:spacing w:after="0" w:line="9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2019, the Company recorded net restructuring charges of $54.6; $26.7 within Dx and $27.9 within DD. The charges were comprised of $32.9 in severance and other personnel costs and $24.9 in facility-related costs primarily associated with general integration activities. The charges were offset by the reversal of previously established liability of $1.7 in unused severance and $1.5 in unused facility-related costs.</w:t>
      </w:r>
    </w:p>
    <w:p>
      <w:pPr>
        <w:spacing w:after="0" w:line="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2018, the Company recorded net restructuring charges of $48.1; $20.5 within Dx and $27.6 within DD. The charges were comprised of $40.3 in severance and other personnel costs, $11.8 in facility-related costs primarily associated with general integration activities. The charges were offset by the reversal of previously established liability of $2.0 in unused severance and $2.0 in unused facility-related costs. The Company also recorded $2.3 in impairment to land held for sale which is included in amortization expense.</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Company’s restructuring activities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w w:val="99"/>
              </w:rPr>
              <w:t>Dx</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color w:val="auto"/>
                <w:w w:val="92"/>
              </w:rPr>
              <w:t>DD</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2"/>
                <w:szCs w:val="22"/>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Severance and Other</w:t>
            </w:r>
          </w:p>
        </w:tc>
        <w:tc>
          <w:tcPr>
            <w:tcW w:w="120" w:type="dxa"/>
            <w:vAlign w:val="bottom"/>
          </w:tcPr>
          <w:p>
            <w:pPr>
              <w:spacing w:after="0"/>
              <w:rPr>
                <w:sz w:val="22"/>
                <w:szCs w:val="22"/>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Lease and Other</w:t>
            </w:r>
          </w:p>
        </w:tc>
        <w:tc>
          <w:tcPr>
            <w:tcW w:w="1720" w:type="dxa"/>
            <w:vAlign w:val="bottom"/>
            <w:gridSpan w:val="4"/>
          </w:tcPr>
          <w:p>
            <w:pPr>
              <w:ind w:left="40"/>
              <w:spacing w:after="0"/>
              <w:rPr>
                <w:sz w:val="20"/>
                <w:szCs w:val="20"/>
                <w:color w:val="auto"/>
              </w:rPr>
            </w:pPr>
            <w:r>
              <w:rPr>
                <w:rFonts w:ascii="Arial" w:cs="Arial" w:eastAsia="Arial" w:hAnsi="Arial"/>
                <w:sz w:val="18"/>
                <w:szCs w:val="18"/>
                <w:color w:val="auto"/>
                <w:w w:val="96"/>
              </w:rPr>
              <w:t>Severance and Other</w:t>
            </w:r>
          </w:p>
        </w:tc>
        <w:tc>
          <w:tcPr>
            <w:tcW w:w="100" w:type="dxa"/>
            <w:vAlign w:val="bottom"/>
          </w:tcPr>
          <w:p>
            <w:pPr>
              <w:spacing w:after="0"/>
              <w:rPr>
                <w:sz w:val="22"/>
                <w:szCs w:val="22"/>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Lease and Other</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Employee Costs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Facility Costs</w:t>
            </w:r>
          </w:p>
        </w:tc>
        <w:tc>
          <w:tcPr>
            <w:tcW w:w="16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Employee Costs</w:t>
            </w:r>
          </w:p>
        </w:tc>
        <w:tc>
          <w:tcPr>
            <w:tcW w:w="10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Facility Costs</w:t>
            </w:r>
          </w:p>
        </w:tc>
        <w:tc>
          <w:tcPr>
            <w:tcW w:w="180" w:type="dxa"/>
            <w:vAlign w:val="bottom"/>
          </w:tcPr>
          <w:p>
            <w:pPr>
              <w:spacing w:after="0"/>
              <w:rPr>
                <w:sz w:val="20"/>
                <w:szCs w:val="20"/>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87"/>
        </w:trPr>
        <w:tc>
          <w:tcPr>
            <w:tcW w:w="37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Reclassification for ASC 842 adoption</w:t>
            </w:r>
          </w:p>
        </w:tc>
        <w:tc>
          <w:tcPr>
            <w:tcW w:w="1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Impairment of facility related assets</w:t>
            </w:r>
          </w:p>
        </w:tc>
        <w:tc>
          <w:tcPr>
            <w:tcW w:w="1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prior restructure accruals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facility related assets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Reduction of prior restructuring accruals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 and other adjustments</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w:t>
            </w:r>
          </w:p>
        </w:tc>
        <w:tc>
          <w:tcPr>
            <w:tcW w:w="1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5"/>
        </w:trPr>
        <w:tc>
          <w:tcPr>
            <w:tcW w:w="3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non-current portion of the restructuring liabilities is expected to be paid out over 4.9 years. Cash payments and other adjustments include the reclassification of profit sharing, pension, and holiday accrual.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3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has operating and finance leases for patient service centers, laboratories and testing facilities, clinical facilities, general office spaces, vehicles, and office and laboratory equipment. Leases have remaining lease terms of less than a year to 13 years, some of which include options to extend the leases for up to 15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ind w:left="262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ectPr>
          <w:pgSz w:w="11900" w:h="16838" w:orient="portrait"/>
          <w:cols w:equalWidth="0" w:num="1">
            <w:col w:w="11240"/>
          </w:cols>
          <w:pgMar w:left="320" w:top="125" w:right="339" w:bottom="601" w:gutter="0" w:footer="0" w:header="0"/>
        </w:sectPr>
      </w:pPr>
    </w:p>
    <w:p>
      <w:pPr>
        <w:spacing w:after="0" w:line="200" w:lineRule="exact"/>
        <w:rPr>
          <w:sz w:val="20"/>
          <w:szCs w:val="20"/>
          <w:color w:val="auto"/>
        </w:r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on lease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finance lease cost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Supplemental cash flow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finance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ROU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ROU assets (included in 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Finance Leases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ROU assets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lease liabilities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Maturities of lease liabilities are as follows: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portion</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maturities, due beyond one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8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0"/>
              </w:rPr>
              <w:t>For the Year Ended</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2"/>
              </w:rPr>
              <w:t>December 31, 2020</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 2019</w:t>
            </w:r>
          </w:p>
        </w:tc>
      </w:tr>
      <w:tr>
        <w:trPr>
          <w:trHeight w:val="224"/>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215.4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224.0</w:t>
            </w:r>
          </w:p>
        </w:tc>
        <w:tc>
          <w:tcPr>
            <w:tcW w:w="20" w:type="dxa"/>
            <w:vAlign w:val="bottom"/>
          </w:tcPr>
          <w:p>
            <w:pPr>
              <w:spacing w:after="0"/>
              <w:rPr>
                <w:sz w:val="19"/>
                <w:szCs w:val="19"/>
                <w:color w:val="auto"/>
              </w:rPr>
            </w:pPr>
          </w:p>
        </w:tc>
      </w:tr>
      <w:tr>
        <w:trPr>
          <w:trHeight w:val="687"/>
        </w:trPr>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8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4"/>
              </w:rPr>
              <w:t>For the Year Ended</w:t>
            </w:r>
          </w:p>
        </w:tc>
      </w:tr>
      <w:tr>
        <w:trPr>
          <w:trHeight w:val="233"/>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8"/>
              </w:rPr>
              <w:t>December 31, 2020</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 2019</w:t>
            </w:r>
          </w:p>
        </w:tc>
      </w:tr>
      <w:tr>
        <w:trPr>
          <w:trHeight w:val="455"/>
        </w:trPr>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(213.8) $</w:t>
            </w:r>
          </w:p>
        </w:tc>
        <w:tc>
          <w:tcPr>
            <w:tcW w:w="1760" w:type="dxa"/>
            <w:vAlign w:val="bottom"/>
          </w:tcPr>
          <w:p>
            <w:pPr>
              <w:jc w:val="right"/>
              <w:spacing w:after="0"/>
              <w:rPr>
                <w:sz w:val="20"/>
                <w:szCs w:val="20"/>
                <w:color w:val="auto"/>
              </w:rPr>
            </w:pPr>
            <w:r>
              <w:rPr>
                <w:rFonts w:ascii="Arial" w:cs="Arial" w:eastAsia="Arial" w:hAnsi="Arial"/>
                <w:sz w:val="18"/>
                <w:szCs w:val="18"/>
                <w:color w:val="auto"/>
              </w:rPr>
              <w:t>(227.3)</w:t>
            </w: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4"/>
          </w:tcPr>
          <w:p>
            <w:pPr>
              <w:jc w:val="right"/>
              <w:ind w:right="90"/>
              <w:spacing w:after="0"/>
              <w:rPr>
                <w:sz w:val="20"/>
                <w:szCs w:val="20"/>
                <w:color w:val="auto"/>
              </w:rPr>
            </w:pPr>
            <w:r>
              <w:rPr>
                <w:rFonts w:ascii="Arial" w:cs="Arial" w:eastAsia="Arial" w:hAnsi="Arial"/>
                <w:sz w:val="18"/>
                <w:szCs w:val="18"/>
                <w:color w:val="auto"/>
              </w:rPr>
              <w:t>(4.7)</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right"/>
              <w:ind w:right="90"/>
              <w:spacing w:after="0"/>
              <w:rPr>
                <w:sz w:val="20"/>
                <w:szCs w:val="20"/>
                <w:color w:val="auto"/>
              </w:rPr>
            </w:pPr>
            <w:r>
              <w:rPr>
                <w:rFonts w:ascii="Arial" w:cs="Arial" w:eastAsia="Arial" w:hAnsi="Arial"/>
                <w:sz w:val="18"/>
                <w:szCs w:val="18"/>
                <w:color w:val="auto"/>
              </w:rPr>
              <w:t>(15.2)</w:t>
            </w:r>
          </w:p>
        </w:tc>
        <w:tc>
          <w:tcPr>
            <w:tcW w:w="17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r>
      <w:tr>
        <w:trPr>
          <w:trHeight w:val="688"/>
        </w:trPr>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185.9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648"/>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1"/>
              </w:rPr>
              <w:t>December 31, 2020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2019</w:t>
            </w:r>
          </w:p>
        </w:tc>
      </w:tr>
      <w:tr>
        <w:trPr>
          <w:trHeight w:val="439"/>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789.8</w:t>
            </w:r>
          </w:p>
        </w:tc>
        <w:tc>
          <w:tcPr>
            <w:tcW w:w="60" w:type="dxa"/>
            <w:vAlign w:val="bottom"/>
          </w:tcPr>
          <w:p>
            <w:pPr>
              <w:spacing w:after="0"/>
              <w:rPr>
                <w:sz w:val="24"/>
                <w:szCs w:val="24"/>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732.8</w:t>
            </w:r>
          </w:p>
        </w:tc>
        <w:tc>
          <w:tcPr>
            <w:tcW w:w="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192.0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206.5</w:t>
            </w:r>
          </w:p>
        </w:tc>
        <w:tc>
          <w:tcPr>
            <w:tcW w:w="20" w:type="dxa"/>
            <w:vAlign w:val="bottom"/>
          </w:tcPr>
          <w:p>
            <w:pPr>
              <w:spacing w:after="0"/>
              <w:rPr>
                <w:sz w:val="24"/>
                <w:szCs w:val="24"/>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677.6</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596.6</w:t>
            </w:r>
          </w:p>
        </w:tc>
        <w:tc>
          <w:tcPr>
            <w:tcW w:w="20" w:type="dxa"/>
            <w:vAlign w:val="bottom"/>
            <w:tcBorders>
              <w:bottom w:val="single" w:sz="8" w:color="auto"/>
            </w:tcBorders>
          </w:tcPr>
          <w:p>
            <w:pPr>
              <w:spacing w:after="0"/>
              <w:rPr>
                <w:sz w:val="20"/>
                <w:szCs w:val="20"/>
                <w:color w:val="auto"/>
              </w:rPr>
            </w:pPr>
          </w:p>
        </w:tc>
      </w:tr>
      <w:tr>
        <w:trPr>
          <w:trHeight w:val="196"/>
        </w:trPr>
        <w:tc>
          <w:tcPr>
            <w:tcW w:w="2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869.6</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803.1</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3"/>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24"/>
                <w:szCs w:val="24"/>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4"/>
                <w:szCs w:val="24"/>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91.1</w:t>
            </w:r>
          </w:p>
        </w:tc>
        <w:tc>
          <w:tcPr>
            <w:tcW w:w="20" w:type="dxa"/>
            <w:vAlign w:val="bottom"/>
            <w:tcBorders>
              <w:bottom w:val="single" w:sz="8" w:color="auto"/>
            </w:tcBorders>
          </w:tcPr>
          <w:p>
            <w:pPr>
              <w:spacing w:after="0"/>
              <w:rPr>
                <w:sz w:val="20"/>
                <w:szCs w:val="20"/>
                <w:color w:val="auto"/>
              </w:rPr>
            </w:pPr>
          </w:p>
        </w:tc>
      </w:tr>
      <w:tr>
        <w:trPr>
          <w:trHeight w:val="223"/>
        </w:trPr>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91.1</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99.5</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0"/>
                <w:szCs w:val="20"/>
                <w:color w:val="auto"/>
              </w:rPr>
            </w:pPr>
          </w:p>
        </w:tc>
      </w:tr>
      <w:tr>
        <w:trPr>
          <w:trHeight w:val="67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4.1 %</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5.2 %</w:t>
            </w:r>
          </w:p>
        </w:tc>
        <w:tc>
          <w:tcPr>
            <w:tcW w:w="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Operating Leases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Finance Leases</w:t>
            </w:r>
          </w:p>
        </w:tc>
      </w:tr>
      <w:tr>
        <w:trPr>
          <w:trHeight w:val="222"/>
        </w:trPr>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143.1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20" w:space="720"/>
            <w:col w:w="4100"/>
          </w:cols>
          <w:pgMar w:left="320" w:top="125" w:right="339" w:bottom="6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01"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83"/>
        <w:spacing w:after="0" w:line="293" w:lineRule="auto"/>
        <w:rPr>
          <w:sz w:val="20"/>
          <w:szCs w:val="20"/>
          <w:color w:val="auto"/>
        </w:rPr>
      </w:pPr>
      <w:r>
        <w:rPr>
          <w:rFonts w:ascii="Arial" w:cs="Arial" w:eastAsia="Arial" w:hAnsi="Arial"/>
          <w:sz w:val="16"/>
          <w:szCs w:val="16"/>
          <w:color w:val="auto"/>
        </w:rPr>
        <w:t>Rent expense for short term leases with a term less than one year for the years ended December 31, 2020 and 2019 amounted to $6.8 and $10.6, respectively. The Company has variable lease payments that do not depend on a rate index, primarily for purchase volume commitments, which are recorded as variable cost when incurred. Total variable payments for the year ended December 31, 2020 and 2019 were $26.7 and $20.8. As of December 31, 2020, the Company has entered into two additional operating leases, for patient service centers that have not yet commenced and are not significant to the overall lease portfolio. These operating leases will commence in 2021 with lease terms of three years. Rent expense, which includes rent for real estate, equipment and automobiles under operating leases under ASC 840 amounted to $358.7 for the year ended December 31,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JOINT VENTURE PARTNERSHIPS AND EQUITY METHOD INVESTMENTS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December 31, 2020, the Company had investments in the following unconsolidated joint venture partnerships and equity method investments: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Locations</w:t>
            </w:r>
          </w:p>
        </w:tc>
        <w:tc>
          <w:tcPr>
            <w:tcW w:w="7160" w:type="dxa"/>
            <w:vAlign w:val="bottom"/>
            <w:tcBorders>
              <w:bottom w:val="single" w:sz="8" w:color="CCEEFF"/>
            </w:tcBorders>
            <w:gridSpan w:val="3"/>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Net Investment</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Interest Owned</w:t>
            </w:r>
          </w:p>
        </w:tc>
      </w:tr>
      <w:tr>
        <w:trPr>
          <w:trHeight w:val="163"/>
        </w:trPr>
        <w:tc>
          <w:tcPr>
            <w:tcW w:w="20" w:type="dxa"/>
            <w:vAlign w:val="bottom"/>
          </w:tcPr>
          <w:p>
            <w:pPr>
              <w:spacing w:after="0"/>
              <w:rPr>
                <w:sz w:val="14"/>
                <w:szCs w:val="14"/>
                <w:color w:val="auto"/>
              </w:rPr>
            </w:pPr>
          </w:p>
        </w:tc>
        <w:tc>
          <w:tcPr>
            <w:tcW w:w="7880" w:type="dxa"/>
            <w:vAlign w:val="bottom"/>
            <w:gridSpan w:val="4"/>
          </w:tcPr>
          <w:p>
            <w:pPr>
              <w:spacing w:after="0" w:line="163" w:lineRule="exact"/>
              <w:rPr>
                <w:sz w:val="20"/>
                <w:szCs w:val="20"/>
                <w:color w:val="auto"/>
              </w:rPr>
            </w:pPr>
            <w:r>
              <w:rPr>
                <w:rFonts w:ascii="Arial" w:cs="Arial" w:eastAsia="Arial" w:hAnsi="Arial"/>
                <w:sz w:val="18"/>
                <w:szCs w:val="18"/>
                <w:color w:val="auto"/>
              </w:rPr>
              <w:t>Joint Venture Partnerships: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Alberta, Canada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43.37 %</w:t>
            </w:r>
          </w:p>
        </w:tc>
      </w:tr>
      <w:tr>
        <w:trPr>
          <w:trHeight w:val="230"/>
        </w:trPr>
        <w:tc>
          <w:tcPr>
            <w:tcW w:w="20" w:type="dxa"/>
            <w:vAlign w:val="bottom"/>
          </w:tcPr>
          <w:p>
            <w:pPr>
              <w:spacing w:after="0"/>
              <w:rPr>
                <w:sz w:val="19"/>
                <w:szCs w:val="19"/>
                <w:color w:val="auto"/>
              </w:rPr>
            </w:pPr>
          </w:p>
        </w:tc>
        <w:tc>
          <w:tcPr>
            <w:tcW w:w="7880" w:type="dxa"/>
            <w:vAlign w:val="bottom"/>
            <w:gridSpan w:val="4"/>
          </w:tcPr>
          <w:p>
            <w:pPr>
              <w:ind w:left="140"/>
              <w:spacing w:after="0"/>
              <w:rPr>
                <w:sz w:val="20"/>
                <w:szCs w:val="20"/>
                <w:color w:val="auto"/>
              </w:rPr>
            </w:pPr>
            <w:r>
              <w:rPr>
                <w:rFonts w:ascii="Arial" w:cs="Arial" w:eastAsia="Arial" w:hAnsi="Arial"/>
                <w:sz w:val="18"/>
                <w:szCs w:val="18"/>
                <w:color w:val="auto"/>
              </w:rPr>
              <w:t>Florence, South Carolina</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49.00 %</w:t>
            </w: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Buffalo, New York</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48.18 %</w:t>
            </w:r>
          </w:p>
        </w:tc>
      </w:tr>
      <w:tr>
        <w:trPr>
          <w:trHeight w:val="189"/>
        </w:trPr>
        <w:tc>
          <w:tcPr>
            <w:tcW w:w="20" w:type="dxa"/>
            <w:vAlign w:val="bottom"/>
          </w:tcPr>
          <w:p>
            <w:pPr>
              <w:spacing w:after="0"/>
              <w:rPr>
                <w:sz w:val="16"/>
                <w:szCs w:val="16"/>
                <w:color w:val="auto"/>
              </w:rPr>
            </w:pPr>
          </w:p>
        </w:tc>
        <w:tc>
          <w:tcPr>
            <w:tcW w:w="7880" w:type="dxa"/>
            <w:vAlign w:val="bottom"/>
            <w:gridSpan w:val="4"/>
          </w:tcPr>
          <w:p>
            <w:pPr>
              <w:spacing w:after="0" w:line="189" w:lineRule="exact"/>
              <w:rPr>
                <w:sz w:val="20"/>
                <w:szCs w:val="20"/>
                <w:color w:val="auto"/>
              </w:rPr>
            </w:pPr>
            <w:r>
              <w:rPr>
                <w:rFonts w:ascii="Arial" w:cs="Arial" w:eastAsia="Arial" w:hAnsi="Arial"/>
                <w:sz w:val="18"/>
                <w:szCs w:val="18"/>
                <w:color w:val="auto"/>
              </w:rPr>
              <w:t>Equity Method Investments: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Various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r>
    </w:tbl>
    <w:p>
      <w:pPr>
        <w:spacing w:after="0" w:line="80" w:lineRule="exact"/>
        <w:rPr>
          <w:sz w:val="20"/>
          <w:szCs w:val="20"/>
          <w:color w:val="auto"/>
        </w:rPr>
      </w:pPr>
    </w:p>
    <w:p>
      <w:pPr>
        <w:jc w:val="both"/>
        <w:ind w:firstLine="283"/>
        <w:spacing w:after="0" w:line="301" w:lineRule="auto"/>
        <w:rPr>
          <w:sz w:val="20"/>
          <w:szCs w:val="20"/>
          <w:color w:val="auto"/>
        </w:rPr>
      </w:pPr>
      <w:r>
        <w:rPr>
          <w:rFonts w:ascii="Arial" w:cs="Arial" w:eastAsia="Arial" w:hAnsi="Arial"/>
          <w:sz w:val="16"/>
          <w:szCs w:val="16"/>
          <w:color w:val="auto"/>
        </w:rPr>
        <w:t>The joint venture partnerships are governed by agreements that mandate unanimous agreement between partners on all major business decisions as well as providing other participating rights to each partner. The equity method investments represent the Company’s purchase of ownership interests in clinical diagnostic companies. The investments are accounted for under the equity method of accounting as the Company does not have control of these investments. The Company has no material obligations or guarantees to, or in support of, these unconsolidated investments and their operations.</w:t>
      </w:r>
    </w:p>
    <w:p>
      <w:pPr>
        <w:spacing w:after="0" w:line="63"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7"/>
          <w:szCs w:val="17"/>
          <w:color w:val="auto"/>
        </w:rPr>
        <w:t>The Company’s investment in one of its Alberta joint venture partnerships at December 31, 2020, includes $22.4 of value assigned to that partnership’s Canadian license to conduct diagnostic testing services in the province. Substantially all of the joint venture's revenue is received as reimbursement from the Alberta government's healthcare programs (AHS). While the Canadian license provides the joint venture the ability to conduct diagnostic testing in Alberta, it does not guarantee that the provincial government will continue to reimburse diagnostic laboratory testing in future years at current levels. A decision by the provincial government to limit or reduce its reimbursement of laboratory diagnostic services would have a negative impact on the profits and cash flows the Company derives from the joint venture. In August 2016, AHS and the Canadian partnership reached an agreement to extend the contract for five additional years through March 2022, with the intent to have the services provided pursuant to the contract transferred to AHS at the end of the five-year period. In consideration of AHS acquiring the assets and assuming liabilities in accordance with the parties’ agreement, AHS will pay CAD 50.0 to the partnership when the transfer is effective, subject to a working capital adjustment. The Company is amortizing the value of the partnership's Canadian license to its residual value over the remaining term of the agreement. In December 2019, AHS issued a Request for Expression of Interest, that seeks to gauge market interest from private third parties for the provision of community lab services in Alberta. The Canadian partnership submitted a response indicating its interest in providing lab services.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7. ACCOUNTS RECEIVABLE</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2"/>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0"/>
              </w:rPr>
              <w:t>December 31,</w:t>
            </w:r>
          </w:p>
        </w:tc>
      </w:tr>
      <w:tr>
        <w:trPr>
          <w:trHeight w:val="237"/>
        </w:trPr>
        <w:tc>
          <w:tcPr>
            <w:tcW w:w="8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 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DD accounts receivable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DD allowance for doubtful accounts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1,543.9</w:t>
            </w:r>
          </w:p>
        </w:tc>
      </w:tr>
      <w:tr>
        <w:trPr>
          <w:trHeight w:val="21"/>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0"/>
              </w:rPr>
              <w:t>December 31,</w:t>
            </w:r>
          </w:p>
        </w:tc>
      </w:tr>
      <w:tr>
        <w:trPr>
          <w:trHeight w:val="237"/>
        </w:trPr>
        <w:tc>
          <w:tcPr>
            <w:tcW w:w="8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781.8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794.9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r>
      <w:tr>
        <w:trPr>
          <w:trHeight w:val="23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ROU 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w:t>
            </w:r>
          </w:p>
        </w:tc>
      </w:tr>
      <w:tr>
        <w:trPr>
          <w:trHeight w:val="229"/>
        </w:trPr>
        <w:tc>
          <w:tcPr>
            <w:tcW w:w="8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4,565.3</w:t>
            </w:r>
          </w:p>
        </w:tc>
      </w:tr>
      <w:tr>
        <w:trPr>
          <w:trHeight w:val="23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(1,928.7)</w:t>
            </w:r>
          </w:p>
        </w:tc>
      </w:tr>
      <w:tr>
        <w:trPr>
          <w:trHeight w:val="255"/>
        </w:trPr>
        <w:tc>
          <w:tcPr>
            <w:tcW w:w="8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Depreciation expense and amortization of property, plant and equipment was $349.3, $321.5 and $311.5 for 2020, 2019 and 2018, respectively, including software depreciation of $84.7, $90.4, and $92.7 for 2020, 2019 and 2018,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changes in the carrying amount of goodwill (net of accumulated amortization) for the years ended December 31, 2020 and 2019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Dx</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DD</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15"/>
              <w:spacing w:after="0" w:line="135"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75"/>
              <w:spacing w:after="0" w:line="135"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w w:val="93"/>
              </w:rPr>
              <w:t>December 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75"/>
              <w:spacing w:after="0" w:line="135"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1"/>
                <w:szCs w:val="11"/>
                <w:color w:val="auto"/>
              </w:rPr>
            </w:pPr>
          </w:p>
        </w:tc>
        <w:tc>
          <w:tcPr>
            <w:tcW w:w="980" w:type="dxa"/>
            <w:vAlign w:val="bottom"/>
          </w:tcPr>
          <w:p>
            <w:pPr>
              <w:jc w:val="right"/>
              <w:ind w:right="75"/>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7,360.3</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Foreign currency impact and other adjustments to</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2020</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2019</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5"/>
                <w:szCs w:val="15"/>
                <w:color w:val="auto"/>
              </w:rPr>
            </w:pPr>
          </w:p>
        </w:tc>
        <w:tc>
          <w:tcPr>
            <w:tcW w:w="10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5"/>
                <w:szCs w:val="15"/>
                <w:color w:val="auto"/>
              </w:rPr>
            </w:pPr>
          </w:p>
        </w:tc>
        <w:tc>
          <w:tcPr>
            <w:tcW w:w="10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4"/>
              </w:rPr>
              <w:t>Carrying</w:t>
            </w:r>
          </w:p>
        </w:tc>
        <w:tc>
          <w:tcPr>
            <w:tcW w:w="220" w:type="dxa"/>
            <w:vAlign w:val="bottom"/>
          </w:tcPr>
          <w:p>
            <w:pPr>
              <w:spacing w:after="0"/>
              <w:rPr>
                <w:sz w:val="15"/>
                <w:szCs w:val="15"/>
                <w:color w:val="auto"/>
              </w:rPr>
            </w:pPr>
          </w:p>
        </w:tc>
        <w:tc>
          <w:tcPr>
            <w:tcW w:w="10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23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Patents, licenses and technology</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use rights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6"/>
        </w:trPr>
        <w:tc>
          <w:tcPr>
            <w:tcW w:w="3040" w:type="dxa"/>
            <w:vAlign w:val="bottom"/>
          </w:tcPr>
          <w:p>
            <w:pPr>
              <w:ind w:left="20"/>
              <w:spacing w:after="0"/>
              <w:rPr>
                <w:sz w:val="20"/>
                <w:szCs w:val="20"/>
                <w:color w:val="auto"/>
              </w:rPr>
            </w:pPr>
            <w:r>
              <w:rPr>
                <w:rFonts w:ascii="Arial" w:cs="Arial" w:eastAsia="Arial" w:hAnsi="Arial"/>
                <w:sz w:val="18"/>
                <w:szCs w:val="18"/>
                <w:color w:val="auto"/>
              </w:rPr>
              <w:t>Canadian licenses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55"/>
        </w:trPr>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2020, the Company recorded goodwill and other asset impairment charges of $462.1, $450.5 within DD and $11.6 within Dx. The Company concluded that the fair value was less than the carrying value for two of its reporting units and recorded goodwill impairment of $418.7 and $3.7 for DD and Dx, respectively. Additional impairment of identifiable intangible and tangible assets of $31.8 and $7.9 was recorded for DD and Dx, respectively, for impairment of a tradename, software, customer relationships, and technology assets.</w:t>
      </w:r>
    </w:p>
    <w:p>
      <w:pPr>
        <w:spacing w:after="0" w:line="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part of the rebranding initiative, the Company reduced the estimated useful life of its trade name assets to reflect their anticipated use through December 2021. This change in estimated useful life resulted in accelerated amortization of $27.5 in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summary of amortizable intangible assets acquired during 2020, and their respective weighted average amortization periods are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8"/>
                <w:szCs w:val="18"/>
                <w:color w:val="auto"/>
              </w:rPr>
              <w:t>Amount</w:t>
            </w: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Amortization Period</w:t>
            </w:r>
          </w:p>
        </w:tc>
        <w:tc>
          <w:tcPr>
            <w:tcW w:w="0" w:type="dxa"/>
            <w:vAlign w:val="bottom"/>
          </w:tcPr>
          <w:p>
            <w:pPr>
              <w:spacing w:after="0"/>
              <w:rPr>
                <w:sz w:val="1"/>
                <w:szCs w:val="1"/>
                <w:color w:val="auto"/>
              </w:rPr>
            </w:pP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772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Amortization of intangible assets, including amortization of the Canadian license recorded in other assets, was $275.4, $243.2 and $231.7 in 2020, 2019 and 2018, respectively. The Company recorded purchase accounting adjustments and impairment losses through amortization expense of $0.0, $0.4, and $4.5 in 2020, 2019 and 2018, respectively. Amortization expense of intangible assets is estimated to be $365.5 in fiscal 2021, $220.8 in fiscal 2022, $217.8 in fiscal 2023, $213.2 in fiscal 2024, $200.8 in fiscal 2025, and $2,160.5 thereafter.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10. ACCRUED EXPENSES AND OTHER</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29"/>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Accrued taxes payable</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11. OTHER LIABILITIES</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7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3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Defined-benefit plan obligation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Deferred compensation plan obligation</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12. DEBT</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7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300" w:type="dxa"/>
            <w:vAlign w:val="bottom"/>
            <w:gridSpan w:val="4"/>
          </w:tcPr>
          <w:p>
            <w:pPr>
              <w:ind w:left="300"/>
              <w:spacing w:after="0"/>
              <w:rPr>
                <w:sz w:val="20"/>
                <w:szCs w:val="20"/>
                <w:color w:val="auto"/>
              </w:rPr>
            </w:pPr>
            <w:r>
              <w:rPr>
                <w:rFonts w:ascii="Arial" w:cs="Arial" w:eastAsia="Arial" w:hAnsi="Arial"/>
                <w:sz w:val="18"/>
                <w:szCs w:val="18"/>
                <w:color w:val="auto"/>
                <w:w w:val="94"/>
              </w:rPr>
              <w:t>Short-term borrowings and current portion of long-term debt at December 31, 2020, and 2019 consisted of the following:</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3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4.625% senior notes due 2020</w:t>
            </w: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2019 term loan</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portion of note payable</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5"/>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 and current portion of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Long-term debt at December 31, 2020, and 2019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3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3.75% senior notes due 2022</w:t>
            </w: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3.20% senior notes due 2022</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 senior notes due 2023</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3.25% senior notes due 2024</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3.60% senior notes due 2025</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3.60% senior notes due 2027</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 senior notes due 2045</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2.30% senior notes due 2024</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2.95% senior notes due 2029</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2019 term loan</w:t>
            </w:r>
          </w:p>
        </w:tc>
        <w:tc>
          <w:tcPr>
            <w:tcW w:w="16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 payable</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5"/>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4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June 3, 2019, the Company entered into a new $850.0 term loan (the 2019 Term Loan). The 2019 Term Loan will mature on June 3, 2021. Proceeds of the 2019 Term Loan were used to repay approximately $250.0 of the 2017 Term Loan and to fund the acquisition of Envigo's nonclinical research services business.</w:t>
      </w:r>
    </w:p>
    <w:p>
      <w:pPr>
        <w:spacing w:after="0" w:line="8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2019 Term Loan accrues interest at a per annum rate equal to, at the Company's election, either a LIBOR rate plus a margin ranging from 0.55% to 1.175%, or a base rate determined according to a prime rate or federal funds rate plus a margin ranging from 0.0% to 0.175%. As of December 31, 2020, the effective interest rate on the 2019 Term Loan was 0.95%.</w:t>
      </w:r>
    </w:p>
    <w:p>
      <w:pPr>
        <w:spacing w:after="0" w:line="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September 15, 2017, the Company entered into a $750.0 term loan (the 2017 Term Loan). The 2017 Term Loan accrued interest at a per annum rate equal to, at the Company's election, either a LIBOR rate plus a margin ranging from 0.875% to 1.50%, or a base rate determined according to a prime rate or federal funds rate plus a margin ranging from 0.0% to 0.50%. The 2017 Term Loan was fully repaid in 2019.</w:t>
      </w:r>
    </w:p>
    <w:p>
      <w:pPr>
        <w:spacing w:after="0" w:line="8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Company also maintains a senior revolving credit facility consists of a five-year revolving facility in the principal amount of up to $1,000.0, with the option of increasing the facility by up to an additional $350.0, subject to the agreement of one or more new or existing lenders to provide such additional amounts and certain other customary conditions. The revolving credit facility also provides for a subfacility of up to $100.0 for swing line borrowings and a subfacility of up to $80.0 for issuances of letters of credit. The Company is required to pay a facility fee on the aggregate commitments under the revolving credit facility, at a per annum rate ranging from 0.10% to 0.25%.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at December 31, 2020, or December 31, 2019. As of December 31, 2020, the effective interest rate on the revolving credit facility was 1.12%. The credit facility expires on September 15, 2022.</w:t>
      </w:r>
    </w:p>
    <w:p>
      <w:pPr>
        <w:spacing w:after="0" w:line="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Under the Company's term loan facilities and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December 31, 2020, and December 31, 2019. In May 2020, in order to obtain increased financial covenant flexibility, the Company and its lenders entered into amendments to the term loan facility and the revolving credit facility to increase the maximum leverage ratio to 5.0x debt to last twelve months EBITDA for the three month periods ending June 30, September 30 and December 31, 2020, and 4.5x for the period ended March 31, 2021. From and including the period ending June 30, 2021, the maximum leverage ratio reverts back to 4.0x. The amendments also provide that during any period in which the Company's leverage ratio exceeds 4.5x debt to last twelve months EBITDA (i) the Company will be prohibited from consummating share repurchases, subject to limited exceptions, (ii) borrowings under the revolving credit facility will accrue interest at a per annum rate equal to, at the Company's election, either a LIBOR rate plus a margin of 1.25% or a base rate plus a margin of 0.25%, (iii) the facility fee that the Company is required to pay on the aggregate commitments under the revolving credit facility will be 0.25% per annum, and (iv) borrowings under the term loan facility will accrue interest at a per annum rate equal to, at the Company's election, either a LIBOR rate plus a margin of 1.175% or a base rate plus a margin of 0.175%. The Company's leverage ratio did not exceed 4.5x debt to last twelve months EBITDA as of December 31, 2020.</w:t>
      </w:r>
    </w:p>
    <w:p>
      <w:pPr>
        <w:spacing w:after="0" w:line="9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Company’s availability of $997.0 at December 31, 2020, under its revolving credit facility is reduced by the amount of the Company's outstanding letters of credit.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Zero-Coupon Convertible Subordinated Notes</w:t>
      </w:r>
    </w:p>
    <w:p>
      <w:pPr>
        <w:spacing w:after="0" w:line="135"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During 2019, the Company settled notices to convert $8.6 aggregate principal amount at maturity of its zero-coupon subordinated notes with a conversion value of $16.6. The total cash used for these settlements was $8.2 and the Company also issued 0.1 additional shares of common stock. As a result of these conversions in 2019, the Company also reversed approximately $2.0 of deferred tax liability to reflect the tax benefit realized upon issuance of the shares. On December 19, 2019, the Company redeemed all remaining outstanding zero-coupon notes that had not previously converted.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4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August 17, 2020 the Company redeemed the remaining $412.2 of its 4.625% Senior Notes due November 15, 2020, using available cash on hand. The Company exited the remaining fixed-to-variable interest rate swap agreement in August 2020, in connection with this redemption and recorded a gain of $1.6 on the extinguishment. The gain was included in Other, net on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On November 25, 2019, the Company issued $1,050.0 in debt securities, consisting of $400.0 aggregate principal amount of 2.300% Senior Notes due 2024 and $650.0 aggregate principal amount of 2.950% Senior Notes due 2029. The net proceeds from the new Senior Notes were used to redeem of all of the outstanding $500.0 principal amount of its 2.625% Senior Notes due February 1, 2020, redeem $187.9 of the outstanding 4.625% Senior Notes due November 15, 2020 in a tender offer, and to repay $348.3 outstanding under the Company's term loan credit facilities. The Company recorded a loss of $4.0 on the extinguishment of the 2.625% Senior Notes and part of the outstanding 4.625% Senior Notes.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The scheduled payments of long-term debt at the end of 2020 are summarized as follows:</w:t>
            </w: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8"/>
        </w:trPr>
        <w:tc>
          <w:tcPr>
            <w:tcW w:w="940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376.7</w:t>
            </w:r>
          </w:p>
        </w:tc>
      </w:tr>
      <w:tr>
        <w:trPr>
          <w:trHeight w:val="229"/>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9400" w:type="dxa"/>
            <w:vAlign w:val="bottom"/>
          </w:tcPr>
          <w:p>
            <w:pPr>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50"/>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2,156.1</w:t>
            </w:r>
          </w:p>
        </w:tc>
      </w:tr>
      <w:tr>
        <w:trPr>
          <w:trHeight w:val="217"/>
        </w:trPr>
        <w:tc>
          <w:tcPr>
            <w:tcW w:w="9400" w:type="dxa"/>
            <w:vAlign w:val="bottom"/>
          </w:tcPr>
          <w:p>
            <w:pPr>
              <w:spacing w:after="0"/>
              <w:rPr>
                <w:sz w:val="20"/>
                <w:szCs w:val="20"/>
                <w:color w:val="auto"/>
              </w:rPr>
            </w:pPr>
            <w:r>
              <w:rPr>
                <w:rFonts w:ascii="Arial" w:cs="Arial" w:eastAsia="Arial" w:hAnsi="Arial"/>
                <w:sz w:val="18"/>
                <w:szCs w:val="18"/>
                <w:color w:val="auto"/>
              </w:rPr>
              <w:t>Total scheduled payments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5,832.8</w:t>
            </w:r>
          </w:p>
        </w:tc>
      </w:tr>
      <w:tr>
        <w:trPr>
          <w:trHeight w:val="249"/>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long-term debt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7"/>
        </w:trPr>
        <w:tc>
          <w:tcPr>
            <w:tcW w:w="9400" w:type="dxa"/>
            <w:vAlign w:val="bottom"/>
          </w:tcPr>
          <w:p>
            <w:pPr>
              <w:spacing w:after="0"/>
              <w:rPr>
                <w:sz w:val="20"/>
                <w:szCs w:val="20"/>
                <w:color w:val="auto"/>
              </w:rPr>
            </w:pPr>
            <w:r>
              <w:rPr>
                <w:rFonts w:ascii="Arial" w:cs="Arial" w:eastAsia="Arial" w:hAnsi="Arial"/>
                <w:sz w:val="18"/>
                <w:szCs w:val="18"/>
                <w:color w:val="auto"/>
              </w:rPr>
              <w:t>Total long-term debt</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5,795.7</w:t>
            </w:r>
          </w:p>
        </w:tc>
      </w:tr>
      <w:tr>
        <w:trPr>
          <w:trHeight w:val="236"/>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Long-term debt, due beyond one year</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5,419.0</w:t>
            </w:r>
          </w:p>
        </w:tc>
      </w:tr>
      <w:tr>
        <w:trPr>
          <w:trHeight w:val="20"/>
        </w:trPr>
        <w:tc>
          <w:tcPr>
            <w:tcW w:w="9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PREFERRED STOCK AND COMMON SHAREHOLDERS’ EQUITY</w:t>
      </w:r>
    </w:p>
    <w:p>
      <w:pPr>
        <w:spacing w:after="0" w:line="256"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7"/>
          <w:szCs w:val="17"/>
          <w:color w:val="auto"/>
        </w:rPr>
        <w:t>The Company is authorized to issue up to 265.0 shares of common stock, par value $0.10 per share. The Company is authorized to issue up to 30.0 shares of preferred stock, par value $0.10 per share. There were no preferred shares outstanding as of December 31, 2020 and 2019.</w:t>
      </w:r>
    </w:p>
    <w:p>
      <w:pPr>
        <w:ind w:left="340"/>
        <w:spacing w:after="0"/>
        <w:rPr>
          <w:sz w:val="20"/>
          <w:szCs w:val="20"/>
          <w:color w:val="auto"/>
        </w:rPr>
      </w:pPr>
      <w:r>
        <w:rPr>
          <w:rFonts w:ascii="Arial" w:cs="Arial" w:eastAsia="Arial" w:hAnsi="Arial"/>
          <w:sz w:val="18"/>
          <w:szCs w:val="18"/>
          <w:color w:val="auto"/>
        </w:rPr>
        <w:t>The changes in common shares issued and held in treasury are summarized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Common Shares Issued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7"/>
        </w:trPr>
        <w:tc>
          <w:tcPr>
            <w:tcW w:w="8160" w:type="dxa"/>
            <w:vAlign w:val="bottom"/>
            <w:gridSpan w:val="2"/>
          </w:tcPr>
          <w:p>
            <w:pPr>
              <w:ind w:left="7780"/>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3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issued at January 1</w:t>
            </w:r>
          </w:p>
        </w:tc>
        <w:tc>
          <w:tcPr>
            <w:tcW w:w="8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97.2</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employee stock plans</w:t>
            </w: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upon conversion of zero-coupon subordinated notes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Retirement of treasury stock</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8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Common stock issued at December 31</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97.5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1"/>
        </w:trPr>
        <w:tc>
          <w:tcPr>
            <w:tcW w:w="7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44"/>
        </w:trPr>
        <w:tc>
          <w:tcPr>
            <w:tcW w:w="8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Common Shares Held in Treasury</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8160" w:type="dxa"/>
            <w:vAlign w:val="bottom"/>
            <w:gridSpan w:val="2"/>
          </w:tcPr>
          <w:p>
            <w:pPr>
              <w:ind w:left="7780"/>
              <w:spacing w:after="0"/>
              <w:rPr>
                <w:sz w:val="20"/>
                <w:szCs w:val="20"/>
                <w:color w:val="auto"/>
              </w:rPr>
            </w:pPr>
            <w:r>
              <w:rPr>
                <w:rFonts w:ascii="Arial" w:cs="Arial" w:eastAsia="Arial" w:hAnsi="Arial"/>
                <w:sz w:val="18"/>
                <w:szCs w:val="18"/>
                <w:color w:val="auto"/>
                <w:w w:val="89"/>
              </w:rPr>
              <w:t>2020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3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 held in treasury at January 1</w:t>
            </w:r>
          </w:p>
        </w:tc>
        <w:tc>
          <w:tcPr>
            <w:tcW w:w="8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Surrender of restricted stock and performance share awards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Retirement of treasury shares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Common shares held in treasury at December 31</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7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243"/>
        <w:spacing w:after="0" w:line="277" w:lineRule="auto"/>
        <w:rPr>
          <w:sz w:val="20"/>
          <w:szCs w:val="20"/>
          <w:color w:val="auto"/>
        </w:rPr>
      </w:pPr>
      <w:r>
        <w:rPr>
          <w:rFonts w:ascii="Arial" w:cs="Arial" w:eastAsia="Arial" w:hAnsi="Arial"/>
          <w:sz w:val="18"/>
          <w:szCs w:val="18"/>
          <w:color w:val="auto"/>
        </w:rPr>
        <w:t>The Company’s treasury shares are recorded at aggregate cost. During 2019, the board of directors approved the retirement of all current treasury shares and future shares received in settlement of tax liabilities related to restricted stock vesting.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During 2020, the Company purchased 0.6 shares of its common stock at an average price of $178.85 for a total cost of $100.0. When the Company repurchases shares for retirement, the amount paid to repurchase the shares in excess of the par or stated value is allocated to additional paid-in capital unless subject to limitation or the balance in additional paid-in-capital is exhausted. Remaining amounts are recognized as a reduction in retained earnings. At the end of 2020, the Company had outstanding authorization from its board of directors to purchase $800.0 of Company common stock. The repurchase authorization has no expiration date. The Company reinstated its share repurchase program in October 2020 following the temporary suspension of stock repurchases beginning in March 2020 due to the COVID-19 pandemic.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ind w:left="380" w:right="224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Earnings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51"/>
        </w:trPr>
        <w:tc>
          <w:tcPr>
            <w:tcW w:w="6760" w:type="dxa"/>
            <w:vAlign w:val="bottom"/>
          </w:tcPr>
          <w:p>
            <w:pPr>
              <w:ind w:left="240"/>
              <w:spacing w:after="0"/>
              <w:rPr>
                <w:sz w:val="20"/>
                <w:szCs w:val="20"/>
                <w:color w:val="auto"/>
              </w:rPr>
            </w:pPr>
            <w:r>
              <w:rPr>
                <w:rFonts w:ascii="Arial" w:cs="Arial" w:eastAsia="Arial" w:hAnsi="Arial"/>
                <w:sz w:val="18"/>
                <w:szCs w:val="18"/>
                <w:color w:val="auto"/>
              </w:rPr>
              <w:t>The components of accumulated other comprehensive earnings are as follows: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3"/>
        </w:trPr>
        <w:tc>
          <w:tcPr>
            <w:tcW w:w="6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Foreign</w:t>
            </w:r>
          </w:p>
        </w:tc>
        <w:tc>
          <w:tcPr>
            <w:tcW w:w="16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Net</w:t>
            </w:r>
          </w:p>
        </w:tc>
        <w:tc>
          <w:tcPr>
            <w:tcW w:w="160" w:type="dxa"/>
            <w:vAlign w:val="bottom"/>
          </w:tcPr>
          <w:p>
            <w:pPr>
              <w:spacing w:after="0"/>
              <w:rPr>
                <w:sz w:val="24"/>
                <w:szCs w:val="24"/>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r>
      <w:tr>
        <w:trPr>
          <w:trHeight w:val="176"/>
        </w:trPr>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0"/>
              </w:rPr>
              <w:t>Currency</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Other</w:t>
            </w:r>
          </w:p>
        </w:tc>
      </w:tr>
      <w:tr>
        <w:trPr>
          <w:trHeight w:val="176"/>
        </w:trPr>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Translation</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8"/>
              </w:rPr>
              <w:t>Plan</w:t>
            </w:r>
          </w:p>
        </w:tc>
        <w:tc>
          <w:tcPr>
            <w:tcW w:w="1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r>
      <w:tr>
        <w:trPr>
          <w:trHeight w:val="236"/>
        </w:trPr>
        <w:tc>
          <w:tcPr>
            <w:tcW w:w="6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Adjustments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Adjustments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Earnings</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r>
      <w:tr>
        <w:trPr>
          <w:trHeight w:val="223"/>
        </w:trPr>
        <w:tc>
          <w:tcPr>
            <w:tcW w:w="6760" w:type="dxa"/>
            <w:vAlign w:val="bottom"/>
          </w:tcPr>
          <w:p>
            <w:pPr>
              <w:ind w:left="180"/>
              <w:spacing w:after="0"/>
              <w:rPr>
                <w:sz w:val="20"/>
                <w:szCs w:val="20"/>
                <w:color w:val="auto"/>
              </w:rPr>
            </w:pPr>
            <w:r>
              <w:rPr>
                <w:rFonts w:ascii="Arial" w:cs="Arial" w:eastAsia="Arial" w:hAnsi="Arial"/>
                <w:sz w:val="18"/>
                <w:szCs w:val="18"/>
                <w:color w:val="auto"/>
              </w:rPr>
              <w:t>Current year adjustments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earnings (a)</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 effect of adjustments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r>
      <w:tr>
        <w:trPr>
          <w:trHeight w:val="223"/>
        </w:trPr>
        <w:tc>
          <w:tcPr>
            <w:tcW w:w="6760" w:type="dxa"/>
            <w:vAlign w:val="bottom"/>
          </w:tcPr>
          <w:p>
            <w:pPr>
              <w:ind w:left="180"/>
              <w:spacing w:after="0"/>
              <w:rPr>
                <w:sz w:val="20"/>
                <w:szCs w:val="20"/>
                <w:color w:val="auto"/>
              </w:rPr>
            </w:pPr>
            <w:r>
              <w:rPr>
                <w:rFonts w:ascii="Arial" w:cs="Arial" w:eastAsia="Arial" w:hAnsi="Arial"/>
                <w:sz w:val="18"/>
                <w:szCs w:val="18"/>
                <w:color w:val="auto"/>
              </w:rPr>
              <w:t>Current year adjustments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earnings (a)</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Tax effect of adjustments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55"/>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60" w:firstLine="8"/>
        <w:spacing w:after="0" w:line="277" w:lineRule="auto"/>
        <w:tabs>
          <w:tab w:leader="none" w:pos="204" w:val="left"/>
        </w:tabs>
        <w:numPr>
          <w:ilvl w:val="0"/>
          <w:numId w:val="48"/>
        </w:numPr>
        <w:rPr>
          <w:rFonts w:ascii="Arial" w:cs="Arial" w:eastAsia="Arial" w:hAnsi="Arial"/>
          <w:sz w:val="14"/>
          <w:szCs w:val="14"/>
          <w:i w:val="1"/>
          <w:iCs w:val="1"/>
          <w:color w:val="auto"/>
        </w:rPr>
      </w:pPr>
      <w:r>
        <w:rPr>
          <w:rFonts w:ascii="Arial" w:cs="Arial" w:eastAsia="Arial" w:hAnsi="Arial"/>
          <w:sz w:val="18"/>
          <w:szCs w:val="18"/>
          <w:color w:val="auto"/>
        </w:rPr>
        <w:t>The amortization of prior service cost is included in the computation of net periodic benefit cost. Refer to Note 17 Pension and Postretirement Plans for additional information regarding the Company's net periodic benefit cost.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sources of income before taxes, classified between domestic and foreign entities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r>
      <w:tr>
        <w:trPr>
          <w:trHeight w:val="237"/>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5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provisions (benefits) for income taxes in the accompanying consolidated statements of operations consist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840" w:type="dxa"/>
            <w:vAlign w:val="bottom"/>
            <w:tcBorders>
              <w:bottom w:val="single" w:sz="8" w:color="auto"/>
            </w:tcBorders>
          </w:tcPr>
          <w:p>
            <w:pPr>
              <w:spacing w:after="0"/>
              <w:rPr>
                <w:sz w:val="20"/>
                <w:szCs w:val="20"/>
                <w:color w:val="auto"/>
              </w:rPr>
            </w:pPr>
          </w:p>
        </w:tc>
      </w:tr>
      <w:tr>
        <w:trPr>
          <w:trHeight w:val="237"/>
        </w:trPr>
        <w:tc>
          <w:tcPr>
            <w:tcW w:w="7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2018</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36"/>
        </w:trPr>
        <w:tc>
          <w:tcPr>
            <w:tcW w:w="73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7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55"/>
        </w:trPr>
        <w:tc>
          <w:tcPr>
            <w:tcW w:w="7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723"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effective tax rates on earnings before income taxes are reconciled to statutory U.S. income tax rates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spacing w:after="0"/>
              <w:rPr>
                <w:sz w:val="20"/>
                <w:szCs w:val="20"/>
                <w:color w:val="auto"/>
              </w:rPr>
            </w:pPr>
          </w:p>
        </w:tc>
        <w:tc>
          <w:tcPr>
            <w:tcW w:w="3180" w:type="dxa"/>
            <w:vAlign w:val="bottom"/>
            <w:tcBorders>
              <w:bottom w:val="single" w:sz="8" w:color="auto"/>
            </w:tcBorders>
            <w:gridSpan w:val="5"/>
          </w:tcPr>
          <w:p>
            <w:pPr>
              <w:ind w:left="1100"/>
              <w:spacing w:after="0"/>
              <w:rPr>
                <w:sz w:val="20"/>
                <w:szCs w:val="20"/>
                <w:color w:val="auto"/>
              </w:rPr>
            </w:pPr>
            <w:r>
              <w:rPr>
                <w:rFonts w:ascii="Arial" w:cs="Arial" w:eastAsia="Arial" w:hAnsi="Arial"/>
                <w:sz w:val="18"/>
                <w:szCs w:val="18"/>
                <w:color w:val="auto"/>
                <w:w w:val="92"/>
              </w:rPr>
              <w:t>Years Ended December 31,</w:t>
            </w:r>
          </w:p>
        </w:tc>
        <w:tc>
          <w:tcPr>
            <w:tcW w:w="980" w:type="dxa"/>
            <w:vAlign w:val="bottom"/>
            <w:tcBorders>
              <w:bottom w:val="single" w:sz="8" w:color="auto"/>
            </w:tcBorders>
          </w:tcPr>
          <w:p>
            <w:pPr>
              <w:spacing w:after="0"/>
              <w:rPr>
                <w:sz w:val="20"/>
                <w:szCs w:val="20"/>
                <w:color w:val="auto"/>
              </w:rPr>
            </w:pPr>
          </w:p>
        </w:tc>
      </w:tr>
      <w:tr>
        <w:trPr>
          <w:trHeight w:val="236"/>
        </w:trPr>
        <w:tc>
          <w:tcPr>
            <w:tcW w:w="69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rate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State and local income taxes, net of U.S. Federal income tax effect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earnings taxed at lower rates than the statutory U.S. rate</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Restructuring and acquisition items</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deferred taxes</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Repatriation tax</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GILTI</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3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6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Effective rate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30.3 %</w:t>
            </w: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December 22, 2017, the U.S. Securities and Exchange Commission (SEC) issued Staff Accounting Bulletin No. 118 (SAB 118), which allowed companies one year to finalize the tax accounting for the 2017 enacted Tax Cuts and Jobs Act (TCJA) in its financial statements. Under SAB 118, in 2018 the Company recorded a total tax expense of $45.0, $14.8 related to the TCJA repatriation tax and $30.1 for the remeasurement of deferred taxes.</w:t>
      </w:r>
    </w:p>
    <w:p>
      <w:pPr>
        <w:spacing w:after="0" w:line="68"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TCJA includes provisions relating to global low-taxed intangible income (GILTI). The Company finalized its decision on accounting policy during the fourth quarter of 2018. The Company will account for GILTI as a periodic charge in the period it arises.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December 31, 2020</w:t>
            </w:r>
          </w:p>
        </w:tc>
        <w:tc>
          <w:tcPr>
            <w:tcW w:w="20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2019</w:t>
            </w:r>
          </w:p>
        </w:tc>
        <w:tc>
          <w:tcPr>
            <w:tcW w:w="0" w:type="dxa"/>
            <w:vAlign w:val="bottom"/>
          </w:tcPr>
          <w:p>
            <w:pPr>
              <w:spacing w:after="0"/>
              <w:rPr>
                <w:sz w:val="1"/>
                <w:szCs w:val="1"/>
                <w:color w:val="auto"/>
              </w:rPr>
            </w:pPr>
          </w:p>
        </w:tc>
      </w:tr>
      <w:tr>
        <w:trPr>
          <w:trHeight w:val="23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restructuring reserves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Tax loss carryforwards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Deferred tax assets, net of valuation allowance</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use asset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gross deferred tax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(1,339.8)</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60"/>
              <w:spacing w:after="0"/>
              <w:rPr>
                <w:sz w:val="20"/>
                <w:szCs w:val="20"/>
                <w:color w:val="auto"/>
              </w:rPr>
            </w:pPr>
            <w:r>
              <w:rPr>
                <w:rFonts w:ascii="Arial" w:cs="Arial" w:eastAsia="Arial" w:hAnsi="Arial"/>
                <w:sz w:val="18"/>
                <w:szCs w:val="18"/>
                <w:color w:val="auto"/>
                <w:w w:val="92"/>
              </w:rPr>
              <w:t>The table below provides a rollforward of the valuation allowance.</w:t>
            </w: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December 31, 2020</w:t>
            </w:r>
          </w:p>
        </w:tc>
        <w:tc>
          <w:tcPr>
            <w:tcW w:w="20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December 31, 2019</w:t>
            </w:r>
          </w:p>
        </w:tc>
        <w:tc>
          <w:tcPr>
            <w:tcW w:w="20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2018</w:t>
            </w: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and other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Company has U.S. federal tax loss carryforwards of approximately $185.2, which expire periodically through 2036, as well as post 2017 carryovers of $0.1 that are limited to 80% of taxable income and have an indefinite carryover. The utilization of tax loss carryforwards is limited due to change of ownership rules; however, at this time, the Company expects to fully utilize substantially all U.S. federal tax loss carryforwards with the exception of approximately $3.9 for which a full valuation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allowance has been provided. The Company has U.S. state tax loss carryforwards of $540.3, which also expire periodically through 2038, and on which a valuation allowance of $340.0 has been provided. In addition to federal and state tax loss carryforwards, the Company has other federal and state attribute carry forwards of $288.6. These attribute carryforwards have indefinite lives and a valuation allowance of $229.6. The Company has foreign tax loss carryforwards of $59.1 which have an indefinite life and on which a valuation allowance of $25.9 has been provided, as well as foreign tax loss carryforwards of $502.9 which expire periodically through 2034 that have a full valuation allowance. In addition to the foreign net operating losses, the Company has a foreign capital loss carryforward of $6.9. The foreign capital loss carryforward has an indefinite life and has a full valuation allowance.</w:t>
      </w:r>
    </w:p>
    <w:p>
      <w:pPr>
        <w:spacing w:after="0" w:line="83"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valuation allowance increased from $145.4 in 2019 to $167.6 in 2020 primarily due to capital loss disallowances during the year that are not expected to be realized for tax purposes and for Swiss net operating losses not expected to be realized as a result of the finalization of the Envigo acquisition.</w:t>
      </w:r>
    </w:p>
    <w:p>
      <w:pPr>
        <w:spacing w:after="0" w:line="89"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Unrecognized income tax benefits were $48.8 and $31.7 at December 31, 2020, and 2019, respectively. It is anticipated that the amount of the unrecognized income tax benefits will change within the next 12 months; however, these changes are not expected to have a significant impact on the results of operations, cash flows or the financial position of the Company.</w:t>
      </w:r>
    </w:p>
    <w:p>
      <w:pPr>
        <w:spacing w:after="0" w:line="89"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The Company recognizes interest and penalties related to unrecognized income tax benefits in income tax expense. Accrued interest and penalties related to uncertain tax positions totaled $8.3 and $5.5 as of December 31, 2020, and 2019, respectively. During the years ended December 31, 2020, 2019 and 2018, the Company recognized $4.4, $2.0 and $1.8, respectively, in interest and penalties expense, which was offset by a benefit from reversing previous accruals for interest and penalties of $3.0, $5.8 and $0.5, respectively. As of December 31, 2020 and 2019 interest expense of $1.4, and $0.8, respectively, was added to accrued interest from the opening balance sheet of an acquisition.</w:t>
      </w:r>
    </w:p>
    <w:p>
      <w:pPr>
        <w:spacing w:after="0" w:line="95"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following table shows a reconciliation of the unrecognized income tax benefits, excluding interest and penalties, from uncertain tax positions for the years ended December 31, 2020, 2019 and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Increase in reserve for tax positions taken in the current year</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reserve from an acquisition's opening balance sheet</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Decrease in reserve as a result of payments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reserve as a result of lapses in the statute of limitations</w:t>
            </w:r>
          </w:p>
        </w:tc>
        <w:tc>
          <w:tcPr>
            <w:tcW w:w="8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1"/>
        </w:trPr>
        <w:tc>
          <w:tcPr>
            <w:tcW w:w="7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83"/>
        <w:spacing w:after="0" w:line="286" w:lineRule="auto"/>
        <w:rPr>
          <w:sz w:val="20"/>
          <w:szCs w:val="20"/>
          <w:color w:val="auto"/>
        </w:rPr>
      </w:pPr>
      <w:r>
        <w:rPr>
          <w:rFonts w:ascii="Arial" w:cs="Arial" w:eastAsia="Arial" w:hAnsi="Arial"/>
          <w:sz w:val="17"/>
          <w:szCs w:val="17"/>
          <w:color w:val="auto"/>
        </w:rPr>
        <w:t>Also included in the balance of unrecognized tax benefits as of December 31, 2020, 2019 and 2018, are $2.1, $0.0 and $0.0, respectively, of tax benefits that, if recognized, would result in adjustments to other tax accounts, primarily deferred taxes. As of December 31, 2020, 2019 and 2018 there are $46.7, $31.7 and $18.0, respectively, of tax benefits that, if recognized would favorably affect the effective income tax rate.</w:t>
      </w:r>
    </w:p>
    <w:p>
      <w:pPr>
        <w:spacing w:after="0" w:line="71"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The Company has substantially concluded all U.S. federal income tax matters for years through 2016. Substantially all material state and local and foreign income tax matters have been concluded through 2014 and 2010, respectively.</w:t>
      </w:r>
    </w:p>
    <w:p>
      <w:pPr>
        <w:spacing w:after="0" w:line="89" w:lineRule="exact"/>
        <w:rPr>
          <w:sz w:val="20"/>
          <w:szCs w:val="20"/>
          <w:color w:val="auto"/>
        </w:rPr>
      </w:pPr>
    </w:p>
    <w:p>
      <w:pPr>
        <w:jc w:val="both"/>
        <w:ind w:right="20" w:firstLine="283"/>
        <w:spacing w:after="0" w:line="263" w:lineRule="auto"/>
        <w:rPr>
          <w:sz w:val="20"/>
          <w:szCs w:val="20"/>
          <w:color w:val="auto"/>
        </w:rPr>
      </w:pPr>
      <w:r>
        <w:rPr>
          <w:rFonts w:ascii="Arial" w:cs="Arial" w:eastAsia="Arial" w:hAnsi="Arial"/>
          <w:sz w:val="18"/>
          <w:szCs w:val="18"/>
          <w:color w:val="auto"/>
        </w:rPr>
        <w:t>The Company is appealing a Canada Revenue Agency assessment related to the 2014 income tax return. The Company believes adequate reserves have been established for the assessment. The Company has various state and foreign income tax examinations ongoing throughout the year. The Company believes adequate provisions have been recorded related to all open tax years.</w:t>
      </w:r>
    </w:p>
    <w:p>
      <w:pPr>
        <w:spacing w:after="0" w:line="89" w:lineRule="exact"/>
        <w:rPr>
          <w:sz w:val="20"/>
          <w:szCs w:val="20"/>
          <w:color w:val="auto"/>
        </w:rPr>
      </w:pPr>
    </w:p>
    <w:p>
      <w:pPr>
        <w:jc w:val="both"/>
        <w:ind w:firstLine="283"/>
        <w:spacing w:after="0" w:line="254" w:lineRule="auto"/>
        <w:rPr>
          <w:sz w:val="20"/>
          <w:szCs w:val="20"/>
          <w:color w:val="auto"/>
        </w:rPr>
      </w:pPr>
      <w:r>
        <w:rPr>
          <w:rFonts w:ascii="Arial" w:cs="Arial" w:eastAsia="Arial" w:hAnsi="Arial"/>
          <w:sz w:val="18"/>
          <w:szCs w:val="18"/>
          <w:color w:val="auto"/>
        </w:rPr>
        <w:t>As a result of the TCJA, the Company was effectively taxed on all of its previously unremitted foreign earnings. The TCJA also enacts a territorial tax system that allows, for the most part, tax-free repatriation of foreign earnings. The Company still considers the earnings of its foreign subsidiaries to be permanently reinvested, but if repatriation were to occur the Company would be required to accrue U.S. taxes, if any, and remit applicable withholding taxes as appropriate. The Company has unremitted earnings and profits of $702.4 and $601.4 that are permanently reinvested in its foreign subsidiaries as of December 31, 2020, and 2019, respectively.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2" w:lineRule="exact"/>
        <w:rPr>
          <w:sz w:val="20"/>
          <w:szCs w:val="20"/>
          <w:color w:val="auto"/>
        </w:rPr>
      </w:pPr>
    </w:p>
    <w:p>
      <w:pPr>
        <w:ind w:right="8140" w:firstLine="8"/>
        <w:spacing w:after="0" w:line="401" w:lineRule="auto"/>
        <w:tabs>
          <w:tab w:leader="none" w:pos="31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Stock Incentive Plans</w:t>
      </w:r>
    </w:p>
    <w:p>
      <w:pPr>
        <w:spacing w:after="0" w:line="1"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In 2016, the shareholders approved the Laboratory Corporation of America Holdings 2016 Omnibus Incentive Plan (the Plan). Under the Plan, as of December 31, 2020, there are 9.4 shares authorized for issuance and 5.4 shares available for grant.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and have a contractual exercise period of 10 years subject to their earlier expiration or termination.</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Changes in options outstanding under the plans for the period indicated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7"/>
                <w:szCs w:val="17"/>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Exercise Price</w:t>
            </w:r>
          </w:p>
        </w:tc>
        <w:tc>
          <w:tcPr>
            <w:tcW w:w="19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5"/>
                <w:szCs w:val="15"/>
                <w:color w:val="auto"/>
              </w:rPr>
            </w:pPr>
          </w:p>
        </w:tc>
        <w:tc>
          <w:tcPr>
            <w:tcW w:w="10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per Option</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182.71</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at December 31, 2020</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9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148.39</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126.55</w:t>
            </w: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5"/>
              </w:rPr>
              <w:t>4.9</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0.3</w:t>
            </w:r>
          </w:p>
        </w:tc>
        <w:tc>
          <w:tcPr>
            <w:tcW w:w="1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the last trading day of 2020 and the exercise price, multiplied by the number of in-the-money options) that would have been received by the option holders had all option holders exercised their options on December 31, 2020.</w:t>
      </w:r>
    </w:p>
    <w:p>
      <w:pPr>
        <w:spacing w:after="0" w:line="89" w:lineRule="exact"/>
        <w:rPr>
          <w:sz w:val="20"/>
          <w:szCs w:val="20"/>
          <w:color w:val="auto"/>
        </w:rPr>
      </w:pPr>
    </w:p>
    <w:p>
      <w:pPr>
        <w:jc w:val="both"/>
        <w:ind w:firstLine="283"/>
        <w:spacing w:after="0" w:line="342"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2020, 2019, and 2018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by the Company</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Tax benefits realized</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bl>
    <w:p>
      <w:pPr>
        <w:spacing w:after="0" w:line="148" w:lineRule="exact"/>
        <w:rPr>
          <w:sz w:val="20"/>
          <w:szCs w:val="20"/>
          <w:color w:val="auto"/>
        </w:rPr>
      </w:pPr>
    </w:p>
    <w:p>
      <w:pPr>
        <w:jc w:val="both"/>
        <w:ind w:right="20" w:firstLine="202"/>
        <w:spacing w:after="0" w:line="277" w:lineRule="auto"/>
        <w:rPr>
          <w:sz w:val="20"/>
          <w:szCs w:val="20"/>
          <w:color w:val="auto"/>
        </w:rPr>
      </w:pPr>
      <w:r>
        <w:rPr>
          <w:rFonts w:ascii="Arial" w:cs="Arial" w:eastAsia="Arial" w:hAnsi="Arial"/>
          <w:sz w:val="18"/>
          <w:szCs w:val="18"/>
          <w:color w:val="auto"/>
        </w:rPr>
        <w:t>The following table shows the weighted average grant-date fair values of options issued during the respective year and the weighted average assumptions that the Company used to develop the fair value estimates: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option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33.70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Weighted average expected life (in years)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20.4 %</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estimates expected option terms through an analysis of actual, historical post-vesting exercise, cancellation and expiration behavior by employees and projected post-vesting activity of outstanding options. Groups of employees and non-employee directors that have similar exercise behavior with regard to option exercise timing and forfeiture rates are considered separately for valuation purposes. For 2020, 2019 and 2018, expense related to the Company’s stock option plan totaled $3.4, $5.9 and $3.5, respectively, and is included in selling, general and administrative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Shares</w:t>
      </w:r>
    </w:p>
    <w:p>
      <w:pPr>
        <w:spacing w:after="0" w:line="144" w:lineRule="exact"/>
        <w:rPr>
          <w:sz w:val="20"/>
          <w:szCs w:val="20"/>
          <w:color w:val="auto"/>
        </w:rPr>
      </w:pPr>
    </w:p>
    <w:p>
      <w:pPr>
        <w:jc w:val="both"/>
        <w:ind w:firstLine="283"/>
        <w:spacing w:after="0" w:line="288" w:lineRule="auto"/>
        <w:rPr>
          <w:sz w:val="20"/>
          <w:szCs w:val="20"/>
          <w:color w:val="auto"/>
        </w:rPr>
      </w:pPr>
      <w:r>
        <w:rPr>
          <w:rFonts w:ascii="Arial" w:cs="Arial" w:eastAsia="Arial" w:hAnsi="Arial"/>
          <w:sz w:val="16"/>
          <w:szCs w:val="16"/>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one-third increments beginning on the first anniversary of the grant. A performance share grant in 2018 represents a three-year award opportunity for the period 2018-2020, and if earned, vests fully (to the extent earned) in the first quarter of 2021. A performance share grant in 2019 represents a three-year award opportunity for the period of 2019-2021 and, if earned, vests fully (to the extent earned) in the first quarter of 2022. A performance share grant in 2020 represents a three-year award opportunity for the period of 2020-2022 and, if earned, vests fully (to the extent earned) in the first quarter of 2023.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when probable, over the applicable vesting periods. For 2020, 2019, and 2018, total restricted stock, restricted stock unit, and performance share compensation expense was $98.1, $91.2 and $80.1, respectively, and is included in selling, general and administrative expenses.</w:t>
      </w:r>
    </w:p>
    <w:p>
      <w:pPr>
        <w:sectPr>
          <w:pgSz w:w="11900" w:h="16838" w:orient="portrait"/>
          <w:cols w:equalWidth="0" w:num="1">
            <w:col w:w="11240"/>
          </w:cols>
          <w:pgMar w:left="320" w:top="125" w:right="339" w:bottom="1440" w:gutter="0" w:footer="0" w:header="0"/>
        </w:sectPr>
      </w:pPr>
    </w:p>
    <w:p>
      <w:pPr>
        <w:spacing w:after="0" w:line="7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shows a summary of non-vested shares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at January 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at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Number of</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Shares</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w:t>
      </w:r>
    </w:p>
    <w:p>
      <w:pPr>
        <w:spacing w:after="0" w:line="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40640</wp:posOffset>
            </wp:positionV>
            <wp:extent cx="7886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Weighted-Average</w:t>
            </w:r>
          </w:p>
        </w:tc>
      </w:tr>
      <w:tr>
        <w:trPr>
          <w:trHeight w:val="237"/>
        </w:trPr>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Grant Date Fair Value</w:t>
            </w:r>
          </w:p>
        </w:tc>
      </w:tr>
      <w:tr>
        <w:trPr>
          <w:trHeight w:val="229"/>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152.70</w:t>
            </w:r>
          </w:p>
        </w:tc>
      </w:tr>
      <w:tr>
        <w:trPr>
          <w:trHeight w:val="229"/>
        </w:trPr>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182.88</w:t>
            </w:r>
          </w:p>
        </w:tc>
      </w:tr>
      <w:tr>
        <w:trPr>
          <w:trHeight w:val="229"/>
        </w:trPr>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144.55</w:t>
            </w:r>
          </w:p>
        </w:tc>
      </w:tr>
      <w:tr>
        <w:trPr>
          <w:trHeight w:val="237"/>
        </w:trPr>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167.56</w:t>
            </w:r>
          </w:p>
        </w:tc>
      </w:tr>
      <w:tr>
        <w:trPr>
          <w:trHeight w:val="229"/>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170.04</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3">
            <w:col w:w="7420" w:space="520"/>
            <w:col w:w="980" w:space="140"/>
            <w:col w:w="2180"/>
          </w:cols>
          <w:pgMar w:left="320" w:top="125" w:right="339" w:bottom="1440" w:gutter="0" w:footer="0" w:header="0"/>
          <w:type w:val="continuous"/>
        </w:sectPr>
      </w:pPr>
    </w:p>
    <w:p>
      <w:pPr>
        <w:jc w:val="both"/>
        <w:ind w:firstLine="202"/>
        <w:spacing w:after="0" w:line="286" w:lineRule="auto"/>
        <w:rPr>
          <w:sz w:val="20"/>
          <w:szCs w:val="20"/>
          <w:color w:val="auto"/>
        </w:rPr>
      </w:pPr>
      <w:r>
        <w:rPr>
          <w:rFonts w:ascii="Arial" w:cs="Arial" w:eastAsia="Arial" w:hAnsi="Arial"/>
          <w:sz w:val="17"/>
          <w:szCs w:val="17"/>
          <w:color w:val="auto"/>
        </w:rPr>
        <w:t>As of December 31, 2020, there was $115.5 of total unrecognized compensation cost related to non-vested stock options, restricted stock, restricted stock unit and performance share-based compensation arrangements granted under the Company's stock incentive plans. That cost is expected to be recognized over a weighted average period of 1.8 years and will be included in selling, general and administrative expenses.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35" w:lineRule="exact"/>
        <w:rPr>
          <w:sz w:val="20"/>
          <w:szCs w:val="20"/>
          <w:color w:val="auto"/>
        </w:rPr>
      </w:pPr>
    </w:p>
    <w:p>
      <w:pPr>
        <w:jc w:val="both"/>
        <w:ind w:firstLine="283"/>
        <w:spacing w:after="0" w:line="301" w:lineRule="auto"/>
        <w:rPr>
          <w:sz w:val="20"/>
          <w:szCs w:val="20"/>
          <w:color w:val="auto"/>
        </w:rPr>
      </w:pPr>
      <w:r>
        <w:rPr>
          <w:rFonts w:ascii="Arial" w:cs="Arial" w:eastAsia="Arial" w:hAnsi="Arial"/>
          <w:sz w:val="16"/>
          <w:szCs w:val="16"/>
          <w:color w:val="auto"/>
        </w:rPr>
        <w:t>Under the 2016 Employee Stock Purchase Plan, the Company is authorized to issue 1.8 shares of common stock. The plan permits substantially all U.S. employees to purchase a limited number of shares of Company stock at 85% of market value. The Company issues shares to participating employees semi-annually in January and July of each year. Approximately 0.3, 0.2 and 0.2 shares were purchased by eligible employees in 2020, 2019 and 2018, respectively. For 2020, 2019 and 2018, expense related to the Company’s employee stock purchase plan was $10.3, $9.9 and $8.0, respectively.</w:t>
      </w:r>
    </w:p>
    <w:p>
      <w:pPr>
        <w:spacing w:after="0" w:line="63" w:lineRule="exact"/>
        <w:rPr>
          <w:sz w:val="20"/>
          <w:szCs w:val="20"/>
          <w:color w:val="auto"/>
        </w:rPr>
      </w:pPr>
    </w:p>
    <w:p>
      <w:pPr>
        <w:jc w:val="both"/>
        <w:ind w:right="20" w:firstLine="283"/>
        <w:spacing w:after="0" w:line="277" w:lineRule="auto"/>
        <w:rPr>
          <w:sz w:val="20"/>
          <w:szCs w:val="20"/>
          <w:color w:val="auto"/>
        </w:rPr>
      </w:pPr>
      <w:r>
        <w:rPr>
          <w:rFonts w:ascii="Arial" w:cs="Arial" w:eastAsia="Arial" w:hAnsi="Arial"/>
          <w:sz w:val="18"/>
          <w:szCs w:val="18"/>
          <w:color w:val="auto"/>
        </w:rPr>
        <w:t>The Company uses the Black-Scholes model to calculate the fair value of the employee’s purchase right. The fair value of the employee’s purchase right and the assumptions used in its calculation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the employee’s purchase right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34.43</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Valuation assumptions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CONTINGENT LIABILITIES</w:t>
      </w:r>
    </w:p>
    <w:p>
      <w:pPr>
        <w:spacing w:after="0" w:line="148" w:lineRule="exact"/>
        <w:rPr>
          <w:sz w:val="20"/>
          <w:szCs w:val="20"/>
          <w:color w:val="auto"/>
        </w:rPr>
      </w:pPr>
    </w:p>
    <w:p>
      <w:pPr>
        <w:jc w:val="both"/>
        <w:ind w:firstLine="283"/>
        <w:spacing w:after="0" w:line="271"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283"/>
        <w:spacing w:after="0" w:line="279"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 Such claims are an inevitable part of doing business in the healthcare field today.</w:t>
      </w:r>
    </w:p>
    <w:p>
      <w:pPr>
        <w:spacing w:after="0" w:line="90" w:lineRule="exact"/>
        <w:rPr>
          <w:sz w:val="20"/>
          <w:szCs w:val="20"/>
          <w:color w:val="auto"/>
        </w:rPr>
      </w:pPr>
    </w:p>
    <w:p>
      <w:pPr>
        <w:jc w:val="both"/>
        <w:ind w:firstLine="283"/>
        <w:spacing w:after="0" w:line="293" w:lineRule="auto"/>
        <w:rPr>
          <w:sz w:val="20"/>
          <w:szCs w:val="20"/>
          <w:color w:val="auto"/>
        </w:rPr>
      </w:pPr>
      <w:r>
        <w:rPr>
          <w:rFonts w:ascii="Arial" w:cs="Arial" w:eastAsia="Arial" w:hAnsi="Arial"/>
          <w:sz w:val="16"/>
          <w:szCs w:val="16"/>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8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outcomes will have a material adverse effect on the Company's financial condition, though the outcomes could be material to the Company's operating results or cash flows for any particular period, depending, in part, upon the operating results for such period.</w:t>
      </w:r>
    </w:p>
    <w:p>
      <w:pPr>
        <w:spacing w:after="0" w:line="97" w:lineRule="exact"/>
        <w:rPr>
          <w:sz w:val="20"/>
          <w:szCs w:val="20"/>
          <w:color w:val="auto"/>
        </w:rPr>
      </w:pPr>
    </w:p>
    <w:p>
      <w:pPr>
        <w:jc w:val="both"/>
        <w:ind w:firstLine="283"/>
        <w:spacing w:after="0" w:line="269" w:lineRule="auto"/>
        <w:rPr>
          <w:sz w:val="20"/>
          <w:szCs w:val="20"/>
          <w:color w:val="auto"/>
        </w:rPr>
      </w:pPr>
      <w:r>
        <w:rPr>
          <w:rFonts w:ascii="Arial" w:cs="Arial" w:eastAsia="Arial" w:hAnsi="Arial"/>
          <w:sz w:val="17"/>
          <w:szCs w:val="17"/>
          <w:color w:val="auto"/>
        </w:rPr>
        <w:t xml:space="preserve">As previously reported, the Company responded to an October 2007 subpoena from the U.S. Department of Health &amp; Human Services Office of Inspector General's regional office in New York. On August 17, 2011, the U.S. District Court for the Southern District of New York unsealed a False Claims Act lawsuit, </w:t>
      </w:r>
      <w:r>
        <w:rPr>
          <w:rFonts w:ascii="Arial" w:cs="Arial" w:eastAsia="Arial" w:hAnsi="Arial"/>
          <w:sz w:val="17"/>
          <w:szCs w:val="17"/>
          <w:i w:val="1"/>
          <w:iCs w:val="1"/>
          <w:color w:val="auto"/>
        </w:rPr>
        <w:t>United States of America ex rel. NPT Associates v. Laboratory Corporation of America Holdings</w:t>
      </w:r>
      <w:r>
        <w:rPr>
          <w:rFonts w:ascii="Arial" w:cs="Arial" w:eastAsia="Arial" w:hAnsi="Arial"/>
          <w:sz w:val="17"/>
          <w:szCs w:val="17"/>
          <w:color w:val="auto"/>
        </w:rPr>
        <w:t>, which alleges that the Company offered UnitedHealthcare 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Neither the U.S. government nor any state government has intervened in the lawsuit.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reviews the amended complaint. The Court granted the motion and vacated the briefing dates. Plaintiff then filed the Amended Complaint under seal. The Company will vigorously defend the lawsuit.</w:t>
      </w:r>
    </w:p>
    <w:p>
      <w:pPr>
        <w:spacing w:after="0" w:line="91" w:lineRule="exact"/>
        <w:rPr>
          <w:sz w:val="20"/>
          <w:szCs w:val="20"/>
          <w:color w:val="auto"/>
        </w:rPr>
      </w:pPr>
    </w:p>
    <w:p>
      <w:pPr>
        <w:jc w:val="both"/>
        <w:ind w:firstLine="283"/>
        <w:spacing w:after="0" w:line="244" w:lineRule="auto"/>
        <w:rPr>
          <w:sz w:val="20"/>
          <w:szCs w:val="20"/>
          <w:color w:val="auto"/>
        </w:rPr>
      </w:pPr>
      <w:r>
        <w:rPr>
          <w:rFonts w:ascii="Arial" w:cs="Arial" w:eastAsia="Arial" w:hAnsi="Arial"/>
          <w:sz w:val="17"/>
          <w:szCs w:val="17"/>
          <w:color w:val="auto"/>
        </w:rPr>
        <w:t xml:space="preserve">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Petition was pending under seal in the District Court, 250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Judicial District, Travis County, Texas, and that the State of Texas has intervened. The petition remains under seal. If the petition is unsealed and served upon the Company, the Company will vigorously defend the lawsuit.</w:t>
      </w:r>
    </w:p>
    <w:p>
      <w:pPr>
        <w:spacing w:after="0" w:line="93"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 xml:space="preserve">On August 31, 2015, the Company was served with a putative class action lawsuit, </w:t>
      </w:r>
      <w:r>
        <w:rPr>
          <w:rFonts w:ascii="Arial" w:cs="Arial" w:eastAsia="Arial" w:hAnsi="Arial"/>
          <w:sz w:val="16"/>
          <w:szCs w:val="16"/>
          <w:i w:val="1"/>
          <w:iCs w:val="1"/>
          <w:color w:val="auto"/>
        </w:rPr>
        <w:t>Patty Davis v. Laboratory Corporation of America, et al.,</w:t>
      </w:r>
      <w:r>
        <w:rPr>
          <w:rFonts w:ascii="Arial" w:cs="Arial" w:eastAsia="Arial" w:hAnsi="Arial"/>
          <w:sz w:val="16"/>
          <w:szCs w:val="16"/>
          <w:color w:val="auto"/>
        </w:rPr>
        <w:t xml:space="preserve">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Judgment on the Pleadings. The Plaintiff appealed the Circuit Court’s ruling to the Florida Second District Court of Appeal. On October 16, 2019, the Court of Appeal reversed the Circuit Court’s dismissal, but certified a controlling issue of Florida law to the Florida Supreme Court. On February 17, 2020, the Florida Supreme Court accepted jurisdiction of the lawsuit. The Court held oral arguments on December 9, 2020. The Company will vigorously defend the lawsuit.</w:t>
      </w:r>
    </w:p>
    <w:p>
      <w:pPr>
        <w:spacing w:after="0" w:line="10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In December 2014, the Company received a Civil Investigative Demand issued pursuant to the U.S. False Claims Act from the U.S. Attorney's Office for South Carolina, which requested information regarding alleged remuneration and services provided by the Company to physicians who also received draw and processing/handling fees from competitor laboratories Health Diagnostic Laboratory, Inc. (HDL) and Singulex, Inc. (Singulex). The Company cooperated with the request. On April 4, 2018, the U.S. District Court for the District of South Carolina, Beaufort Division, unsealed a False Claims Act lawsuit, </w:t>
      </w:r>
      <w:r>
        <w:rPr>
          <w:rFonts w:ascii="Arial" w:cs="Arial" w:eastAsia="Arial" w:hAnsi="Arial"/>
          <w:sz w:val="16"/>
          <w:szCs w:val="16"/>
          <w:i w:val="1"/>
          <w:iCs w:val="1"/>
          <w:color w:val="auto"/>
        </w:rPr>
        <w:t>United States of America ex rel. Scarlett Lutz, et al. v. Laboratory Corporation of America Holdings</w:t>
      </w:r>
      <w:r>
        <w:rPr>
          <w:rFonts w:ascii="Arial" w:cs="Arial" w:eastAsia="Arial" w:hAnsi="Arial"/>
          <w:sz w:val="16"/>
          <w:szCs w:val="16"/>
          <w:color w:val="auto"/>
        </w:rPr>
        <w:t>, which alleges that the Company's financial relationships with referring physicians violate federal and state anti-kickback statutes. The Plaintiffs' Fourth Amended Complaint further alleges that the Company conspired with HDL and Singulex in violation of the Federal False Claims Act and the California and Illinois insurance fraud prevention acts by facilitating HDL's and Singulex's offers of illegal inducements to physicians and the referral of patients to HDL and Singulex for laboratory testing. The lawsuit seeks actual and treble damages and civil penalties for each alleged false claim, as well as recovery of costs, attorney's fees, and legal expenses. Neither the U.S. government nor any state government has intervened in the lawsuit. The Company filed a Motion to Dismiss seeking the dismissal of the claims asserted under the California and Illinois insurance fraud prevention statutes, the conspiracy claim, the reverse False Claims Act claim, and all claims based on the theory that the Company performed medically unnecessary testing. On January 16, 2019, the Court entered an order granting in part and denying in part the Motion to Dismiss. The Court dismissed the Plaintiffs' claims based on the theory that the Company performed medically unnecessary testing, the claims asserted under the California and Illinois insurance fraud prevention statutes, and the reverse False Claims Act claim. The Court denied the Motion to Dismiss as to the conspiracy claim. The Company will vigorously defend the lawsuit.</w:t>
      </w:r>
    </w:p>
    <w:p>
      <w:pPr>
        <w:spacing w:after="0" w:line="73"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Prior to the Company's acquisition of Sequenom, Inc. (Sequenom) between August 15, 2016 and August 24, 2016, six putative class-action lawsuits were filed on behalf of purported Sequenom stockholders (captioned </w:t>
      </w:r>
      <w:r>
        <w:rPr>
          <w:rFonts w:ascii="Arial" w:cs="Arial" w:eastAsia="Arial" w:hAnsi="Arial"/>
          <w:sz w:val="16"/>
          <w:szCs w:val="16"/>
          <w:i w:val="1"/>
          <w:iCs w:val="1"/>
          <w:color w:val="auto"/>
        </w:rPr>
        <w:t>Malkoff v. Sequenom, Inc., et al.,</w:t>
      </w:r>
      <w:r>
        <w:rPr>
          <w:rFonts w:ascii="Arial" w:cs="Arial" w:eastAsia="Arial" w:hAnsi="Arial"/>
          <w:sz w:val="16"/>
          <w:szCs w:val="16"/>
          <w:color w:val="auto"/>
        </w:rPr>
        <w:t xml:space="preserve"> No. 16-cv-02054- JAH-BLM</w:t>
      </w:r>
      <w:r>
        <w:rPr>
          <w:rFonts w:ascii="Arial" w:cs="Arial" w:eastAsia="Arial" w:hAnsi="Arial"/>
          <w:sz w:val="16"/>
          <w:szCs w:val="16"/>
          <w:i w:val="1"/>
          <w:iCs w:val="1"/>
          <w:color w:val="auto"/>
        </w:rPr>
        <w:t>, Gupta v. Sequenom,</w:t>
      </w:r>
      <w:r>
        <w:rPr>
          <w:rFonts w:ascii="Arial" w:cs="Arial" w:eastAsia="Arial" w:hAnsi="Arial"/>
          <w:sz w:val="16"/>
          <w:szCs w:val="16"/>
          <w:color w:val="auto"/>
        </w:rPr>
        <w:t xml:space="preserve"> </w:t>
      </w:r>
      <w:r>
        <w:rPr>
          <w:rFonts w:ascii="Arial" w:cs="Arial" w:eastAsia="Arial" w:hAnsi="Arial"/>
          <w:sz w:val="16"/>
          <w:szCs w:val="16"/>
          <w:i w:val="1"/>
          <w:iCs w:val="1"/>
          <w:color w:val="auto"/>
        </w:rPr>
        <w:t>Inc., et al</w:t>
      </w:r>
      <w:r>
        <w:rPr>
          <w:rFonts w:ascii="Arial" w:cs="Arial" w:eastAsia="Arial" w:hAnsi="Arial"/>
          <w:sz w:val="16"/>
          <w:szCs w:val="16"/>
          <w:color w:val="auto"/>
        </w:rPr>
        <w:t>., No. 16-cv-02084-JAH-KSC,</w:t>
      </w:r>
      <w:r>
        <w:rPr>
          <w:rFonts w:ascii="Arial" w:cs="Arial" w:eastAsia="Arial" w:hAnsi="Arial"/>
          <w:sz w:val="16"/>
          <w:szCs w:val="16"/>
          <w:i w:val="1"/>
          <w:iCs w:val="1"/>
          <w:color w:val="auto"/>
        </w:rPr>
        <w:t xml:space="preserve"> Fruchter v. Sequenom, Inc., et al</w:t>
      </w:r>
      <w:r>
        <w:rPr>
          <w:rFonts w:ascii="Arial" w:cs="Arial" w:eastAsia="Arial" w:hAnsi="Arial"/>
          <w:sz w:val="16"/>
          <w:szCs w:val="16"/>
          <w:color w:val="auto"/>
        </w:rPr>
        <w:t>., No. 16-cv-02101- WQH-KSC,</w:t>
      </w:r>
      <w:r>
        <w:rPr>
          <w:rFonts w:ascii="Arial" w:cs="Arial" w:eastAsia="Arial" w:hAnsi="Arial"/>
          <w:sz w:val="16"/>
          <w:szCs w:val="16"/>
          <w:i w:val="1"/>
          <w:iCs w:val="1"/>
          <w:color w:val="auto"/>
        </w:rPr>
        <w:t xml:space="preserve"> Asiatrade Development Ltd. v. Sequenom, Inc., et al.</w:t>
      </w:r>
      <w:r>
        <w:rPr>
          <w:rFonts w:ascii="Arial" w:cs="Arial" w:eastAsia="Arial" w:hAnsi="Arial"/>
          <w:sz w:val="16"/>
          <w:szCs w:val="16"/>
          <w:color w:val="auto"/>
        </w:rPr>
        <w:t>, No. 16-cv-02113-AJB-JMA,</w:t>
      </w:r>
      <w:r>
        <w:rPr>
          <w:rFonts w:ascii="Arial" w:cs="Arial" w:eastAsia="Arial" w:hAnsi="Arial"/>
          <w:sz w:val="16"/>
          <w:szCs w:val="16"/>
          <w:i w:val="1"/>
          <w:iCs w:val="1"/>
          <w:color w:val="auto"/>
        </w:rPr>
        <w:t xml:space="preserve"> Nunes v. Sequenom, Inc., et al.</w:t>
      </w:r>
      <w:r>
        <w:rPr>
          <w:rFonts w:ascii="Arial" w:cs="Arial" w:eastAsia="Arial" w:hAnsi="Arial"/>
          <w:sz w:val="16"/>
          <w:szCs w:val="16"/>
          <w:color w:val="auto"/>
        </w:rPr>
        <w:t>, No. 16-cv-02128-AJB-MDD, and</w:t>
      </w:r>
      <w:r>
        <w:rPr>
          <w:rFonts w:ascii="Arial" w:cs="Arial" w:eastAsia="Arial" w:hAnsi="Arial"/>
          <w:sz w:val="16"/>
          <w:szCs w:val="16"/>
          <w:i w:val="1"/>
          <w:iCs w:val="1"/>
          <w:color w:val="auto"/>
        </w:rPr>
        <w:t xml:space="preserve"> Cusumano v. Sequenom, Inc., et al.</w:t>
      </w:r>
      <w:r>
        <w:rPr>
          <w:rFonts w:ascii="Arial" w:cs="Arial" w:eastAsia="Arial" w:hAnsi="Arial"/>
          <w:sz w:val="16"/>
          <w:szCs w:val="16"/>
          <w:color w:val="auto"/>
        </w:rPr>
        <w:t xml:space="preserve">, No. 16-cv-02134-LAB-JMA) in the U.S. District Court for the Southern District of California challenging the acquisition transaction. The complaints asserted claims against Sequenom and members of its board of directors (the Individual Defendants). The </w:t>
      </w:r>
      <w:r>
        <w:rPr>
          <w:rFonts w:ascii="Arial" w:cs="Arial" w:eastAsia="Arial" w:hAnsi="Arial"/>
          <w:sz w:val="16"/>
          <w:szCs w:val="16"/>
          <w:i w:val="1"/>
          <w:iCs w:val="1"/>
          <w:color w:val="auto"/>
        </w:rPr>
        <w:t>Nunes</w:t>
      </w:r>
      <w:r>
        <w:rPr>
          <w:rFonts w:ascii="Arial" w:cs="Arial" w:eastAsia="Arial" w:hAnsi="Arial"/>
          <w:sz w:val="16"/>
          <w:szCs w:val="16"/>
          <w:color w:val="auto"/>
        </w:rPr>
        <w:t xml:space="preserve"> action also named the Company and Savoy Acquisition Corp. (Savoy), a wholly owned subsidiary of the Company, as defendants. The complaints alleged that the defendants violated Sections 14(e), 14(d)(4) and 20 of the Securities Exchange Act of 1934 by failing to disclose certain allegedly material information. In addition, the complaints in the </w:t>
      </w:r>
      <w:r>
        <w:rPr>
          <w:rFonts w:ascii="Arial" w:cs="Arial" w:eastAsia="Arial" w:hAnsi="Arial"/>
          <w:sz w:val="16"/>
          <w:szCs w:val="16"/>
          <w:i w:val="1"/>
          <w:iCs w:val="1"/>
          <w:color w:val="auto"/>
        </w:rPr>
        <w:t>Malkoff</w:t>
      </w:r>
      <w:r>
        <w:rPr>
          <w:rFonts w:ascii="Arial" w:cs="Arial" w:eastAsia="Arial" w:hAnsi="Arial"/>
          <w:sz w:val="16"/>
          <w:szCs w:val="16"/>
          <w:color w:val="auto"/>
        </w:rPr>
        <w:t xml:space="preserve"> action, the </w:t>
      </w:r>
      <w:r>
        <w:rPr>
          <w:rFonts w:ascii="Arial" w:cs="Arial" w:eastAsia="Arial" w:hAnsi="Arial"/>
          <w:sz w:val="16"/>
          <w:szCs w:val="16"/>
          <w:i w:val="1"/>
          <w:iCs w:val="1"/>
          <w:color w:val="auto"/>
        </w:rPr>
        <w:t xml:space="preserve">Asiatrade </w:t>
      </w:r>
      <w:r>
        <w:rPr>
          <w:rFonts w:ascii="Arial" w:cs="Arial" w:eastAsia="Arial" w:hAnsi="Arial"/>
          <w:sz w:val="16"/>
          <w:szCs w:val="16"/>
          <w:color w:val="auto"/>
        </w:rPr>
        <w:t>action, and the</w:t>
      </w:r>
      <w:r>
        <w:rPr>
          <w:rFonts w:ascii="Arial" w:cs="Arial" w:eastAsia="Arial" w:hAnsi="Arial"/>
          <w:sz w:val="16"/>
          <w:szCs w:val="16"/>
          <w:i w:val="1"/>
          <w:iCs w:val="1"/>
          <w:color w:val="auto"/>
        </w:rPr>
        <w:t xml:space="preserve"> Cusumano </w:t>
      </w:r>
      <w:r>
        <w:rPr>
          <w:rFonts w:ascii="Arial" w:cs="Arial" w:eastAsia="Arial" w:hAnsi="Arial"/>
          <w:sz w:val="16"/>
          <w:szCs w:val="16"/>
          <w:color w:val="auto"/>
        </w:rPr>
        <w:t>action alleged that the Individual Defendants breached their fiduciary duties to Sequenom shareholders. The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sought, among other things, injunctive relief enjoining the merger. On August 30, 2016, the parties entered into a Memorandum of Understanding (MOU) in each of the above-referenced actions. On September 6, 2016, the Court entered an order consolidating for all pre-trial purposes the six individual actions described above under the caption </w:t>
      </w:r>
      <w:r>
        <w:rPr>
          <w:rFonts w:ascii="Arial" w:cs="Arial" w:eastAsia="Arial" w:hAnsi="Arial"/>
          <w:sz w:val="16"/>
          <w:szCs w:val="16"/>
          <w:i w:val="1"/>
          <w:iCs w:val="1"/>
          <w:color w:val="auto"/>
        </w:rPr>
        <w:t>In re Sequenom, Inc. Shareholder Litig.</w:t>
      </w:r>
      <w:r>
        <w:rPr>
          <w:rFonts w:ascii="Arial" w:cs="Arial" w:eastAsia="Arial" w:hAnsi="Arial"/>
          <w:sz w:val="16"/>
          <w:szCs w:val="16"/>
          <w:color w:val="auto"/>
        </w:rPr>
        <w:t xml:space="preserve">, Lead Case No. 16-cv-02054-JAH-BLM, and designating the complaint from the </w:t>
      </w:r>
      <w:r>
        <w:rPr>
          <w:rFonts w:ascii="Arial" w:cs="Arial" w:eastAsia="Arial" w:hAnsi="Arial"/>
          <w:sz w:val="16"/>
          <w:szCs w:val="16"/>
          <w:i w:val="1"/>
          <w:iCs w:val="1"/>
          <w:color w:val="auto"/>
        </w:rPr>
        <w:t xml:space="preserve">Malkoff </w:t>
      </w:r>
      <w:r>
        <w:rPr>
          <w:rFonts w:ascii="Arial" w:cs="Arial" w:eastAsia="Arial" w:hAnsi="Arial"/>
          <w:sz w:val="16"/>
          <w:szCs w:val="16"/>
          <w:color w:val="auto"/>
        </w:rPr>
        <w:t>action as the operative complaint for the consolidated action. On November 11, 2016, two competing motions were filed by two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stockholders (James Reilly and Shikha Gupta) seeking appointment as lead plaintiff under the terms of the Private Securities Litigation Reform Act of 1995. On June 7, 2017, the Court entered an order declaring Mr. Reilly as the lead plaintiff and approving Mr. Reilly's selection of lead counsel. The parties agree that the MOU has been terminated. The Plaintiffs filed a Consolidated Amended Class Action Complaint on July 24, 2017, and the Defendants filed a Motion to Dismiss, which remains pending. On March 13, 2019, the Court stayed the action in its entirety pending the U.S. Supreme Court's anticipated decision in </w:t>
      </w:r>
      <w:r>
        <w:rPr>
          <w:rFonts w:ascii="Arial" w:cs="Arial" w:eastAsia="Arial" w:hAnsi="Arial"/>
          <w:sz w:val="16"/>
          <w:szCs w:val="16"/>
          <w:i w:val="1"/>
          <w:iCs w:val="1"/>
          <w:color w:val="auto"/>
        </w:rPr>
        <w:t>Emulex Corp. v. Varjabedian</w:t>
      </w:r>
      <w:r>
        <w:rPr>
          <w:rFonts w:ascii="Arial" w:cs="Arial" w:eastAsia="Arial" w:hAnsi="Arial"/>
          <w:sz w:val="16"/>
          <w:szCs w:val="16"/>
          <w:color w:val="auto"/>
        </w:rPr>
        <w:t xml:space="preserve">. On April 23, 2019, however, the U.S. Supreme Court dismissed the writ of certiorari in </w:t>
      </w:r>
      <w:r>
        <w:rPr>
          <w:rFonts w:ascii="Arial" w:cs="Arial" w:eastAsia="Arial" w:hAnsi="Arial"/>
          <w:sz w:val="16"/>
          <w:szCs w:val="16"/>
          <w:i w:val="1"/>
          <w:iCs w:val="1"/>
          <w:color w:val="auto"/>
        </w:rPr>
        <w:t>Emulex</w:t>
      </w:r>
      <w:r>
        <w:rPr>
          <w:rFonts w:ascii="Arial" w:cs="Arial" w:eastAsia="Arial" w:hAnsi="Arial"/>
          <w:sz w:val="16"/>
          <w:szCs w:val="16"/>
          <w:color w:val="auto"/>
        </w:rPr>
        <w:t xml:space="preserve"> as improvidently granted. The Company will vigorously defend the lawsuit.</w:t>
      </w:r>
    </w:p>
    <w:p>
      <w:pPr>
        <w:spacing w:after="0" w:line="29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March 10, 2017, the Company was served with a putative class action lawsuit, </w:t>
      </w:r>
      <w:r>
        <w:rPr>
          <w:rFonts w:ascii="Arial" w:cs="Arial" w:eastAsia="Arial" w:hAnsi="Arial"/>
          <w:sz w:val="17"/>
          <w:szCs w:val="17"/>
          <w:i w:val="1"/>
          <w:iCs w:val="1"/>
          <w:color w:val="auto"/>
        </w:rPr>
        <w:t>Victoria Bouffard, et al. v. Laboratory Corporation of America</w:t>
      </w:r>
      <w:r>
        <w:rPr>
          <w:rFonts w:ascii="Arial" w:cs="Arial" w:eastAsia="Arial" w:hAnsi="Arial"/>
          <w:sz w:val="17"/>
          <w:szCs w:val="17"/>
          <w:color w:val="auto"/>
        </w:rPr>
        <w:t xml:space="preserve"> </w:t>
      </w:r>
      <w:r>
        <w:rPr>
          <w:rFonts w:ascii="Arial" w:cs="Arial" w:eastAsia="Arial" w:hAnsi="Arial"/>
          <w:sz w:val="17"/>
          <w:szCs w:val="17"/>
          <w:i w:val="1"/>
          <w:iCs w:val="1"/>
          <w:color w:val="auto"/>
        </w:rPr>
        <w:t>Holdings</w:t>
      </w:r>
      <w:r>
        <w:rPr>
          <w:rFonts w:ascii="Arial" w:cs="Arial" w:eastAsia="Arial" w:hAnsi="Arial"/>
          <w:sz w:val="17"/>
          <w:szCs w:val="17"/>
          <w:color w:val="auto"/>
        </w:rPr>
        <w:t>, filed in the U.S. District Court for the Middle District of North Carolina. The complaint alleges that the Company's patient list prices unlawfully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Arial" w:cs="Arial" w:eastAsia="Arial" w:hAnsi="Arial"/>
          <w:sz w:val="17"/>
          <w:szCs w:val="17"/>
          <w:i w:val="1"/>
          <w:iCs w:val="1"/>
          <w:color w:val="auto"/>
        </w:rPr>
        <w:t>Sheryl</w:t>
      </w:r>
      <w:r>
        <w:rPr>
          <w:rFonts w:ascii="Arial" w:cs="Arial" w:eastAsia="Arial" w:hAnsi="Arial"/>
          <w:sz w:val="17"/>
          <w:szCs w:val="17"/>
          <w:color w:val="auto"/>
        </w:rPr>
        <w:t xml:space="preserve"> </w:t>
      </w:r>
      <w:r>
        <w:rPr>
          <w:rFonts w:ascii="Arial" w:cs="Arial" w:eastAsia="Arial" w:hAnsi="Arial"/>
          <w:sz w:val="17"/>
          <w:szCs w:val="17"/>
          <w:i w:val="1"/>
          <w:iCs w:val="1"/>
          <w:color w:val="auto"/>
        </w:rPr>
        <w:t>Anderson, et al. v. Laboratory Corporation of America Holdings</w:t>
      </w:r>
      <w:r>
        <w:rPr>
          <w:rFonts w:ascii="Arial" w:cs="Arial" w:eastAsia="Arial" w:hAnsi="Arial"/>
          <w:sz w:val="17"/>
          <w:szCs w:val="17"/>
          <w:color w:val="auto"/>
        </w:rPr>
        <w:t>, was filed in the U.S. District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Court for the Middle District of North Carolina. The complaint contained similar allegations and sought similar relief to the </w:t>
      </w:r>
      <w:r>
        <w:rPr>
          <w:rFonts w:ascii="Arial" w:cs="Arial" w:eastAsia="Arial" w:hAnsi="Arial"/>
          <w:sz w:val="18"/>
          <w:szCs w:val="18"/>
          <w:i w:val="1"/>
          <w:iCs w:val="1"/>
          <w:color w:val="auto"/>
        </w:rPr>
        <w:t>Bouffard</w:t>
      </w:r>
      <w:r>
        <w:rPr>
          <w:rFonts w:ascii="Arial" w:cs="Arial" w:eastAsia="Arial" w:hAnsi="Arial"/>
          <w:sz w:val="18"/>
          <w:szCs w:val="18"/>
          <w:color w:val="auto"/>
        </w:rPr>
        <w:t xml:space="preserve"> complaint, and added additional counts regarding state consumer protection laws. On August 10, 2018, the Plaintiffs filed an Amended Complaint, which consolidated the </w:t>
      </w:r>
      <w:r>
        <w:rPr>
          <w:rFonts w:ascii="Arial" w:cs="Arial" w:eastAsia="Arial" w:hAnsi="Arial"/>
          <w:sz w:val="18"/>
          <w:szCs w:val="18"/>
          <w:i w:val="1"/>
          <w:iCs w:val="1"/>
          <w:color w:val="auto"/>
        </w:rPr>
        <w:t xml:space="preserve">Bouffard </w:t>
      </w:r>
      <w:r>
        <w:rPr>
          <w:rFonts w:ascii="Arial" w:cs="Arial" w:eastAsia="Arial" w:hAnsi="Arial"/>
          <w:sz w:val="18"/>
          <w:szCs w:val="18"/>
          <w:color w:val="auto"/>
        </w:rPr>
        <w:t>and</w:t>
      </w:r>
      <w:r>
        <w:rPr>
          <w:rFonts w:ascii="Arial" w:cs="Arial" w:eastAsia="Arial" w:hAnsi="Arial"/>
          <w:sz w:val="18"/>
          <w:szCs w:val="18"/>
          <w:i w:val="1"/>
          <w:iCs w:val="1"/>
          <w:color w:val="auto"/>
        </w:rPr>
        <w:t xml:space="preserve"> Anderson </w:t>
      </w:r>
      <w:r>
        <w:rPr>
          <w:rFonts w:ascii="Arial" w:cs="Arial" w:eastAsia="Arial" w:hAnsi="Arial"/>
          <w:sz w:val="18"/>
          <w:szCs w:val="18"/>
          <w:color w:val="auto"/>
        </w:rPr>
        <w:t>actions. On September 10, 2018, the Company filed a Motion to Dismiss Plaintiffs' Amended Complaint and Strike Class</w:t>
      </w:r>
      <w:r>
        <w:rPr>
          <w:rFonts w:ascii="Arial" w:cs="Arial" w:eastAsia="Arial" w:hAnsi="Arial"/>
          <w:sz w:val="18"/>
          <w:szCs w:val="18"/>
          <w:i w:val="1"/>
          <w:iCs w:val="1"/>
          <w:color w:val="auto"/>
        </w:rPr>
        <w:t xml:space="preserve"> </w:t>
      </w:r>
      <w:r>
        <w:rPr>
          <w:rFonts w:ascii="Arial" w:cs="Arial" w:eastAsia="Arial" w:hAnsi="Arial"/>
          <w:sz w:val="18"/>
          <w:szCs w:val="18"/>
          <w:color w:val="auto"/>
        </w:rPr>
        <w:t>Allegations. On August 16, 2019, the Court entered an order granting in part and denying in part the Motion to Dismiss the Amended Complaint, and denying the Motion to Strike the Class Allegations. The Company will vigorously defend the lawsuit.</w:t>
      </w:r>
    </w:p>
    <w:p>
      <w:pPr>
        <w:spacing w:after="0" w:line="10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71" w:lineRule="exact"/>
        <w:rPr>
          <w:sz w:val="20"/>
          <w:szCs w:val="20"/>
          <w:color w:val="auto"/>
        </w:rPr>
      </w:pPr>
    </w:p>
    <w:p>
      <w:pPr>
        <w:jc w:val="both"/>
        <w:ind w:firstLine="283"/>
        <w:spacing w:after="0" w:line="286" w:lineRule="auto"/>
        <w:rPr>
          <w:sz w:val="20"/>
          <w:szCs w:val="20"/>
          <w:color w:val="auto"/>
        </w:rPr>
      </w:pPr>
      <w:r>
        <w:rPr>
          <w:rFonts w:ascii="Arial" w:cs="Arial" w:eastAsia="Arial" w:hAnsi="Arial"/>
          <w:sz w:val="16"/>
          <w:szCs w:val="16"/>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will be provided free of charge for 24 months.</w:t>
      </w:r>
    </w:p>
    <w:p>
      <w:pPr>
        <w:spacing w:after="0" w:line="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Twenty-three putative class action lawsuits were filed against the Company related to the AMCA Incident in various U.S. District Courts. Numerous similar lawsuits have been filed against other health care providers who used AMCA. These lawsuits have been consolidated into a multidistrict litigation in the District of New Jersey. On November 15, 2019, the Plaintiffs filed a Consolidated Class Action Complaint in the U.S. District Court of New Jersey. On January 22, 2020, the Company filed Motions to Dismiss all claims. The consolidated Complaint generally alleges that the Company did not adequately protect its patients’ data and failed to timely notify those patients of the AMCA Incident. The Complaint asserts various causes of action, including but not limited to negligence, breach of implied contract, unjust enrichment, and the violation of state data protection statutes. The Complaint seeks damages on behalf of a class of all affected Company customers. The Company will vigorously defend the multi-district litigation.</w:t>
      </w:r>
    </w:p>
    <w:p>
      <w:pPr>
        <w:spacing w:after="0" w:line="8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The Company was served with a shareholder derivative lawsuit, </w:t>
      </w:r>
      <w:r>
        <w:rPr>
          <w:rFonts w:ascii="Arial" w:cs="Arial" w:eastAsia="Arial" w:hAnsi="Arial"/>
          <w:sz w:val="17"/>
          <w:szCs w:val="17"/>
          <w:i w:val="1"/>
          <w:iCs w:val="1"/>
          <w:color w:val="auto"/>
        </w:rPr>
        <w:t>Raymond Eugenio, Derivatively on Behalf of Nominal Defendant, 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v. Lance Berberian, et al.</w:t>
      </w:r>
      <w:r>
        <w:rPr>
          <w:rFonts w:ascii="Arial" w:cs="Arial" w:eastAsia="Arial" w:hAnsi="Arial"/>
          <w:sz w:val="17"/>
          <w:szCs w:val="17"/>
          <w:color w:val="auto"/>
        </w:rPr>
        <w:t>, filed in the Court of Chancery of the State of Delaware on April 23, 2020. The complaint</w:t>
      </w:r>
      <w:r>
        <w:rPr>
          <w:rFonts w:ascii="Arial" w:cs="Arial" w:eastAsia="Arial" w:hAnsi="Arial"/>
          <w:sz w:val="17"/>
          <w:szCs w:val="17"/>
          <w:i w:val="1"/>
          <w:iCs w:val="1"/>
          <w:color w:val="auto"/>
        </w:rPr>
        <w:t xml:space="preserve"> </w:t>
      </w:r>
      <w:r>
        <w:rPr>
          <w:rFonts w:ascii="Arial" w:cs="Arial" w:eastAsia="Arial" w:hAnsi="Arial"/>
          <w:sz w:val="17"/>
          <w:szCs w:val="17"/>
          <w:color w:val="auto"/>
        </w:rPr>
        <w:t>asserts 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lawsuit will be vigorously defended.</w:t>
      </w:r>
    </w:p>
    <w:p>
      <w:pPr>
        <w:spacing w:after="0" w:line="84"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92" w:lineRule="exact"/>
        <w:rPr>
          <w:sz w:val="20"/>
          <w:szCs w:val="20"/>
          <w:color w:val="auto"/>
        </w:rPr>
      </w:pPr>
    </w:p>
    <w:p>
      <w:pPr>
        <w:jc w:val="both"/>
        <w:ind w:firstLine="283"/>
        <w:spacing w:after="0" w:line="277" w:lineRule="auto"/>
        <w:rPr>
          <w:sz w:val="20"/>
          <w:szCs w:val="20"/>
          <w:color w:val="auto"/>
        </w:rPr>
      </w:pPr>
      <w:r>
        <w:rPr>
          <w:rFonts w:ascii="Arial" w:cs="Arial" w:eastAsia="Arial" w:hAnsi="Arial"/>
          <w:sz w:val="18"/>
          <w:szCs w:val="18"/>
          <w:color w:val="auto"/>
        </w:rPr>
        <w:t xml:space="preserve">Three putative class action lawsuits related to California wage and hour laws have been served on the Company. On September 21, 2018, the Company was served with a putative class action lawsuit, </w:t>
      </w:r>
      <w:r>
        <w:rPr>
          <w:rFonts w:ascii="Arial" w:cs="Arial" w:eastAsia="Arial" w:hAnsi="Arial"/>
          <w:sz w:val="18"/>
          <w:szCs w:val="18"/>
          <w:i w:val="1"/>
          <w:iCs w:val="1"/>
          <w:color w:val="auto"/>
        </w:rPr>
        <w:t>Alma Haro v. Laboratory Corporation 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America, et al</w:t>
      </w:r>
      <w:r>
        <w:rPr>
          <w:rFonts w:ascii="Arial" w:cs="Arial" w:eastAsia="Arial" w:hAnsi="Arial"/>
          <w:sz w:val="18"/>
          <w:szCs w:val="18"/>
          <w:color w:val="auto"/>
        </w:rPr>
        <w:t>., filed in the Superior Court of California, County of Los Angeles. On June 10, 2019, the Company was served with a putative class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lawsuit, </w:t>
      </w:r>
      <w:r>
        <w:rPr>
          <w:rFonts w:ascii="Arial" w:cs="Arial" w:eastAsia="Arial" w:hAnsi="Arial"/>
          <w:sz w:val="18"/>
          <w:szCs w:val="18"/>
          <w:i w:val="1"/>
          <w:iCs w:val="1"/>
          <w:color w:val="auto"/>
        </w:rPr>
        <w:t>Ignacio v. Laboratory Corporation of America</w:t>
      </w:r>
      <w:r>
        <w:rPr>
          <w:rFonts w:ascii="Arial" w:cs="Arial" w:eastAsia="Arial" w:hAnsi="Arial"/>
          <w:sz w:val="18"/>
          <w:szCs w:val="18"/>
          <w:color w:val="auto"/>
        </w:rPr>
        <w:t xml:space="preserve">, filed in Superior Court of California, County of Los Angeles. On July 1, 2019, the Company was served with a putative class action lawsuit, </w:t>
      </w:r>
      <w:r>
        <w:rPr>
          <w:rFonts w:ascii="Arial" w:cs="Arial" w:eastAsia="Arial" w:hAnsi="Arial"/>
          <w:sz w:val="18"/>
          <w:szCs w:val="18"/>
          <w:i w:val="1"/>
          <w:iCs w:val="1"/>
          <w:color w:val="auto"/>
        </w:rPr>
        <w:t>Jan v. Laboratory Corporation of America</w:t>
      </w:r>
      <w:r>
        <w:rPr>
          <w:rFonts w:ascii="Arial" w:cs="Arial" w:eastAsia="Arial" w:hAnsi="Arial"/>
          <w:sz w:val="18"/>
          <w:szCs w:val="18"/>
          <w:color w:val="auto"/>
        </w:rPr>
        <w:t>, filed in the Superior Court of California, County of Sacramento. All three lawsuits were subsequently removed to the U.S. District Court for the Central District of California, and then consolidated for all pre-trial proceedings. In the lawsuits, the Plaintiffs allege that employees were not properly paid overtime compensation, minimum wages, meal and rest break premiums, did not receive compliant wage statements, and were not properly paid wages upon termination of employment. The Plaintiffs assert these actions violate various California Labor Code provisions and constitute an unfair competition practice under California law. The lawsuits seek monetary damages, civil penalties, and recovery of attorney's fees and costs. On July 22, 2020, the Court issued an order granting preliminary approval of a settlement resolving all three lawsuits. On November 18, 2020, the Court granted final approval of the settlement and settlement proceeds have been distributed.</w:t>
      </w:r>
    </w:p>
    <w:p>
      <w:pPr>
        <w:spacing w:after="0" w:line="113" w:lineRule="exact"/>
        <w:rPr>
          <w:sz w:val="20"/>
          <w:szCs w:val="20"/>
          <w:color w:val="auto"/>
        </w:rPr>
      </w:pPr>
    </w:p>
    <w:p>
      <w:pPr>
        <w:jc w:val="both"/>
        <w:ind w:firstLine="283"/>
        <w:spacing w:after="0" w:line="296" w:lineRule="auto"/>
        <w:rPr>
          <w:sz w:val="20"/>
          <w:szCs w:val="20"/>
          <w:color w:val="auto"/>
        </w:rPr>
      </w:pPr>
      <w:r>
        <w:rPr>
          <w:rFonts w:ascii="Arial" w:cs="Arial" w:eastAsia="Arial" w:hAnsi="Arial"/>
          <w:sz w:val="16"/>
          <w:szCs w:val="16"/>
          <w:color w:val="auto"/>
        </w:rPr>
        <w:t xml:space="preserve">On January 31, 2020, the Company was served with a putative class action lawsuit, </w:t>
      </w:r>
      <w:r>
        <w:rPr>
          <w:rFonts w:ascii="Arial" w:cs="Arial" w:eastAsia="Arial" w:hAnsi="Arial"/>
          <w:sz w:val="16"/>
          <w:szCs w:val="16"/>
          <w:i w:val="1"/>
          <w:iCs w:val="1"/>
          <w:color w:val="auto"/>
        </w:rPr>
        <w:t>Luke Davis and Julian Vargas, et al.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w:t>
      </w:r>
      <w:r>
        <w:rPr>
          <w:rFonts w:ascii="Arial" w:cs="Arial" w:eastAsia="Arial" w:hAnsi="Arial"/>
          <w:sz w:val="16"/>
          <w:szCs w:val="16"/>
          <w:color w:val="auto"/>
        </w:rPr>
        <w:t>, filed in the U.S. District Court for the Central District of California. The lawsuit alleges that visually impaired patients are unable to use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The Company will vigorously defend the lawsuit.</w:t>
      </w:r>
    </w:p>
    <w:p>
      <w:pPr>
        <w:spacing w:after="0" w:line="6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On May 14, 2020, the Company was served with a putative class action lawsuit, </w:t>
      </w:r>
      <w:r>
        <w:rPr>
          <w:rFonts w:ascii="Arial" w:cs="Arial" w:eastAsia="Arial" w:hAnsi="Arial"/>
          <w:sz w:val="17"/>
          <w:szCs w:val="17"/>
          <w:i w:val="1"/>
          <w:iCs w:val="1"/>
          <w:color w:val="auto"/>
        </w:rPr>
        <w:t>Jose Bermejo v. Laboratory Corporation of America (Bermejo I)</w:t>
      </w:r>
      <w:r>
        <w:rPr>
          <w:rFonts w:ascii="Arial" w:cs="Arial" w:eastAsia="Arial" w:hAnsi="Arial"/>
          <w:sz w:val="17"/>
          <w:szCs w:val="17"/>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Arial" w:cs="Arial" w:eastAsia="Arial" w:hAnsi="Arial"/>
          <w:sz w:val="17"/>
          <w:szCs w:val="17"/>
          <w:i w:val="1"/>
          <w:iCs w:val="1"/>
          <w:color w:val="auto"/>
        </w:rPr>
        <w:t>Jose Bermejo v. Laboratory Corporation of America (Bermejo II),</w:t>
      </w:r>
      <w:r>
        <w:rPr>
          <w:rFonts w:ascii="Arial" w:cs="Arial" w:eastAsia="Arial" w:hAnsi="Arial"/>
          <w:sz w:val="17"/>
          <w:szCs w:val="17"/>
          <w:color w:val="auto"/>
        </w:rPr>
        <w:t xml:space="preserve"> filed in the Superior Court of California, County of Los Angeles Central District, alleging that certain Company practices violated California Labor Code penalty provisions related to unpaid and minimum wages, unpaid overtime, unpaid mean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Arial" w:cs="Arial" w:eastAsia="Arial" w:hAnsi="Arial"/>
          <w:sz w:val="17"/>
          <w:szCs w:val="17"/>
          <w:i w:val="1"/>
          <w:iCs w:val="1"/>
          <w:color w:val="auto"/>
        </w:rPr>
        <w:t>Bermejo II</w:t>
      </w:r>
      <w:r>
        <w:rPr>
          <w:rFonts w:ascii="Arial" w:cs="Arial" w:eastAsia="Arial" w:hAnsi="Arial"/>
          <w:sz w:val="17"/>
          <w:szCs w:val="17"/>
          <w:color w:val="auto"/>
        </w:rPr>
        <w:t xml:space="preserve"> pending resolution of </w:t>
      </w:r>
      <w:r>
        <w:rPr>
          <w:rFonts w:ascii="Arial" w:cs="Arial" w:eastAsia="Arial" w:hAnsi="Arial"/>
          <w:sz w:val="17"/>
          <w:szCs w:val="17"/>
          <w:i w:val="1"/>
          <w:iCs w:val="1"/>
          <w:color w:val="auto"/>
        </w:rPr>
        <w:t>Bermejo I</w:t>
      </w:r>
      <w:r>
        <w:rPr>
          <w:rFonts w:ascii="Arial" w:cs="Arial" w:eastAsia="Arial" w:hAnsi="Arial"/>
          <w:sz w:val="17"/>
          <w:szCs w:val="17"/>
          <w:color w:val="auto"/>
        </w:rPr>
        <w:t>. The second lawsuit seeks to recover civil penalties and recovery of attorney's fees and costs. The Company will vigorously defend both</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w:t>
      </w:r>
    </w:p>
    <w:p>
      <w:pPr>
        <w:spacing w:after="0" w:line="8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October 2, 2020, the Company was served with a putative class action lawsuit, </w:t>
      </w:r>
      <w:r>
        <w:rPr>
          <w:rFonts w:ascii="Arial" w:cs="Arial" w:eastAsia="Arial" w:hAnsi="Arial"/>
          <w:sz w:val="18"/>
          <w:szCs w:val="18"/>
          <w:i w:val="1"/>
          <w:iCs w:val="1"/>
          <w:color w:val="auto"/>
        </w:rPr>
        <w:t>Peterson v. Laboratory Corporation of America Holdings</w:t>
      </w:r>
      <w:r>
        <w:rPr>
          <w:rFonts w:ascii="Arial" w:cs="Arial" w:eastAsia="Arial" w:hAnsi="Arial"/>
          <w:sz w:val="18"/>
          <w:szCs w:val="18"/>
          <w:color w:val="auto"/>
        </w:rPr>
        <w:t>, filed in the U.S. District Court for the Northern District of New York, alleging claims for a failure to properly pay service representatives compensation for all hours worked and overtime under the Fair Labor Standards Act, as well as notice and recordkeeping claims under the New York Labor Code. The lawsuit seeks monetary damages, liquidated damages, equitable and injunctive relief, and recovery of attorney's fees and costs. The Company will vigorously defend the lawsuit.</w:t>
      </w:r>
    </w:p>
    <w:p>
      <w:pPr>
        <w:spacing w:after="0" w:line="9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October 5, 2020, the Company was served with a putative class action lawsuit, </w:t>
      </w:r>
      <w:r>
        <w:rPr>
          <w:rFonts w:ascii="Arial" w:cs="Arial" w:eastAsia="Arial" w:hAnsi="Arial"/>
          <w:sz w:val="18"/>
          <w:szCs w:val="18"/>
          <w:i w:val="1"/>
          <w:iCs w:val="1"/>
          <w:color w:val="auto"/>
        </w:rPr>
        <w:t>Williams v. Labcorp Employer Services, Inc. et al.,</w:t>
      </w:r>
      <w:r>
        <w:rPr>
          <w:rFonts w:ascii="Arial" w:cs="Arial" w:eastAsia="Arial" w:hAnsi="Arial"/>
          <w:sz w:val="18"/>
          <w:szCs w:val="18"/>
          <w:color w:val="auto"/>
        </w:rPr>
        <w:t xml:space="preserve">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The lawsuit seeks monetary damages, liquidated damages, civil penalties, and recovery of attorney's fees and costs. The Company will vigorously defend the lawsuit.</w:t>
      </w:r>
    </w:p>
    <w:p>
      <w:pPr>
        <w:spacing w:after="0" w:line="9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per-occurrence basis without any aggregate annual limit. Provisions for losses expected under these programs are recorded based upon the Company's estimates of the aggregated liability of claims incurred.</w:t>
      </w:r>
    </w:p>
    <w:p>
      <w:pPr>
        <w:spacing w:after="0" w:line="85" w:lineRule="exact"/>
        <w:rPr>
          <w:sz w:val="20"/>
          <w:szCs w:val="20"/>
          <w:color w:val="auto"/>
        </w:rPr>
      </w:pPr>
    </w:p>
    <w:p>
      <w:pPr>
        <w:ind w:right="7300" w:firstLine="8"/>
        <w:spacing w:after="0" w:line="393" w:lineRule="auto"/>
        <w:tabs>
          <w:tab w:leader="none" w:pos="31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 Defined Contribution Retirement Plans</w:t>
      </w:r>
    </w:p>
    <w:p>
      <w:pPr>
        <w:spacing w:after="0" w:line="1" w:lineRule="exact"/>
        <w:rPr>
          <w:sz w:val="20"/>
          <w:szCs w:val="20"/>
          <w:color w:val="auto"/>
        </w:rPr>
      </w:pPr>
    </w:p>
    <w:p>
      <w:pPr>
        <w:jc w:val="both"/>
        <w:ind w:firstLine="283"/>
        <w:spacing w:after="0" w:line="301" w:lineRule="auto"/>
        <w:rPr>
          <w:sz w:val="20"/>
          <w:szCs w:val="20"/>
          <w:color w:val="auto"/>
        </w:rPr>
      </w:pPr>
      <w:r>
        <w:rPr>
          <w:rFonts w:ascii="Arial" w:cs="Arial" w:eastAsia="Arial" w:hAnsi="Arial"/>
          <w:sz w:val="16"/>
          <w:szCs w:val="16"/>
          <w:color w:val="auto"/>
        </w:rPr>
        <w:t>The Company has various defined contribution retirement plans (401K Plans). Under these 401K Plans, employees can contribute a portion of their salary to the plan and the Company makes minimum non-elective contributions, discretionary contributions, and matching contributions, depending on the terms of the specific plan. On January 1, 2021, all of the 401K Plans were modified to provide for 100% match of employee contributions up to 5% of their salary. Total expense, for the years ended December 31, 2020, 2019, and 2018, was $141.8, $139.5 and $129.9,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1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sponsors both funded and unfunded defined benefit pension plans which provide benefits based on various criteria such as years of service and salary. The Company maintained two plans in the United States, three plans in the United Kingdom and one in Germany.</w:t>
      </w:r>
    </w:p>
    <w:p>
      <w:pPr>
        <w:spacing w:after="0" w:line="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two plans in the United States (U.S. Plans) were closed to new entrants and the accrual of service credits at the end of 2009. The U.K. pension plans were closed to new entrants and the accrual of service credits for one plan as of December 31, 2002, and the accrual of service credits for the other two plans as of December 31, 2019. The German plan is closed to new entrants but participants continue to accrue service credits. The U.K. and German plans are aggregated for disclosure as the Non-U.S. Plans.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Periodic Benefit Costs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the net periodic benefit costs for the defined benefit pension plans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 S. Plans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Non-U.S. Plans</w:t>
            </w:r>
          </w:p>
        </w:tc>
        <w:tc>
          <w:tcPr>
            <w:tcW w:w="1180" w:type="dxa"/>
            <w:vAlign w:val="bottom"/>
            <w:tcBorders>
              <w:bottom w:val="single" w:sz="8" w:color="auto"/>
            </w:tcBorders>
          </w:tcPr>
          <w:p>
            <w:pPr>
              <w:spacing w:after="0"/>
              <w:rPr>
                <w:sz w:val="20"/>
                <w:szCs w:val="20"/>
                <w:color w:val="auto"/>
              </w:rPr>
            </w:pPr>
          </w:p>
        </w:tc>
      </w:tr>
      <w:tr>
        <w:trPr>
          <w:trHeight w:val="237"/>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36"/>
        </w:trPr>
        <w:tc>
          <w:tcPr>
            <w:tcW w:w="3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Interest cost on benefit obligation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Net amortization and deferral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participant contributions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Defined-benefit plan costs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periodic benefit costs are recorded as a component of Operating income. For the year ended December 31, 2018, the Company recognized a partial plan settlement charge of $7.5 as a component of Other, net.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accumulated other comprehensive earnings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 S. Plans</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Non-U.S. Plans</w:t>
            </w:r>
          </w:p>
        </w:tc>
      </w:tr>
      <w:tr>
        <w:trPr>
          <w:trHeight w:val="236"/>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Year ended 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7"/>
        </w:trPr>
        <w:tc>
          <w:tcPr>
            <w:tcW w:w="5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 in accumulated other comprehensive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Projected Benefit Obligation</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 in the projected benefit obligation as of December 31, 2020, and December 31, 2019,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U.S. Plans</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Non-U.S. Plans</w:t>
            </w:r>
          </w:p>
        </w:tc>
      </w:tr>
      <w:tr>
        <w:trPr>
          <w:trHeight w:val="236"/>
        </w:trPr>
        <w:tc>
          <w:tcPr>
            <w:tcW w:w="6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color w:val="auto"/>
              </w:rPr>
              <w:t>Year Ended 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7"/>
        </w:trPr>
        <w:tc>
          <w:tcPr>
            <w:tcW w:w="6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Balance of acquired subsidiary at acquisition date</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(gain)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Benefits and administrative expenses paid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curtailment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6160" w:type="dxa"/>
            <w:vAlign w:val="bottom"/>
          </w:tcPr>
          <w:p>
            <w:pPr>
              <w:ind w:left="10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the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r>
    </w:tbl>
    <w:p>
      <w:pPr>
        <w:spacing w:after="0" w:line="13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accumulated benefit obligation as of December 31, 2020 and 2019 was $369.8 and $355.5, respectively for the U.S. Plans and $683.3 and $585.8, respectively for the Non-U.S. Plans. The increase in the projected benefit obligation for the U.S. Plans from December 31, 2019 to December 31, 2020 is primarily due to an increase of $30.8 as a result of discount rate and mortality rate changes partially offset by the net of normal plan progression and experience gains of $16.5. The increase in the projected benefit obligation for the Non-U.S. Plans from December 31, 2019 to December 31, 2020 is primarily due to an increase of $83.2 as a result of discount rate changes and an increase of $25.9 due to foreign currency exchange rate changes, partially offset by the net of normal plan progress and experience gains of $9.8.</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Fair Value of Plan Assets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 in plan assets as of December 31, 2020, and December 31, 2019,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U.S. Plans</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Non-U.S. Plans</w:t>
            </w:r>
          </w:p>
        </w:tc>
      </w:tr>
      <w:tr>
        <w:trPr>
          <w:trHeight w:val="223"/>
        </w:trPr>
        <w:tc>
          <w:tcPr>
            <w:tcW w:w="6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color w:val="auto"/>
              </w:rPr>
              <w:t>Year Ended December 31,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0"/>
        </w:trPr>
        <w:tc>
          <w:tcPr>
            <w:tcW w:w="6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beginning of the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Plan assets of acquired subsidiary at acquisition date</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168.3</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Participant contributions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Benefits and administrative expenses paid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 in Funded Status and Reconciliation of Amounts Recorded in the Balance Sheet</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 in the funded status of the plan and a reconciliation of such funded status to the amounts reported in the consolidated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December 31, 2019, is as follows:</w:t>
      </w:r>
    </w:p>
    <w:p>
      <w:pPr>
        <w:spacing w:after="0" w:line="3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color w:val="auto"/>
              </w:rPr>
              <w:t>U.S. Plans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Non-U.S. Plans</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Year Ended December 31,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30"/>
        </w:trPr>
        <w:tc>
          <w:tcPr>
            <w:tcW w:w="46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status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6"/>
        </w:trPr>
        <w:tc>
          <w:tcPr>
            <w:tcW w:w="46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260"/>
              <w:spacing w:after="0"/>
              <w:rPr>
                <w:sz w:val="20"/>
                <w:szCs w:val="20"/>
                <w:color w:val="auto"/>
              </w:rPr>
            </w:pPr>
            <w:r>
              <w:rPr>
                <w:rFonts w:ascii="Arial" w:cs="Arial" w:eastAsia="Arial" w:hAnsi="Arial"/>
                <w:sz w:val="18"/>
                <w:szCs w:val="18"/>
                <w:i w:val="1"/>
                <w:iCs w:val="1"/>
                <w:color w:val="auto"/>
              </w:rPr>
              <w:t>Assumptions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7060" w:type="dxa"/>
            <w:vAlign w:val="bottom"/>
            <w:gridSpan w:val="5"/>
          </w:tcPr>
          <w:p>
            <w:pPr>
              <w:ind w:left="300"/>
              <w:spacing w:after="0"/>
              <w:rPr>
                <w:sz w:val="20"/>
                <w:szCs w:val="20"/>
                <w:color w:val="auto"/>
              </w:rPr>
            </w:pPr>
            <w:r>
              <w:rPr>
                <w:rFonts w:ascii="Arial" w:cs="Arial" w:eastAsia="Arial" w:hAnsi="Arial"/>
                <w:sz w:val="18"/>
                <w:szCs w:val="18"/>
                <w:color w:val="auto"/>
                <w:w w:val="92"/>
              </w:rPr>
              <w:t>Weighted average assumptions used to determine net periodic benefit costs are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49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U. S. Plans</w:t>
            </w: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0"/>
              </w:rPr>
              <w:t>Non-U.S. Plans</w:t>
            </w:r>
          </w:p>
        </w:tc>
        <w:tc>
          <w:tcPr>
            <w:tcW w:w="980" w:type="dxa"/>
            <w:vAlign w:val="bottom"/>
            <w:tcBorders>
              <w:bottom w:val="single" w:sz="8" w:color="auto"/>
            </w:tcBorders>
          </w:tcPr>
          <w:p>
            <w:pPr>
              <w:spacing w:after="0"/>
              <w:rPr>
                <w:sz w:val="22"/>
                <w:szCs w:val="22"/>
                <w:color w:val="auto"/>
              </w:rPr>
            </w:pPr>
          </w:p>
        </w:tc>
      </w:tr>
      <w:tr>
        <w:trPr>
          <w:trHeight w:val="230"/>
        </w:trPr>
        <w:tc>
          <w:tcPr>
            <w:tcW w:w="49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Year ended December 31,</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49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080" w:type="dxa"/>
            <w:vAlign w:val="bottom"/>
            <w:gridSpan w:val="2"/>
          </w:tcPr>
          <w:p>
            <w:pPr>
              <w:jc w:val="right"/>
              <w:ind w:right="23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2018</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Salary increases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3.1 %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long term rate of return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Cash balance interest credit rate</w:t>
            </w:r>
          </w:p>
        </w:tc>
        <w:tc>
          <w:tcPr>
            <w:tcW w:w="9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Weighted average assumptions used to determine net periodic benefit obligations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p>
        </w:tc>
        <w:tc>
          <w:tcPr>
            <w:tcW w:w="220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color w:val="auto"/>
              </w:rPr>
              <w:t>U. S. Plans</w:t>
            </w:r>
          </w:p>
        </w:tc>
        <w:tc>
          <w:tcPr>
            <w:tcW w:w="20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Non-U.S. Plans</w:t>
            </w:r>
          </w:p>
        </w:tc>
      </w:tr>
      <w:tr>
        <w:trPr>
          <w:trHeight w:val="230"/>
        </w:trPr>
        <w:tc>
          <w:tcPr>
            <w:tcW w:w="68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w w:val="96"/>
              </w:rPr>
              <w:t>Year ended December 31,</w:t>
            </w:r>
          </w:p>
        </w:tc>
        <w:tc>
          <w:tcPr>
            <w:tcW w:w="1000" w:type="dxa"/>
            <w:vAlign w:val="bottom"/>
            <w:tcBorders>
              <w:bottom w:val="single" w:sz="8" w:color="auto"/>
            </w:tcBorders>
          </w:tcPr>
          <w:p>
            <w:pPr>
              <w:spacing w:after="0"/>
              <w:rPr>
                <w:sz w:val="20"/>
                <w:szCs w:val="20"/>
                <w:color w:val="auto"/>
              </w:rPr>
            </w:pPr>
          </w:p>
        </w:tc>
      </w:tr>
      <w:tr>
        <w:trPr>
          <w:trHeight w:val="236"/>
        </w:trPr>
        <w:tc>
          <w:tcPr>
            <w:tcW w:w="68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Salary increases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3.3 %</w:t>
            </w:r>
          </w:p>
        </w:tc>
      </w:tr>
    </w:tbl>
    <w:p>
      <w:pPr>
        <w:spacing w:after="0" w:line="120"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discount rate is determined using the weighted-average yields on high-quality fixed income securities that have maturities consistent with the timing of benefit payments. Lower discount rates increase the size of the benefit obligation and generally increase pension expense in the following year; higher discount rates reduce the size of the benefit obligation and generally reduce subsequent-year pension expense.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expected return on plan assets is the estimated long-term rate of return that will be earned on the investments used to fund the pension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determine this rate, the Company considers the composition of plan investments, historical returns earned, and expectations about the future.</w:t>
      </w:r>
    </w:p>
    <w:p>
      <w:pPr>
        <w:spacing w:after="0" w:line="128"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salary increase assumptions are used to estimate the annual rate at which pay of plan participants will grow. If the rate of growth assumed increases, the size of the pension obligations will increase, as will the amount recorded in Accumulated other comprehensive income (loss) in our consolidated Statement of Financial Position and amortized into earnings in subsequent periods.</w:t>
      </w:r>
    </w:p>
    <w:p>
      <w:pPr>
        <w:spacing w:after="0" w:line="89" w:lineRule="exact"/>
        <w:rPr>
          <w:sz w:val="20"/>
          <w:szCs w:val="20"/>
          <w:color w:val="auto"/>
        </w:rPr>
      </w:pPr>
    </w:p>
    <w:p>
      <w:pPr>
        <w:jc w:val="both"/>
        <w:ind w:right="20" w:firstLine="283"/>
        <w:spacing w:after="0" w:line="259" w:lineRule="auto"/>
        <w:rPr>
          <w:sz w:val="20"/>
          <w:szCs w:val="20"/>
          <w:color w:val="auto"/>
        </w:rPr>
      </w:pPr>
      <w:r>
        <w:rPr>
          <w:rFonts w:ascii="Arial" w:cs="Arial" w:eastAsia="Arial" w:hAnsi="Arial"/>
          <w:sz w:val="18"/>
          <w:szCs w:val="18"/>
          <w:color w:val="auto"/>
        </w:rPr>
        <w:t>The Company evaluates other assumptions periodically, such as retirement age, mortality and turnover, and updates them as necessary to reflect our actual experience and expectations for the future. Differences between actual results and assumptions utilized are recorded in Accumulated other comprehensive income each period. These differences are amortized into earnings over the remaining average future service of active participating employees or the expected life of inactive participants, as applicable.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Plan Assets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values of the assets at December 31, 2020, and 2019, by asset category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Level of Valuation</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2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Investments valued using NAV</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Category</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Input</w:t>
            </w:r>
          </w:p>
        </w:tc>
        <w:tc>
          <w:tcPr>
            <w:tcW w:w="280" w:type="dxa"/>
            <w:vAlign w:val="bottom"/>
          </w:tcPr>
          <w:p>
            <w:pPr>
              <w:spacing w:after="0"/>
              <w:rPr>
                <w:sz w:val="20"/>
                <w:szCs w:val="20"/>
                <w:color w:val="auto"/>
              </w:rPr>
            </w:pPr>
          </w:p>
        </w:tc>
        <w:tc>
          <w:tcPr>
            <w:tcW w:w="1480" w:type="dxa"/>
            <w:vAlign w:val="bottom"/>
            <w:gridSpan w:val="3"/>
          </w:tcPr>
          <w:p>
            <w:pPr>
              <w:ind w:left="180"/>
              <w:spacing w:after="0"/>
              <w:rPr>
                <w:sz w:val="20"/>
                <w:szCs w:val="20"/>
                <w:color w:val="auto"/>
              </w:rPr>
            </w:pPr>
            <w:r>
              <w:rPr>
                <w:rFonts w:ascii="Arial" w:cs="Arial" w:eastAsia="Arial" w:hAnsi="Arial"/>
                <w:sz w:val="18"/>
                <w:szCs w:val="18"/>
                <w:color w:val="auto"/>
              </w:rPr>
              <w:t>Fair Value</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per share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r>
      <w:tr>
        <w:trPr>
          <w:trHeight w:val="216"/>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U.S Plans</w:t>
            </w: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equity index funds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w:t>
            </w: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International equity index funds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9"/>
                <w:szCs w:val="19"/>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9"/>
                <w:szCs w:val="19"/>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General bond index funds</w:t>
            </w: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121.7</w:t>
            </w:r>
          </w:p>
        </w:tc>
        <w:tc>
          <w:tcPr>
            <w:tcW w:w="60" w:type="dxa"/>
            <w:vAlign w:val="bottom"/>
          </w:tcPr>
          <w:p>
            <w:pPr>
              <w:spacing w:after="0"/>
              <w:rPr>
                <w:sz w:val="20"/>
                <w:szCs w:val="20"/>
                <w:color w:val="auto"/>
              </w:rPr>
            </w:pPr>
          </w:p>
        </w:tc>
      </w:tr>
      <w:tr>
        <w:trPr>
          <w:trHeight w:val="254"/>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Non U.S. Plans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CEEFF"/>
          </w:tcPr>
          <w:p>
            <w:pPr>
              <w:spacing w:after="0"/>
              <w:rPr>
                <w:sz w:val="19"/>
                <w:szCs w:val="19"/>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Pooled investment funds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470.1</w:t>
            </w:r>
          </w:p>
        </w:tc>
        <w:tc>
          <w:tcPr>
            <w:tcW w:w="60" w:type="dxa"/>
            <w:vAlign w:val="bottom"/>
          </w:tcPr>
          <w:p>
            <w:pPr>
              <w:spacing w:after="0"/>
              <w:rPr>
                <w:sz w:val="19"/>
                <w:szCs w:val="19"/>
                <w:color w:val="auto"/>
              </w:rPr>
            </w:pPr>
          </w:p>
        </w:tc>
      </w:tr>
      <w:tr>
        <w:trPr>
          <w:trHeight w:val="248"/>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3"/>
              </w:rPr>
              <w:t>Level of Valuation</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Investments valued using NAV</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Category</w:t>
            </w: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Input</w:t>
            </w:r>
          </w:p>
        </w:tc>
        <w:tc>
          <w:tcPr>
            <w:tcW w:w="280" w:type="dxa"/>
            <w:vAlign w:val="bottom"/>
          </w:tcPr>
          <w:p>
            <w:pPr>
              <w:spacing w:after="0"/>
              <w:rPr>
                <w:sz w:val="20"/>
                <w:szCs w:val="20"/>
                <w:color w:val="auto"/>
              </w:rPr>
            </w:pPr>
          </w:p>
        </w:tc>
        <w:tc>
          <w:tcPr>
            <w:tcW w:w="1480" w:type="dxa"/>
            <w:vAlign w:val="bottom"/>
            <w:gridSpan w:val="3"/>
          </w:tcPr>
          <w:p>
            <w:pPr>
              <w:ind w:left="200"/>
              <w:spacing w:after="0"/>
              <w:rPr>
                <w:sz w:val="20"/>
                <w:szCs w:val="20"/>
                <w:color w:val="auto"/>
              </w:rPr>
            </w:pPr>
            <w:r>
              <w:rPr>
                <w:rFonts w:ascii="Arial" w:cs="Arial" w:eastAsia="Arial" w:hAnsi="Arial"/>
                <w:sz w:val="18"/>
                <w:szCs w:val="18"/>
                <w:color w:val="auto"/>
              </w:rPr>
              <w:t>Fair Value</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per share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Total</w:t>
            </w:r>
          </w:p>
        </w:tc>
      </w:tr>
      <w:tr>
        <w:trPr>
          <w:trHeight w:val="216"/>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U.S Plans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2"/>
              </w:rPr>
              <w:t>Level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equity index funds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9"/>
                <w:szCs w:val="19"/>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International equity index funds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 index fund</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General bond index funds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111.1</w:t>
            </w:r>
          </w:p>
        </w:tc>
        <w:tc>
          <w:tcPr>
            <w:tcW w:w="60" w:type="dxa"/>
            <w:vAlign w:val="bottom"/>
          </w:tcPr>
          <w:p>
            <w:pPr>
              <w:spacing w:after="0"/>
              <w:rPr>
                <w:sz w:val="19"/>
                <w:szCs w:val="19"/>
                <w:color w:val="auto"/>
              </w:rPr>
            </w:pPr>
          </w:p>
        </w:tc>
      </w:tr>
      <w:tr>
        <w:trPr>
          <w:trHeight w:val="248"/>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60" w:type="dxa"/>
            <w:vAlign w:val="bottom"/>
          </w:tcPr>
          <w:p>
            <w:pPr>
              <w:spacing w:after="0"/>
              <w:rPr>
                <w:sz w:val="21"/>
                <w:szCs w:val="2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Non U.S. Plans</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2"/>
              </w:rPr>
              <w:t>Level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Annuities</w:t>
            </w:r>
          </w:p>
        </w:tc>
        <w:tc>
          <w:tcPr>
            <w:tcW w:w="15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Pooled investment funds</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458.5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458.5</w:t>
            </w:r>
          </w:p>
        </w:tc>
        <w:tc>
          <w:tcPr>
            <w:tcW w:w="60" w:type="dxa"/>
            <w:vAlign w:val="bottom"/>
          </w:tcPr>
          <w:p>
            <w:pPr>
              <w:spacing w:after="0"/>
              <w:rPr>
                <w:sz w:val="19"/>
                <w:szCs w:val="19"/>
                <w:color w:val="auto"/>
              </w:rPr>
            </w:pPr>
          </w:p>
        </w:tc>
      </w:tr>
      <w:tr>
        <w:trPr>
          <w:trHeight w:val="230"/>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60" w:type="dxa"/>
            <w:vAlign w:val="bottom"/>
          </w:tcPr>
          <w:p>
            <w:pPr>
              <w:spacing w:after="0"/>
              <w:rPr>
                <w:sz w:val="20"/>
                <w:szCs w:val="20"/>
                <w:color w:val="auto"/>
              </w:rPr>
            </w:pPr>
          </w:p>
        </w:tc>
      </w:tr>
    </w:tbl>
    <w:p>
      <w:pPr>
        <w:jc w:val="both"/>
        <w:ind w:firstLine="243"/>
        <w:spacing w:after="0" w:line="234" w:lineRule="auto"/>
        <w:rPr>
          <w:sz w:val="20"/>
          <w:szCs w:val="20"/>
          <w:color w:val="auto"/>
        </w:rPr>
      </w:pPr>
      <w:r>
        <w:rPr>
          <w:rFonts w:ascii="Arial" w:cs="Arial" w:eastAsia="Arial" w:hAnsi="Arial"/>
          <w:sz w:val="18"/>
          <w:szCs w:val="18"/>
          <w:color w:val="auto"/>
        </w:rPr>
        <w:t>The fair market value of index funds and pooled investment funds are valued using the net asset value (NAV) unit price provided by the fund administrator. The NAV is based on the value of the underlying assets owned by the fund. The fair value of annuity investments are based on discounted cash flow techniques using unobservable valuation inputs such as discount rates and actuarial mortality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-375285</wp:posOffset>
            </wp:positionV>
            <wp:extent cx="37630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Fair Value Measurement of Level 3 Pension Assets</w:t>
            </w:r>
          </w:p>
        </w:tc>
        <w:tc>
          <w:tcPr>
            <w:tcW w:w="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Annuities</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Actual return on plan assets</w:t>
            </w:r>
          </w:p>
        </w:tc>
        <w:tc>
          <w:tcPr>
            <w:tcW w:w="5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Actual return on plan assets</w:t>
            </w:r>
          </w:p>
        </w:tc>
        <w:tc>
          <w:tcPr>
            <w:tcW w:w="5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Investment Policies</w:t>
      </w:r>
    </w:p>
    <w:p>
      <w:pPr>
        <w:spacing w:after="0" w:line="12" w:lineRule="exact"/>
        <w:rPr>
          <w:sz w:val="20"/>
          <w:szCs w:val="20"/>
          <w:color w:val="auto"/>
        </w:rPr>
      </w:pPr>
    </w:p>
    <w:p>
      <w:pPr>
        <w:jc w:val="both"/>
        <w:ind w:firstLine="283"/>
        <w:spacing w:after="0" w:line="252" w:lineRule="auto"/>
        <w:rPr>
          <w:sz w:val="20"/>
          <w:szCs w:val="20"/>
          <w:color w:val="auto"/>
        </w:rPr>
      </w:pPr>
      <w:r>
        <w:rPr>
          <w:rFonts w:ascii="Arial" w:cs="Arial" w:eastAsia="Arial" w:hAnsi="Arial"/>
          <w:sz w:val="18"/>
          <w:szCs w:val="18"/>
          <w:color w:val="auto"/>
        </w:rPr>
        <w:t>Plan fiduciaries of various plans set investment policies and strategies, based on consultation with professional advisors, and oversee investment allocation, which includes selecting investment managers and setting long-term strategic targets. The primary strategic investment objectives are balancing investment risk and return and 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weighted average asset allocation of the plan assets as of December 31, 2020, by asset category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color w:val="auto"/>
                <w:w w:val="97"/>
              </w:rPr>
              <w:t>December 31, 2020</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1"/>
              </w:rPr>
              <w:t>U.S. Plans</w:t>
            </w:r>
          </w:p>
        </w:tc>
        <w:tc>
          <w:tcPr>
            <w:tcW w:w="5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Non-U.S. Plans</w:t>
            </w:r>
          </w:p>
        </w:tc>
        <w:tc>
          <w:tcPr>
            <w:tcW w:w="2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50.3 %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47.2 %</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Annuities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0"/>
                <w:szCs w:val="20"/>
                <w:color w:val="auto"/>
              </w:rPr>
            </w:pPr>
          </w:p>
        </w:tc>
      </w:tr>
      <w:tr>
        <w:trPr>
          <w:trHeight w:val="404"/>
        </w:trPr>
        <w:tc>
          <w:tcPr>
            <w:tcW w:w="20" w:type="dxa"/>
            <w:vAlign w:val="bottom"/>
          </w:tcPr>
          <w:p>
            <w:pPr>
              <w:spacing w:after="0"/>
              <w:rPr>
                <w:sz w:val="24"/>
                <w:szCs w:val="24"/>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The weighted average target asset allocation of the plan assets is as follows:</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20" w:type="dxa"/>
            <w:vAlign w:val="bottom"/>
            <w:tcBorders>
              <w:bottom w:val="single" w:sz="8" w:color="CCEEFF"/>
            </w:tcBorders>
          </w:tcPr>
          <w:p>
            <w:pPr>
              <w:spacing w:after="0"/>
              <w:rPr>
                <w:sz w:val="24"/>
                <w:szCs w:val="24"/>
                <w:color w:val="auto"/>
              </w:rPr>
            </w:pPr>
          </w:p>
        </w:tc>
        <w:tc>
          <w:tcPr>
            <w:tcW w:w="65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U.S Plans</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Non U.S Plans</w:t>
            </w:r>
          </w:p>
        </w:tc>
        <w:tc>
          <w:tcPr>
            <w:tcW w:w="20" w:type="dxa"/>
            <w:vAlign w:val="bottom"/>
            <w:tcBorders>
              <w:bottom w:val="single" w:sz="8" w:color="auto"/>
            </w:tcBorders>
          </w:tcPr>
          <w:p>
            <w:pPr>
              <w:spacing w:after="0"/>
              <w:rPr>
                <w:sz w:val="24"/>
                <w:szCs w:val="24"/>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33.0%</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62.0 %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Debt securities</w:t>
            </w: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35.0%</w:t>
            </w:r>
          </w:p>
        </w:tc>
        <w:tc>
          <w:tcPr>
            <w:tcW w:w="840" w:type="dxa"/>
            <w:vAlign w:val="bottom"/>
          </w:tcPr>
          <w:p>
            <w:pPr>
              <w:ind w:left="60"/>
              <w:spacing w:after="0"/>
              <w:rPr>
                <w:sz w:val="20"/>
                <w:szCs w:val="20"/>
                <w:color w:val="auto"/>
              </w:rPr>
            </w:pPr>
            <w:r>
              <w:rPr>
                <w:rFonts w:ascii="Arial" w:cs="Arial" w:eastAsia="Arial" w:hAnsi="Arial"/>
                <w:sz w:val="18"/>
                <w:szCs w:val="18"/>
                <w:color w:val="auto"/>
              </w:rPr>
              <w:t>to</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52.0 %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29.0%</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39.0%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Annuities</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840" w:type="dxa"/>
            <w:vAlign w:val="bottom"/>
          </w:tcPr>
          <w:p>
            <w:pPr>
              <w:ind w:left="60"/>
              <w:spacing w:after="0"/>
              <w:rPr>
                <w:sz w:val="20"/>
                <w:szCs w:val="20"/>
                <w:color w:val="auto"/>
              </w:rPr>
            </w:pPr>
            <w:r>
              <w:rPr>
                <w:rFonts w:ascii="Arial" w:cs="Arial" w:eastAsia="Arial" w:hAnsi="Arial"/>
                <w:sz w:val="18"/>
                <w:szCs w:val="18"/>
                <w:color w:val="auto"/>
              </w:rPr>
              <w:t>to</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2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Pension Funding and Cash Flows</w:t>
      </w:r>
    </w:p>
    <w:p>
      <w:pPr>
        <w:spacing w:after="0" w:line="14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expects to make approximately $16.5 in required contributions to its defined benefit pension plans during 2021. The Company targets funding the minimum required contributions but may make additional contributions into the pension plans in 2021, depending upon factors such as how the funded status of those plans change or to reduce the administrative costs of the plan.</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benefit payments, which were used in the calculation of projected benefit obligations, are expected to be paid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U. S. Plans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Non-U. S. Plans</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Years 2026 to 2035</w:t>
            </w:r>
          </w:p>
        </w:tc>
        <w:tc>
          <w:tcPr>
            <w:tcW w:w="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Retiree Health and Welfare Plan</w:t>
      </w:r>
    </w:p>
    <w:p>
      <w:pPr>
        <w:spacing w:after="0" w:line="135"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Medical Plan</w:t>
      </w:r>
    </w:p>
    <w:p>
      <w:pPr>
        <w:spacing w:after="0" w:line="135" w:lineRule="exact"/>
        <w:rPr>
          <w:sz w:val="20"/>
          <w:szCs w:val="20"/>
          <w:color w:val="auto"/>
        </w:rPr>
      </w:pPr>
    </w:p>
    <w:p>
      <w:pPr>
        <w:jc w:val="both"/>
        <w:ind w:firstLine="283"/>
        <w:spacing w:after="0" w:line="263" w:lineRule="auto"/>
        <w:rPr>
          <w:sz w:val="20"/>
          <w:szCs w:val="20"/>
          <w:color w:val="auto"/>
        </w:rPr>
      </w:pPr>
      <w:r>
        <w:rPr>
          <w:rFonts w:ascii="Arial" w:cs="Arial" w:eastAsia="Arial" w:hAnsi="Arial"/>
          <w:sz w:val="18"/>
          <w:szCs w:val="18"/>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93"/>
              </w:rPr>
              <w:t>Year ended December 31,</w:t>
            </w:r>
          </w:p>
        </w:tc>
        <w:tc>
          <w:tcPr>
            <w:tcW w:w="880" w:type="dxa"/>
            <w:vAlign w:val="bottom"/>
            <w:tcBorders>
              <w:bottom w:val="single" w:sz="8" w:color="auto"/>
            </w:tcBorders>
          </w:tcPr>
          <w:p>
            <w:pPr>
              <w:spacing w:after="0"/>
              <w:rPr>
                <w:sz w:val="20"/>
                <w:szCs w:val="20"/>
                <w:color w:val="auto"/>
              </w:rPr>
            </w:pPr>
          </w:p>
        </w:tc>
      </w:tr>
      <w:tr>
        <w:trPr>
          <w:trHeight w:val="237"/>
        </w:trPr>
        <w:tc>
          <w:tcPr>
            <w:tcW w:w="73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Interest cost on benefit obligation</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amortization and deferral</w:t>
            </w:r>
          </w:p>
        </w:tc>
        <w:tc>
          <w:tcPr>
            <w:tcW w:w="8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Post-retirement medical plan costs</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Amounts included in accumulated other comprehensive earnings consist of unamortized net loss of $1.6 and $2.0.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00"/>
              <w:spacing w:after="0"/>
              <w:rPr>
                <w:sz w:val="20"/>
                <w:szCs w:val="20"/>
                <w:color w:val="auto"/>
              </w:rPr>
            </w:pPr>
            <w:r>
              <w:rPr>
                <w:rFonts w:ascii="Arial" w:cs="Arial" w:eastAsia="Arial" w:hAnsi="Arial"/>
                <w:sz w:val="18"/>
                <w:szCs w:val="18"/>
                <w:color w:val="auto"/>
              </w:rPr>
              <w:t>A summary of the changes in the accumulated post-retirement benefit obligation follows: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3"/>
        </w:trPr>
        <w:tc>
          <w:tcPr>
            <w:tcW w:w="86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Interest cost on benefit obligation</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w:t>
            </w:r>
          </w:p>
        </w:tc>
        <w:tc>
          <w:tcPr>
            <w:tcW w:w="8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Benefits paid</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as: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80" w:type="dxa"/>
            <w:vAlign w:val="bottom"/>
          </w:tcPr>
          <w:p>
            <w:pPr>
              <w:ind w:left="160"/>
              <w:spacing w:after="0"/>
              <w:rPr>
                <w:sz w:val="20"/>
                <w:szCs w:val="20"/>
                <w:color w:val="auto"/>
              </w:rPr>
            </w:pPr>
            <w:r>
              <w:rPr>
                <w:rFonts w:ascii="Arial" w:cs="Arial" w:eastAsia="Arial" w:hAnsi="Arial"/>
                <w:sz w:val="18"/>
                <w:szCs w:val="18"/>
                <w:color w:val="auto"/>
              </w:rPr>
              <w:t>Accrued expenses and other</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68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
        </w:trPr>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60" w:firstLine="204"/>
        <w:spacing w:after="0" w:line="263" w:lineRule="auto"/>
        <w:rPr>
          <w:sz w:val="20"/>
          <w:szCs w:val="20"/>
          <w:color w:val="auto"/>
        </w:rPr>
      </w:pPr>
      <w:r>
        <w:rPr>
          <w:rFonts w:ascii="Arial" w:cs="Arial" w:eastAsia="Arial" w:hAnsi="Arial"/>
          <w:sz w:val="18"/>
          <w:szCs w:val="18"/>
          <w:color w:val="auto"/>
        </w:rPr>
        <w:t>The weighted-average discount rates used in the calculation of the accumulated post-retirement benefit obligation were 2.3% and 3.2% as of December 31, 2020, and 2019, respectively. The healthcare cost trend rate was removed due to the expectation of future funding to be at the same level as the previous year's funding.</w:t>
      </w:r>
    </w:p>
    <w:p>
      <w:pPr>
        <w:spacing w:after="0" w:line="76" w:lineRule="exact"/>
        <w:rPr>
          <w:sz w:val="20"/>
          <w:szCs w:val="20"/>
          <w:color w:val="auto"/>
        </w:rPr>
      </w:pPr>
    </w:p>
    <w:p>
      <w:pPr>
        <w:jc w:val="both"/>
        <w:ind w:firstLine="283"/>
        <w:spacing w:after="0" w:line="274" w:lineRule="auto"/>
        <w:rPr>
          <w:sz w:val="20"/>
          <w:szCs w:val="20"/>
          <w:color w:val="auto"/>
        </w:rPr>
      </w:pPr>
      <w:r>
        <w:rPr>
          <w:rFonts w:ascii="Arial" w:cs="Arial" w:eastAsia="Arial" w:hAnsi="Arial"/>
          <w:sz w:val="18"/>
          <w:szCs w:val="18"/>
          <w:color w:val="auto"/>
        </w:rPr>
        <w:t>The following assumed benefit payments under the Company's post-retirement benefit plan, which reflect expected future service, as appropriate, and which were used in the calculation of projected benefit obligations, are expected to be paid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2022</w:t>
            </w:r>
          </w:p>
        </w:tc>
        <w:tc>
          <w:tcPr>
            <w:tcW w:w="4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2024</w:t>
            </w:r>
          </w:p>
        </w:tc>
        <w:tc>
          <w:tcPr>
            <w:tcW w:w="4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Years 2026 and thereafter</w:t>
            </w:r>
          </w:p>
        </w:tc>
        <w:tc>
          <w:tcPr>
            <w:tcW w:w="4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Deferred Compensation Plans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these plans were $89.2 and $76.7 at December 31, 2020, and 2019, respectively. Deferred amounts are the Company's general unsecured obligations and are subject to claims by the Company's creditors. The Company's general assets may be used to fund obligations and pay DCP benefits.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Company’s population of financial assets and liabilities subject to fair value measurements as of December 31, 2020, and 2019 were as follows:</w:t>
      </w:r>
    </w:p>
    <w:p>
      <w:pPr>
        <w:spacing w:after="0" w:line="7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Fair Value Measurements as of</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7"/>
          </w:tcPr>
          <w:p>
            <w:pPr>
              <w:jc w:val="right"/>
              <w:ind w:right="670"/>
              <w:spacing w:after="0"/>
              <w:rPr>
                <w:sz w:val="20"/>
                <w:szCs w:val="20"/>
                <w:color w:val="auto"/>
              </w:rPr>
            </w:pPr>
            <w:r>
              <w:rPr>
                <w:rFonts w:ascii="Arial" w:cs="Arial" w:eastAsia="Arial" w:hAnsi="Arial"/>
                <w:sz w:val="18"/>
                <w:szCs w:val="18"/>
                <w:color w:val="auto"/>
              </w:rPr>
              <w:t>December 31, 2020</w:t>
            </w:r>
          </w:p>
        </w:tc>
      </w:tr>
      <w:tr>
        <w:trPr>
          <w:trHeight w:val="263"/>
        </w:trPr>
        <w:tc>
          <w:tcPr>
            <w:tcW w:w="4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 as of</w:t>
            </w:r>
          </w:p>
        </w:tc>
        <w:tc>
          <w:tcPr>
            <w:tcW w:w="12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8"/>
                <w:szCs w:val="18"/>
                <w:color w:val="auto"/>
              </w:rPr>
              <w:t>Using Fair Value Hierarchy</w:t>
            </w:r>
          </w:p>
        </w:tc>
      </w:tr>
      <w:tr>
        <w:trPr>
          <w:trHeight w:val="250"/>
        </w:trPr>
        <w:tc>
          <w:tcPr>
            <w:tcW w:w="4120" w:type="dxa"/>
            <w:vAlign w:val="bottom"/>
          </w:tcPr>
          <w:p>
            <w:pPr>
              <w:spacing w:after="0"/>
              <w:rPr>
                <w:sz w:val="21"/>
                <w:szCs w:val="21"/>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w w:val="91"/>
              </w:rPr>
              <w:t>Balance Sheet Classification</w:t>
            </w:r>
          </w:p>
        </w:tc>
        <w:tc>
          <w:tcPr>
            <w:tcW w:w="20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December 31, 2020</w:t>
            </w:r>
          </w:p>
        </w:tc>
        <w:tc>
          <w:tcPr>
            <w:tcW w:w="120" w:type="dxa"/>
            <w:vAlign w:val="bottom"/>
          </w:tcPr>
          <w:p>
            <w:pPr>
              <w:spacing w:after="0"/>
              <w:rPr>
                <w:sz w:val="21"/>
                <w:szCs w:val="21"/>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Level 1</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9"/>
              </w:rPr>
              <w:t>Level 3</w:t>
            </w:r>
          </w:p>
        </w:tc>
      </w:tr>
      <w:tr>
        <w:trPr>
          <w:trHeight w:val="22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put</w:t>
            </w:r>
          </w:p>
        </w:tc>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2160" w:type="dxa"/>
            <w:vAlign w:val="bottom"/>
          </w:tcPr>
          <w:p>
            <w:pPr>
              <w:ind w:left="20"/>
              <w:spacing w:after="0"/>
              <w:rPr>
                <w:sz w:val="20"/>
                <w:szCs w:val="20"/>
                <w:color w:val="auto"/>
              </w:rPr>
            </w:pPr>
            <w:r>
              <w:rPr>
                <w:rFonts w:ascii="Arial" w:cs="Arial" w:eastAsia="Arial" w:hAnsi="Arial"/>
                <w:sz w:val="18"/>
                <w:szCs w:val="18"/>
                <w:color w:val="auto"/>
              </w:rPr>
              <w:t>Other liabilities, net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 policies</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Deferred compensation liability</w:t>
            </w:r>
          </w:p>
        </w:tc>
        <w:tc>
          <w:tcPr>
            <w:tcW w:w="21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8"/>
          </w:tcPr>
          <w:p>
            <w:pPr>
              <w:jc w:val="center"/>
              <w:ind w:right="50"/>
              <w:spacing w:after="0"/>
              <w:rPr>
                <w:sz w:val="20"/>
                <w:szCs w:val="20"/>
                <w:color w:val="auto"/>
              </w:rPr>
            </w:pPr>
            <w:r>
              <w:rPr>
                <w:rFonts w:ascii="Arial" w:cs="Arial" w:eastAsia="Arial" w:hAnsi="Arial"/>
                <w:sz w:val="18"/>
                <w:szCs w:val="18"/>
                <w:color w:val="auto"/>
                <w:w w:val="89"/>
              </w:rPr>
              <w:t>Fair Value Measurements as of</w:t>
            </w:r>
          </w:p>
        </w:tc>
      </w:tr>
      <w:tr>
        <w:trPr>
          <w:trHeight w:val="230"/>
        </w:trPr>
        <w:tc>
          <w:tcPr>
            <w:tcW w:w="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7"/>
          </w:tcPr>
          <w:p>
            <w:pPr>
              <w:jc w:val="center"/>
              <w:ind w:right="350"/>
              <w:spacing w:after="0"/>
              <w:rPr>
                <w:sz w:val="20"/>
                <w:szCs w:val="20"/>
                <w:color w:val="auto"/>
              </w:rPr>
            </w:pPr>
            <w:r>
              <w:rPr>
                <w:rFonts w:ascii="Arial" w:cs="Arial" w:eastAsia="Arial" w:hAnsi="Arial"/>
                <w:sz w:val="18"/>
                <w:szCs w:val="18"/>
                <w:color w:val="auto"/>
                <w:w w:val="88"/>
              </w:rPr>
              <w:t>December 31, 2019</w:t>
            </w:r>
          </w:p>
        </w:tc>
      </w:tr>
      <w:tr>
        <w:trPr>
          <w:trHeight w:val="263"/>
        </w:trPr>
        <w:tc>
          <w:tcPr>
            <w:tcW w:w="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Fair Value as of</w:t>
            </w:r>
          </w:p>
        </w:tc>
        <w:tc>
          <w:tcPr>
            <w:tcW w:w="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7"/>
          </w:tcPr>
          <w:p>
            <w:pPr>
              <w:jc w:val="center"/>
              <w:ind w:right="350"/>
              <w:spacing w:after="0"/>
              <w:rPr>
                <w:sz w:val="20"/>
                <w:szCs w:val="20"/>
                <w:color w:val="auto"/>
              </w:rPr>
            </w:pPr>
            <w:r>
              <w:rPr>
                <w:rFonts w:ascii="Arial" w:cs="Arial" w:eastAsia="Arial" w:hAnsi="Arial"/>
                <w:sz w:val="18"/>
                <w:szCs w:val="18"/>
                <w:color w:val="auto"/>
                <w:w w:val="92"/>
              </w:rPr>
              <w:t>Using Fair Value Hierarchy</w:t>
            </w:r>
          </w:p>
        </w:tc>
      </w:tr>
      <w:tr>
        <w:trPr>
          <w:trHeight w:val="250"/>
        </w:trPr>
        <w:tc>
          <w:tcPr>
            <w:tcW w:w="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w w:val="91"/>
              </w:rPr>
              <w:t>Balance Sheet Classification</w:t>
            </w:r>
          </w:p>
        </w:tc>
        <w:tc>
          <w:tcPr>
            <w:tcW w:w="180" w:type="dxa"/>
            <w:vAlign w:val="bottom"/>
          </w:tcPr>
          <w:p>
            <w:pPr>
              <w:spacing w:after="0"/>
              <w:rPr>
                <w:sz w:val="21"/>
                <w:szCs w:val="21"/>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 2019</w:t>
            </w:r>
          </w:p>
        </w:tc>
        <w:tc>
          <w:tcPr>
            <w:tcW w:w="14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9"/>
              </w:rPr>
              <w:t>Level 3</w:t>
            </w:r>
          </w:p>
        </w:tc>
      </w:tr>
      <w:tr>
        <w:trPr>
          <w:trHeight w:val="229"/>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 put</w:t>
            </w:r>
          </w:p>
        </w:tc>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Interest rate swap</w:t>
            </w:r>
          </w:p>
        </w:tc>
        <w:tc>
          <w:tcPr>
            <w:tcW w:w="21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Cross currency swaps liability</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Cash surrender value of life insurance policies</w:t>
            </w:r>
          </w:p>
        </w:tc>
        <w:tc>
          <w:tcPr>
            <w:tcW w:w="216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Investment in equity securities</w:t>
            </w:r>
          </w:p>
        </w:tc>
        <w:tc>
          <w:tcPr>
            <w:tcW w:w="21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750"/>
        </w:trPr>
        <w:tc>
          <w:tcPr>
            <w:tcW w:w="60" w:type="dxa"/>
            <w:vAlign w:val="bottom"/>
          </w:tcPr>
          <w:p>
            <w:pPr>
              <w:spacing w:after="0"/>
              <w:rPr>
                <w:sz w:val="24"/>
                <w:szCs w:val="24"/>
                <w:color w:val="auto"/>
              </w:rPr>
            </w:pPr>
          </w:p>
        </w:tc>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Measurement of Level 3 Liabilities</w:t>
            </w:r>
          </w:p>
        </w:tc>
        <w:tc>
          <w:tcPr>
            <w:tcW w:w="2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gridSpan w:val="7"/>
          </w:tcPr>
          <w:p>
            <w:pPr>
              <w:jc w:val="right"/>
              <w:ind w:right="230"/>
              <w:spacing w:after="0"/>
              <w:rPr>
                <w:sz w:val="20"/>
                <w:szCs w:val="20"/>
                <w:color w:val="auto"/>
              </w:rPr>
            </w:pPr>
            <w:r>
              <w:rPr>
                <w:rFonts w:ascii="Arial" w:cs="Arial" w:eastAsia="Arial" w:hAnsi="Arial"/>
                <w:sz w:val="18"/>
                <w:szCs w:val="18"/>
                <w:color w:val="auto"/>
              </w:rPr>
              <w:t>Contingent Consideration</w:t>
            </w:r>
          </w:p>
        </w:tc>
      </w:tr>
      <w:tr>
        <w:trPr>
          <w:trHeight w:val="229"/>
        </w:trPr>
        <w:tc>
          <w:tcPr>
            <w:tcW w:w="6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6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Addition</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and adjustments</w:t>
            </w:r>
          </w:p>
        </w:tc>
        <w:tc>
          <w:tcPr>
            <w:tcW w:w="2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6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6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w:t>
            </w:r>
          </w:p>
        </w:tc>
        <w:tc>
          <w:tcPr>
            <w:tcW w:w="2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0" w:type="dxa"/>
            <w:vAlign w:val="bottom"/>
          </w:tcPr>
          <w:p>
            <w:pPr>
              <w:spacing w:after="0"/>
              <w:rPr>
                <w:sz w:val="19"/>
                <w:szCs w:val="19"/>
                <w:color w:val="auto"/>
              </w:rPr>
            </w:pPr>
          </w:p>
        </w:tc>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 and adjustments</w:t>
            </w:r>
          </w:p>
        </w:tc>
        <w:tc>
          <w:tcPr>
            <w:tcW w:w="2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6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6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 During the year ended December 31, 2020, the carrying value of the noncontrolling interest put increased by $0.4 for foreign currency translation.</w:t>
      </w:r>
    </w:p>
    <w:p>
      <w:pPr>
        <w:spacing w:after="0" w:line="68"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7"/>
          <w:szCs w:val="17"/>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93"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$6,121.8 and $6,140.6 as of December 31, 2020, and 2019, respectively. The Company's note and debt instruments are considered Level 2 instruments, as the fair market values of these instruments are determined using other observable inputs.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DERIVATIVE INSTRUMENTS AND HEDGING ACTIVITIES</w:t>
      </w:r>
    </w:p>
    <w:p>
      <w:pPr>
        <w:spacing w:after="0" w:line="148" w:lineRule="exact"/>
        <w:rPr>
          <w:sz w:val="20"/>
          <w:szCs w:val="20"/>
          <w:color w:val="auto"/>
        </w:rPr>
      </w:pPr>
    </w:p>
    <w:p>
      <w:pPr>
        <w:jc w:val="both"/>
        <w:ind w:firstLine="283"/>
        <w:spacing w:after="0" w:line="257" w:lineRule="auto"/>
        <w:rPr>
          <w:sz w:val="20"/>
          <w:szCs w:val="20"/>
          <w:color w:val="auto"/>
        </w:rPr>
      </w:pPr>
      <w:r>
        <w:rPr>
          <w:rFonts w:ascii="Arial" w:cs="Arial" w:eastAsia="Arial" w:hAnsi="Arial"/>
          <w:sz w:val="18"/>
          <w:szCs w:val="18"/>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Although the Company’s zero-coupon subordinated notes contained features that were considered to be embedded derivative instruments, the Company does not hold or issue derivative financial instruments for trading purposes. The Company does not believe that its exposure to market risk is material to the Company’s financial position or results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148"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long-term debt. The Company exited one of these swap arrangements in December 2019 in connection with the redemption of $187.9 of the 4.625% Senior Notes due 2020. The Company exited the remaining fixed-to-variable interest rate swap agreement in August 2020, in connection with the redemption of the remaining $412.2 of its 4.625% Senior Notes due November 15, 2020, and recorded a gain of $1.6 on the extinguishment. The gain was included in Other, net on the Consolidated Statement of Operations. These derivative financial instruments were accounted for as fair value hedges which increased or decreased the value of the Senior Notes with the offset being recorded as a component of other long-term assets or liabilities, as applicable. As the specific terms and notional amounts of the derivative financial instruments match those of the fixed-rate debt being hedged, the derivative instruments were assumed to be perfectly effective hedges and accordingly, there is no impact to the Company's consolidated statements of operations. Cash flows from the interest rate swaps are including in operating activities.</w:t>
      </w:r>
    </w:p>
    <w:p>
      <w:pPr>
        <w:spacing w:after="0" w:line="16"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3620" w:type="dxa"/>
            <w:vAlign w:val="bottom"/>
            <w:gridSpan w:val="6"/>
            <w:vMerge w:val="restart"/>
          </w:tcPr>
          <w:p>
            <w:pPr>
              <w:jc w:val="center"/>
              <w:ind w:right="100"/>
              <w:spacing w:after="0"/>
              <w:rPr>
                <w:sz w:val="20"/>
                <w:szCs w:val="20"/>
                <w:color w:val="auto"/>
              </w:rPr>
            </w:pPr>
            <w:r>
              <w:rPr>
                <w:rFonts w:ascii="Arial" w:cs="Arial" w:eastAsia="Arial" w:hAnsi="Arial"/>
                <w:sz w:val="18"/>
                <w:szCs w:val="18"/>
                <w:color w:val="auto"/>
                <w:w w:val="91"/>
              </w:rPr>
              <w:t>Carrying amount of hedged liabilities as of</w:t>
            </w:r>
          </w:p>
        </w:tc>
        <w:tc>
          <w:tcPr>
            <w:tcW w:w="3500" w:type="dxa"/>
            <w:vAlign w:val="bottom"/>
            <w:gridSpan w:val="4"/>
          </w:tcPr>
          <w:p>
            <w:pPr>
              <w:jc w:val="center"/>
              <w:spacing w:after="0"/>
              <w:rPr>
                <w:sz w:val="20"/>
                <w:szCs w:val="20"/>
                <w:color w:val="auto"/>
              </w:rPr>
            </w:pPr>
            <w:r>
              <w:rPr>
                <w:rFonts w:ascii="Arial" w:cs="Arial" w:eastAsia="Arial" w:hAnsi="Arial"/>
                <w:sz w:val="18"/>
                <w:szCs w:val="18"/>
                <w:color w:val="auto"/>
                <w:w w:val="93"/>
              </w:rPr>
              <w:t>Cumulative Amount of Fair Value Hedging</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3620" w:type="dxa"/>
            <w:vAlign w:val="bottom"/>
            <w:gridSpan w:val="6"/>
            <w:vMerge w:val="continue"/>
          </w:tcPr>
          <w:p>
            <w:pPr>
              <w:spacing w:after="0"/>
              <w:rPr>
                <w:sz w:val="15"/>
                <w:szCs w:val="15"/>
                <w:color w:val="auto"/>
              </w:rPr>
            </w:pPr>
          </w:p>
        </w:tc>
        <w:tc>
          <w:tcPr>
            <w:tcW w:w="3500" w:type="dxa"/>
            <w:vAlign w:val="bottom"/>
            <w:gridSpan w:val="4"/>
          </w:tcPr>
          <w:p>
            <w:pPr>
              <w:jc w:val="center"/>
              <w:spacing w:after="0" w:line="176" w:lineRule="exact"/>
              <w:rPr>
                <w:sz w:val="20"/>
                <w:szCs w:val="20"/>
                <w:color w:val="auto"/>
              </w:rPr>
            </w:pPr>
            <w:r>
              <w:rPr>
                <w:rFonts w:ascii="Arial" w:cs="Arial" w:eastAsia="Arial" w:hAnsi="Arial"/>
                <w:sz w:val="18"/>
                <w:szCs w:val="18"/>
                <w:color w:val="auto"/>
                <w:w w:val="93"/>
              </w:rPr>
              <w:t>Adjustment Included in the Carrying Amount</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December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of the Hedged Liabilities as of December 31,</w:t>
            </w:r>
          </w:p>
        </w:tc>
        <w:tc>
          <w:tcPr>
            <w:tcW w:w="0" w:type="dxa"/>
            <w:vAlign w:val="bottom"/>
          </w:tcPr>
          <w:p>
            <w:pPr>
              <w:spacing w:after="0"/>
              <w:rPr>
                <w:sz w:val="1"/>
                <w:szCs w:val="1"/>
                <w:color w:val="auto"/>
              </w:rPr>
            </w:pPr>
          </w:p>
        </w:tc>
      </w:tr>
      <w:tr>
        <w:trPr>
          <w:trHeight w:val="236"/>
        </w:trPr>
        <w:tc>
          <w:tcPr>
            <w:tcW w:w="37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0"/>
              </w:rPr>
              <w:t>Balance Sheet Line Item in which Hedged Items are</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i w:val="1"/>
                <w:iCs w:val="1"/>
                <w:color w:val="auto"/>
                <w:w w:val="93"/>
              </w:rPr>
              <w:t>Included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jc w:val="right"/>
              <w:ind w:right="2070"/>
              <w:spacing w:after="0"/>
              <w:rPr>
                <w:sz w:val="20"/>
                <w:szCs w:val="20"/>
                <w:color w:val="auto"/>
              </w:rPr>
            </w:pPr>
            <w:r>
              <w:rPr>
                <w:rFonts w:ascii="Arial" w:cs="Arial" w:eastAsia="Arial" w:hAnsi="Arial"/>
                <w:sz w:val="18"/>
                <w:szCs w:val="18"/>
                <w:color w:val="auto"/>
                <w:w w:val="95"/>
              </w:rPr>
              <w:t>Long-term debt, less current portion</w:t>
            </w:r>
          </w:p>
        </w:tc>
        <w:tc>
          <w:tcPr>
            <w:tcW w:w="1220" w:type="dxa"/>
            <w:vAlign w:val="bottom"/>
            <w:gridSpan w:val="3"/>
          </w:tcPr>
          <w:p>
            <w:pPr>
              <w:ind w:left="30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0"/>
                <w:szCs w:val="20"/>
                <w:color w:val="auto"/>
              </w:rPr>
            </w:pPr>
          </w:p>
        </w:tc>
        <w:tc>
          <w:tcPr>
            <w:tcW w:w="2200" w:type="dxa"/>
            <w:vAlign w:val="bottom"/>
            <w:gridSpan w:val="3"/>
          </w:tcPr>
          <w:p>
            <w:pPr>
              <w:ind w:left="1440"/>
              <w:spacing w:after="0"/>
              <w:rPr>
                <w:sz w:val="20"/>
                <w:szCs w:val="20"/>
                <w:color w:val="auto"/>
              </w:rPr>
            </w:pPr>
            <w:r>
              <w:rPr>
                <w:rFonts w:ascii="Arial" w:cs="Arial" w:eastAsia="Arial" w:hAnsi="Arial"/>
                <w:sz w:val="18"/>
                <w:szCs w:val="18"/>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135"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which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2020 and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Swaps</w:t>
      </w:r>
    </w:p>
    <w:p>
      <w:pPr>
        <w:spacing w:after="0" w:line="148" w:lineRule="exact"/>
        <w:rPr>
          <w:sz w:val="20"/>
          <w:szCs w:val="20"/>
          <w:color w:val="auto"/>
        </w:rPr>
      </w:pPr>
    </w:p>
    <w:p>
      <w:pPr>
        <w:jc w:val="both"/>
        <w:ind w:firstLine="283"/>
        <w:spacing w:after="0" w:line="288" w:lineRule="auto"/>
        <w:rPr>
          <w:sz w:val="20"/>
          <w:szCs w:val="20"/>
          <w:color w:val="auto"/>
        </w:rPr>
      </w:pPr>
      <w:r>
        <w:rPr>
          <w:rFonts w:ascii="Arial" w:cs="Arial" w:eastAsia="Arial" w:hAnsi="Arial"/>
          <w:sz w:val="16"/>
          <w:szCs w:val="16"/>
          <w:color w:val="auto"/>
        </w:rPr>
        <w:t>During the fourth quarter of 2018, the Company entered into six new USD to Swiss Franc cross-currency swap agreements with an aggregate notional value of $600.0 and which are accounted for as a hedge against the impact of foreign exchange movements on its net investment in a Swiss Franc functional currency subsidiary. Of the notional value, $300.0 matures in 2022 and $300.0 matures in 2025. These cross currency swaps maturing in 2022 and 2025 with an aggregate fair value of $26.0 and $14.4 as of December 31, 2020, respectively, are included in other long-term liabilities. These cross currency swaps maturing in 2022 and 2025 with an aggregate fair value of $0.2 and $3.0 as of December 31, 2019, respectively, are included in other long-term assets. Changes in the fair value of the cross-currency swaps are recorded as a component of the foreign currency translation adjustment in accumulated other comprehensive income in the Consolidated Balance Sheet until the hedged item is recognized in earnings. The cumulative amount of the fair value hedging adjustment included in the current value of the cross currency swaps is $(40.4) for the year ended December 31, 2020, and was recognized as currency translation within the Consolidated Statement of Comprehensive Earnings. There were no amounts reclassified from the Consolidated Statement of Comprehensive Earnings to the Consolidated Statement of Operations during the year ended December 31, 2020.</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fair value of derivatives on a gross basis and the balance sheet classification of those instruments:</w:t>
      </w:r>
    </w:p>
    <w:p>
      <w:pPr>
        <w:sectPr>
          <w:pgSz w:w="11900" w:h="16838" w:orient="portrait"/>
          <w:cols w:equalWidth="0" w:num="1">
            <w:col w:w="11240"/>
          </w:cols>
          <w:pgMar w:left="320" w:top="125" w:right="339" w:bottom="1440" w:gutter="0" w:footer="0" w:header="0"/>
        </w:sectPr>
      </w:pPr>
    </w:p>
    <w:p>
      <w:pPr>
        <w:spacing w:after="0" w:line="144"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159448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30" w:lineRule="exact"/>
        <w:rPr>
          <w:sz w:val="20"/>
          <w:szCs w:val="20"/>
          <w:color w:val="auto"/>
        </w:rPr>
      </w:pPr>
    </w:p>
    <w:p>
      <w:pPr>
        <w:jc w:val="center"/>
        <w:ind w:left="6280"/>
        <w:spacing w:after="0"/>
        <w:rPr>
          <w:sz w:val="20"/>
          <w:szCs w:val="20"/>
          <w:color w:val="auto"/>
        </w:rPr>
      </w:pPr>
      <w:r>
        <w:rPr>
          <w:rFonts w:ascii="Arial" w:cs="Arial" w:eastAsia="Arial" w:hAnsi="Arial"/>
          <w:sz w:val="16"/>
          <w:szCs w:val="16"/>
          <w:color w:val="auto"/>
        </w:rPr>
        <w:t>Fair Value of Derivative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14605</wp:posOffset>
            </wp:positionV>
            <wp:extent cx="159448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30"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Fair Value of Derivative</w:t>
      </w:r>
    </w:p>
    <w:p>
      <w:pPr>
        <w:spacing w:after="0" w:line="46"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60" w:type="dxa"/>
            <w:vAlign w:val="bottom"/>
            <w:gridSpan w:val="3"/>
            <w:vMerge w:val="restart"/>
          </w:tcPr>
          <w:p>
            <w:pPr>
              <w:ind w:left="1160"/>
              <w:spacing w:after="0"/>
              <w:rPr>
                <w:sz w:val="20"/>
                <w:szCs w:val="20"/>
                <w:color w:val="auto"/>
              </w:rPr>
            </w:pPr>
            <w:r>
              <w:rPr>
                <w:rFonts w:ascii="Arial" w:cs="Arial" w:eastAsia="Arial" w:hAnsi="Arial"/>
                <w:sz w:val="18"/>
                <w:szCs w:val="18"/>
                <w:color w:val="auto"/>
              </w:rPr>
              <w:t>Balance Sheet Caption</w:t>
            </w:r>
          </w:p>
        </w:tc>
        <w:tc>
          <w:tcPr>
            <w:tcW w:w="7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Asset</w:t>
            </w:r>
          </w:p>
        </w:tc>
        <w:tc>
          <w:tcPr>
            <w:tcW w:w="9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Liability</w:t>
            </w:r>
          </w:p>
        </w:tc>
        <w:tc>
          <w:tcPr>
            <w:tcW w:w="8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6"/>
                <w:szCs w:val="16"/>
                <w:color w:val="auto"/>
                <w:w w:val="95"/>
              </w:rPr>
              <w:t>U.S. Dollar</w:t>
            </w:r>
          </w:p>
        </w:tc>
        <w:tc>
          <w:tcPr>
            <w:tcW w:w="120" w:type="dxa"/>
            <w:vAlign w:val="bottom"/>
          </w:tcPr>
          <w:p>
            <w:pPr>
              <w:spacing w:after="0"/>
              <w:rPr>
                <w:sz w:val="15"/>
                <w:szCs w:val="15"/>
                <w:color w:val="auto"/>
              </w:rPr>
            </w:pPr>
          </w:p>
        </w:tc>
        <w:tc>
          <w:tcPr>
            <w:tcW w:w="7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Asset</w:t>
            </w:r>
          </w:p>
        </w:tc>
        <w:tc>
          <w:tcPr>
            <w:tcW w:w="9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color w:val="auto"/>
              </w:rPr>
              <w:t>Liability</w:t>
            </w:r>
          </w:p>
        </w:tc>
        <w:tc>
          <w:tcPr>
            <w:tcW w:w="8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U.S. Dollar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60" w:type="dxa"/>
            <w:vAlign w:val="bottom"/>
            <w:gridSpan w:val="3"/>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Notional</w:t>
            </w:r>
          </w:p>
        </w:tc>
        <w:tc>
          <w:tcPr>
            <w:tcW w:w="7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6"/>
                <w:szCs w:val="16"/>
                <w:color w:val="auto"/>
              </w:rPr>
              <w:t>Notional</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3"/>
              </w:rPr>
              <w:t>Derivatives Designated as</w:t>
            </w:r>
          </w:p>
        </w:tc>
        <w:tc>
          <w:tcPr>
            <w:tcW w:w="394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Hedging Instruments</w:t>
            </w: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Interest rate swap</w:t>
            </w:r>
          </w:p>
        </w:tc>
        <w:tc>
          <w:tcPr>
            <w:tcW w:w="4060" w:type="dxa"/>
            <w:vAlign w:val="bottom"/>
            <w:gridSpan w:val="3"/>
          </w:tcPr>
          <w:p>
            <w:pPr>
              <w:ind w:left="20"/>
              <w:spacing w:after="0"/>
              <w:rPr>
                <w:sz w:val="20"/>
                <w:szCs w:val="20"/>
                <w:color w:val="auto"/>
              </w:rPr>
            </w:pPr>
            <w:r>
              <w:rPr>
                <w:rFonts w:ascii="Arial" w:cs="Arial" w:eastAsia="Arial" w:hAnsi="Arial"/>
                <w:sz w:val="18"/>
                <w:szCs w:val="18"/>
                <w:color w:val="auto"/>
              </w:rPr>
              <w:t>Prepaid expenses and other/Other liabilities</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 net/Other liabilities</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8"/>
          <w:szCs w:val="18"/>
          <w:color w:val="auto"/>
        </w:rPr>
        <w:t>The table below provides information regarding the location and amount of pretax (gains) losses of derivatives designated in fair value hedging relationships:</w:t>
      </w:r>
    </w:p>
    <w:tbl>
      <w:tblPr>
        <w:tblLayout w:type="fixed"/>
        <w:tblInd w:w="6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gridSpan w:val="7"/>
          </w:tcPr>
          <w:p>
            <w:pPr>
              <w:jc w:val="center"/>
              <w:ind w:right="70"/>
              <w:spacing w:after="0" w:line="178" w:lineRule="exact"/>
              <w:rPr>
                <w:sz w:val="20"/>
                <w:szCs w:val="20"/>
                <w:color w:val="auto"/>
              </w:rPr>
            </w:pPr>
            <w:r>
              <w:rPr>
                <w:rFonts w:ascii="Arial" w:cs="Arial" w:eastAsia="Arial" w:hAnsi="Arial"/>
                <w:sz w:val="18"/>
                <w:szCs w:val="18"/>
                <w:color w:val="auto"/>
                <w:w w:val="92"/>
              </w:rPr>
              <w:t>Amount of pre-tax gain/(loss) included in other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6"/>
          </w:tcPr>
          <w:p>
            <w:pPr>
              <w:jc w:val="center"/>
              <w:ind w:left="390"/>
              <w:spacing w:after="0" w:line="178" w:lineRule="exact"/>
              <w:rPr>
                <w:sz w:val="20"/>
                <w:szCs w:val="20"/>
                <w:color w:val="auto"/>
              </w:rPr>
            </w:pPr>
            <w:r>
              <w:rPr>
                <w:rFonts w:ascii="Arial" w:cs="Arial" w:eastAsia="Arial" w:hAnsi="Arial"/>
                <w:sz w:val="18"/>
                <w:szCs w:val="18"/>
                <w:color w:val="auto"/>
                <w:w w:val="90"/>
              </w:rPr>
              <w:t>Amounts reclassified to the</w:t>
            </w:r>
          </w:p>
        </w:tc>
        <w:tc>
          <w:tcPr>
            <w:tcW w:w="780" w:type="dxa"/>
            <w:vAlign w:val="bottom"/>
          </w:tcPr>
          <w:p>
            <w:pPr>
              <w:spacing w:after="0"/>
              <w:rPr>
                <w:sz w:val="15"/>
                <w:szCs w:val="15"/>
                <w:color w:val="auto"/>
              </w:rPr>
            </w:pPr>
          </w:p>
        </w:tc>
      </w:tr>
      <w:tr>
        <w:trPr>
          <w:trHeight w:val="237"/>
        </w:trPr>
        <w:tc>
          <w:tcPr>
            <w:tcW w:w="3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color w:val="auto"/>
                <w:w w:val="89"/>
              </w:rPr>
              <w:t>comprehensive income</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color w:val="auto"/>
                <w:w w:val="90"/>
              </w:rPr>
              <w:t>Statement of Operations</w:t>
            </w:r>
          </w:p>
        </w:tc>
        <w:tc>
          <w:tcPr>
            <w:tcW w:w="780" w:type="dxa"/>
            <w:vAlign w:val="bottom"/>
            <w:tcBorders>
              <w:bottom w:val="single" w:sz="8" w:color="auto"/>
            </w:tcBorders>
          </w:tcPr>
          <w:p>
            <w:pPr>
              <w:spacing w:after="0"/>
              <w:rPr>
                <w:sz w:val="20"/>
                <w:szCs w:val="20"/>
                <w:color w:val="auto"/>
              </w:rPr>
            </w:pPr>
          </w:p>
        </w:tc>
      </w:tr>
      <w:tr>
        <w:trPr>
          <w:trHeight w:val="236"/>
        </w:trPr>
        <w:tc>
          <w:tcPr>
            <w:tcW w:w="36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760" w:type="dxa"/>
            <w:vAlign w:val="bottom"/>
            <w:tcBorders>
              <w:bottom w:val="single" w:sz="8" w:color="auto"/>
            </w:tcBorders>
            <w:gridSpan w:val="6"/>
            <w:shd w:val="clear" w:color="auto" w:fill="CCEEFF"/>
          </w:tcPr>
          <w:p>
            <w:pPr>
              <w:jc w:val="center"/>
              <w:ind w:left="630"/>
              <w:spacing w:after="0"/>
              <w:rPr>
                <w:sz w:val="20"/>
                <w:szCs w:val="20"/>
                <w:color w:val="auto"/>
              </w:rPr>
            </w:pPr>
            <w:r>
              <w:rPr>
                <w:rFonts w:ascii="Arial" w:cs="Arial" w:eastAsia="Arial" w:hAnsi="Arial"/>
                <w:sz w:val="18"/>
                <w:szCs w:val="18"/>
                <w:color w:val="auto"/>
                <w:w w:val="88"/>
              </w:rPr>
              <w:t>Year Ended December 31,</w:t>
            </w: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560" w:type="dxa"/>
            <w:vAlign w:val="bottom"/>
            <w:tcBorders>
              <w:bottom w:val="single" w:sz="8" w:color="auto"/>
            </w:tcBorders>
            <w:gridSpan w:val="6"/>
            <w:shd w:val="clear" w:color="auto" w:fill="CCEEFF"/>
          </w:tcPr>
          <w:p>
            <w:pPr>
              <w:jc w:val="center"/>
              <w:ind w:left="430"/>
              <w:spacing w:after="0"/>
              <w:rPr>
                <w:sz w:val="20"/>
                <w:szCs w:val="20"/>
                <w:color w:val="auto"/>
              </w:rPr>
            </w:pPr>
            <w:r>
              <w:rPr>
                <w:rFonts w:ascii="Arial" w:cs="Arial" w:eastAsia="Arial" w:hAnsi="Arial"/>
                <w:sz w:val="18"/>
                <w:szCs w:val="18"/>
                <w:color w:val="auto"/>
                <w:w w:val="88"/>
              </w:rPr>
              <w:t>Year Ended December 31,</w:t>
            </w:r>
          </w:p>
        </w:tc>
        <w:tc>
          <w:tcPr>
            <w:tcW w:w="780" w:type="dxa"/>
            <w:vAlign w:val="bottom"/>
            <w:tcBorders>
              <w:bottom w:val="single" w:sz="8" w:color="auto"/>
            </w:tcBorders>
            <w:shd w:val="clear" w:color="auto" w:fill="CCEEFF"/>
          </w:tcPr>
          <w:p>
            <w:pPr>
              <w:spacing w:after="0"/>
              <w:rPr>
                <w:sz w:val="20"/>
                <w:szCs w:val="20"/>
                <w:color w:val="auto"/>
              </w:rPr>
            </w:pPr>
          </w:p>
        </w:tc>
      </w:tr>
      <w:tr>
        <w:trPr>
          <w:trHeight w:val="237"/>
        </w:trPr>
        <w:tc>
          <w:tcPr>
            <w:tcW w:w="3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2018</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480"/>
              <w:spacing w:after="0"/>
              <w:rPr>
                <w:sz w:val="20"/>
                <w:szCs w:val="20"/>
                <w:color w:val="auto"/>
              </w:rPr>
            </w:pPr>
            <w:r>
              <w:rPr>
                <w:rFonts w:ascii="Arial" w:cs="Arial" w:eastAsia="Arial" w:hAnsi="Arial"/>
                <w:sz w:val="18"/>
                <w:szCs w:val="18"/>
                <w:color w:val="auto"/>
              </w:rPr>
              <w:t>21.6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Company recognized a gain of $1.6 and $1.6 on the extinguishment of its interest rate swap agreement in the years ended December 31, 2020 and December 31, 2019, respectively, in connection with the redemption of the 4.625% Senior Notes due 2020. No gains or losses from derivative instruments classified as hedging instruments have been recognized into income for the year ended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20. SUPPLEMENTAL CASH FLOW INFORMATION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8"/>
        </w:trPr>
        <w:tc>
          <w:tcPr>
            <w:tcW w:w="7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860" w:type="dxa"/>
            <w:vAlign w:val="bottom"/>
            <w:tcBorders>
              <w:bottom w:val="single" w:sz="8" w:color="auto"/>
            </w:tcBorders>
          </w:tcPr>
          <w:p>
            <w:pPr>
              <w:spacing w:after="0"/>
              <w:rPr>
                <w:sz w:val="24"/>
                <w:szCs w:val="24"/>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schedule of cash flow information: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Cash paid during period for:</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Income taxes, net of refunds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349.7</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 of non-cash financing and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Conversion of zero-coupon convertible debt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Change in accrued property, plant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rate secured note receivable due 2022 from the sale of CRP</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is a summary of segment information for the years ended December 31, 2020, 2019, and 2018.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Operating earnings (loss) of each segment represents revenues less directly identifiable expenses to arrive at operating income for the segment. General management and administrative corporate expenses are included in general corporate expenses below.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Index</w:t>
        </w:r>
      </w:hyperlink>
    </w:p>
    <w:p>
      <w:pPr>
        <w:spacing w:after="0" w:line="23" w:lineRule="exact"/>
        <w:rPr>
          <w:sz w:val="20"/>
          <w:szCs w:val="20"/>
          <w:color w:val="auto"/>
        </w:rPr>
      </w:pPr>
    </w:p>
    <w:p>
      <w:pPr>
        <w:jc w:val="center"/>
        <w:ind w:left="1380" w:right="1240"/>
        <w:spacing w:after="0" w:line="255" w:lineRule="auto"/>
        <w:rPr>
          <w:sz w:val="20"/>
          <w:szCs w:val="20"/>
          <w:color w:val="auto"/>
        </w:rPr>
      </w:pPr>
      <w:r>
        <w:rPr>
          <w:rFonts w:ascii="Arial" w:cs="Arial" w:eastAsia="Arial" w:hAnsi="Arial"/>
          <w:sz w:val="18"/>
          <w:szCs w:val="18"/>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7,030.8</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4,877.7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4,578.1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4,313.1</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eliminations and other</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13,978.5</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11,554.8</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11,333.4</w:t>
            </w:r>
          </w:p>
        </w:tc>
      </w:tr>
      <w:tr>
        <w:trPr>
          <w:trHeight w:val="196"/>
        </w:trPr>
        <w:tc>
          <w:tcPr>
            <w:tcW w:w="5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1,166.7</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303.6</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 expenses</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1,330.2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1,325.7</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expenses, net</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1,104.9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1,268.3</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384.4</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883.9</w:t>
            </w: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w w:val="96"/>
              </w:rPr>
              <w:t>Net income attributable to Laboratory Corporation of America Holdings</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883.7</w:t>
            </w:r>
          </w:p>
        </w:tc>
      </w:tr>
      <w:tr>
        <w:trPr>
          <w:trHeight w:val="20"/>
        </w:trPr>
        <w:tc>
          <w:tcPr>
            <w:tcW w:w="5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293.3</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247.3</w:t>
            </w:r>
          </w:p>
        </w:tc>
      </w:tr>
      <w:tr>
        <w:trPr>
          <w:trHeight w:val="24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17"/>
        </w:trPr>
        <w:tc>
          <w:tcPr>
            <w:tcW w:w="5480" w:type="dxa"/>
            <w:vAlign w:val="bottom"/>
          </w:tcPr>
          <w:p>
            <w:pPr>
              <w:ind w:left="20"/>
              <w:spacing w:after="0"/>
              <w:rPr>
                <w:sz w:val="20"/>
                <w:szCs w:val="20"/>
                <w:color w:val="auto"/>
              </w:rPr>
            </w:pPr>
            <w:r>
              <w:rPr>
                <w:rFonts w:ascii="Arial" w:cs="Arial" w:eastAsia="Arial" w:hAnsi="Arial"/>
                <w:sz w:val="18"/>
                <w:szCs w:val="18"/>
                <w:color w:val="auto"/>
              </w:rPr>
              <w:t>Total depreciation and amortization</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543.2</w:t>
            </w:r>
          </w:p>
        </w:tc>
      </w:tr>
      <w:tr>
        <w:trPr>
          <w:trHeight w:val="20"/>
        </w:trPr>
        <w:tc>
          <w:tcPr>
            <w:tcW w:w="5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Intercompany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8"/>
                <w:szCs w:val="18"/>
                <w:color w:val="auto"/>
              </w:rPr>
              <w:t>Dx</w:t>
            </w:r>
          </w:p>
        </w:tc>
        <w:tc>
          <w:tcPr>
            <w:tcW w:w="360" w:type="dxa"/>
            <w:vAlign w:val="bottom"/>
          </w:tcPr>
          <w:p>
            <w:pPr>
              <w:spacing w:after="0"/>
              <w:rPr>
                <w:sz w:val="15"/>
                <w:szCs w:val="15"/>
                <w:color w:val="auto"/>
              </w:rPr>
            </w:pPr>
          </w:p>
        </w:tc>
        <w:tc>
          <w:tcPr>
            <w:tcW w:w="1000" w:type="dxa"/>
            <w:vAlign w:val="bottom"/>
            <w:gridSpan w:val="4"/>
            <w:vMerge w:val="restart"/>
          </w:tcPr>
          <w:p>
            <w:pPr>
              <w:jc w:val="right"/>
              <w:ind w:right="640"/>
              <w:spacing w:after="0"/>
              <w:rPr>
                <w:sz w:val="20"/>
                <w:szCs w:val="20"/>
                <w:color w:val="auto"/>
              </w:rPr>
            </w:pPr>
            <w:r>
              <w:rPr>
                <w:rFonts w:ascii="Arial" w:cs="Arial" w:eastAsia="Arial" w:hAnsi="Arial"/>
                <w:sz w:val="18"/>
                <w:szCs w:val="18"/>
                <w:color w:val="auto"/>
              </w:rPr>
              <w:t>DD</w:t>
            </w:r>
          </w:p>
        </w:tc>
        <w:tc>
          <w:tcPr>
            <w:tcW w:w="80" w:type="dxa"/>
            <w:vAlign w:val="bottom"/>
          </w:tcPr>
          <w:p>
            <w:pPr>
              <w:spacing w:after="0"/>
              <w:rPr>
                <w:sz w:val="15"/>
                <w:szCs w:val="15"/>
                <w:color w:val="auto"/>
              </w:rPr>
            </w:pPr>
          </w:p>
        </w:tc>
        <w:tc>
          <w:tcPr>
            <w:tcW w:w="1300" w:type="dxa"/>
            <w:vAlign w:val="bottom"/>
            <w:gridSpan w:val="5"/>
          </w:tcPr>
          <w:p>
            <w:pPr>
              <w:jc w:val="center"/>
              <w:ind w:right="260"/>
              <w:spacing w:after="0" w:line="176" w:lineRule="exact"/>
              <w:rPr>
                <w:sz w:val="20"/>
                <w:szCs w:val="20"/>
                <w:color w:val="auto"/>
              </w:rPr>
            </w:pPr>
            <w:r>
              <w:rPr>
                <w:rFonts w:ascii="Arial" w:cs="Arial" w:eastAsia="Arial" w:hAnsi="Arial"/>
                <w:sz w:val="18"/>
                <w:szCs w:val="18"/>
                <w:color w:val="auto"/>
                <w:w w:val="94"/>
              </w:rPr>
              <w:t>Eliminations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5"/>
          </w:tcPr>
          <w:p>
            <w:pPr>
              <w:ind w:left="160"/>
              <w:spacing w:after="0"/>
              <w:rPr>
                <w:sz w:val="20"/>
                <w:szCs w:val="20"/>
                <w:color w:val="auto"/>
              </w:rPr>
            </w:pPr>
            <w:r>
              <w:rPr>
                <w:rFonts w:ascii="Arial" w:cs="Arial" w:eastAsia="Arial" w:hAnsi="Arial"/>
                <w:sz w:val="18"/>
                <w:szCs w:val="18"/>
                <w:color w:val="auto"/>
              </w:rPr>
              <w:t>and Other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Geographic distribution of revenues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2,424.5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(152.6)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3"/>
              </w:rPr>
              <w:t>1,512.2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8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9,253.4</w:t>
            </w:r>
          </w:p>
        </w:tc>
        <w:tc>
          <w:tcPr>
            <w:tcW w:w="16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4,877.7</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8"/>
              </w:rPr>
              <w:t>(152.6)</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13,978.5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Dx</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DD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Geographic distribution of property, plant and equipment, net</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665.3</w:t>
            </w: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425.5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123.5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1,515.3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8"/>
                <w:szCs w:val="18"/>
                <w:color w:val="auto"/>
              </w:rPr>
              <w:t>F-48</w:t>
            </w: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125" w:right="139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REGISTERED PURSUANT TO SECTION 12 OF THE</w:t>
      </w:r>
    </w:p>
    <w:p>
      <w:pPr>
        <w:jc w:val="center"/>
        <w:ind w:right="-39"/>
        <w:spacing w:after="0"/>
        <w:rPr>
          <w:sz w:val="20"/>
          <w:szCs w:val="20"/>
          <w:color w:val="auto"/>
        </w:rPr>
      </w:pPr>
      <w:r>
        <w:rPr>
          <w:rFonts w:ascii="Arial" w:cs="Arial" w:eastAsia="Arial" w:hAnsi="Arial"/>
          <w:sz w:val="20"/>
          <w:szCs w:val="20"/>
          <w:b w:val="1"/>
          <w:bCs w:val="1"/>
          <w:color w:val="auto"/>
        </w:rPr>
        <w:t>SECURITIES EXCHANGE ACT OF 1934</w:t>
      </w:r>
    </w:p>
    <w:p>
      <w:pPr>
        <w:spacing w:after="0" w:line="229"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i w:val="1"/>
          <w:iCs w:val="1"/>
          <w:color w:val="auto"/>
        </w:rPr>
        <w:t>As of the date of the Annual Report on Form 10-K of which this exhibit forms a part, the only class of securities of Laboratory Corporation of America Holdings (“we” and “our”) registered under Section 12 of the Securities Exchange Act of 1934, as amended is our common stock, $0.10 par value per share.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description of our common stock summarizes certain material terms and provisions of our certificate of incorporation, by-laws, and the Delaware General Corporation Law (“DGCL”). For the complete terms of our common stock, please refer to our certificate of incorporation and by-laws, which are incorporated by reference as exhibits to the Annual Report on Form 10-K of which this exhibit is a part, and to the applicable provisions of the DGCL.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Common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authority to issue 265 million shares of Common Stock, par value $0.10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Common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 Liquidation; Divide</w:t>
      </w:r>
      <w:r>
        <w:rPr>
          <w:rFonts w:ascii="Arial" w:cs="Arial" w:eastAsia="Arial" w:hAnsi="Arial"/>
          <w:sz w:val="16"/>
          <w:szCs w:val="16"/>
          <w:i w:val="1"/>
          <w:iCs w:val="1"/>
          <w:color w:val="auto"/>
        </w:rPr>
        <w:t>nds.</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are entitled:</w:t>
      </w:r>
    </w:p>
    <w:p>
      <w:pPr>
        <w:spacing w:after="0" w:line="28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21"/>
          <w:szCs w:val="21"/>
          <w:color w:val="auto"/>
        </w:rPr>
      </w:pPr>
      <w:r>
        <w:rPr>
          <w:rFonts w:ascii="Arial" w:cs="Arial" w:eastAsia="Arial" w:hAnsi="Arial"/>
          <w:sz w:val="17"/>
          <w:szCs w:val="17"/>
          <w:color w:val="auto"/>
        </w:rPr>
        <w:t>to one vote per share upon any matter, including, without limitation, the election of directors, on which stockholders are entitled to vote;</w:t>
      </w:r>
    </w:p>
    <w:p>
      <w:pPr>
        <w:spacing w:after="0" w:line="26" w:lineRule="exact"/>
        <w:rPr>
          <w:rFonts w:ascii="Arial" w:cs="Arial" w:eastAsia="Arial" w:hAnsi="Arial"/>
          <w:sz w:val="21"/>
          <w:szCs w:val="21"/>
          <w:color w:val="auto"/>
        </w:rPr>
      </w:pPr>
    </w:p>
    <w:p>
      <w:pPr>
        <w:ind w:left="660" w:right="220" w:hanging="328"/>
        <w:spacing w:after="0" w:line="249" w:lineRule="auto"/>
        <w:tabs>
          <w:tab w:leader="none" w:pos="655" w:val="left"/>
        </w:tabs>
        <w:numPr>
          <w:ilvl w:val="0"/>
          <w:numId w:val="51"/>
        </w:numPr>
        <w:rPr>
          <w:rFonts w:ascii="Arial" w:cs="Arial" w:eastAsia="Arial" w:hAnsi="Arial"/>
          <w:sz w:val="21"/>
          <w:szCs w:val="21"/>
          <w:color w:val="auto"/>
        </w:rPr>
      </w:pPr>
      <w:r>
        <w:rPr>
          <w:rFonts w:ascii="Arial" w:cs="Arial" w:eastAsia="Arial" w:hAnsi="Arial"/>
          <w:sz w:val="17"/>
          <w:szCs w:val="17"/>
          <w:color w:val="auto"/>
        </w:rPr>
        <w:t>upon our liquidation, dissolution or winding up, whether voluntary or involuntary, to participate in the distribution of any assets remaining after the payment of all debts and liabilities, subject to any preferential rights of holders of any outstanding shares of preferred stock; and</w:t>
      </w:r>
    </w:p>
    <w:p>
      <w:pPr>
        <w:spacing w:after="0" w:line="8" w:lineRule="exact"/>
        <w:rPr>
          <w:rFonts w:ascii="Arial" w:cs="Arial" w:eastAsia="Arial" w:hAnsi="Arial"/>
          <w:sz w:val="21"/>
          <w:szCs w:val="21"/>
          <w:color w:val="auto"/>
        </w:rPr>
      </w:pPr>
    </w:p>
    <w:p>
      <w:pPr>
        <w:ind w:left="660" w:hanging="328"/>
        <w:spacing w:after="0"/>
        <w:tabs>
          <w:tab w:leader="none" w:pos="660" w:val="left"/>
        </w:tabs>
        <w:numPr>
          <w:ilvl w:val="0"/>
          <w:numId w:val="51"/>
        </w:numPr>
        <w:rPr>
          <w:rFonts w:ascii="Arial" w:cs="Arial" w:eastAsia="Arial" w:hAnsi="Arial"/>
          <w:sz w:val="21"/>
          <w:szCs w:val="21"/>
          <w:color w:val="auto"/>
        </w:rPr>
      </w:pPr>
      <w:r>
        <w:rPr>
          <w:rFonts w:ascii="Arial" w:cs="Arial" w:eastAsia="Arial" w:hAnsi="Arial"/>
          <w:sz w:val="17"/>
          <w:szCs w:val="17"/>
          <w:color w:val="auto"/>
        </w:rPr>
        <w:t>to receive dividends, which may be cumulative or non-cumulative, as may be lawfully declared from time to time by our board of directors.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Other Rights and Restrictions</w:t>
      </w:r>
      <w:r>
        <w:rPr>
          <w:rFonts w:ascii="Arial" w:cs="Arial" w:eastAsia="Arial" w:hAnsi="Arial"/>
          <w:sz w:val="18"/>
          <w:szCs w:val="18"/>
          <w:color w:val="auto"/>
        </w:rPr>
        <w:t>. The holders of our common stock do not have any preemptive or subscription rights to purchase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by us, nor any rights to convert their common stock into other of our securities or to have their shares of common stock redeemed by us. Our common stock is not subject to redemption by us. Our certificate of incorporation and by-laws do not restrict the ability of a holder of common stock to transfer his or her shares of common stock. Our by-laws provide that holders of our common stock may act by written consent on any matters that could otherwise be brought at annual or special meetings.</w:t>
      </w: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Our board of directors has the authority, without further action by our stockholders, to issue up to 30 million shares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par value $0.10 per share, in one or more classes or series and to fix the number of shares, designations, relative rights (including voting, conversion, redemption, and dividend rights), terms of redemption, preferences, and limitations of such series to the full extent now or hereafter permitted by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413" w:right="3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Anti-Takeover Effects of Our Certificate of Incorporation and By-Law Provisions</w:t>
      </w:r>
    </w:p>
    <w:p>
      <w:pPr>
        <w:spacing w:after="0" w:line="256"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Because the board of directors has the power to establish the preferences and rights of the shares of any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preferred stock, it may afford holders of any preferred stock preferences, powers and rights, including voting and dividend rights, senior to the rights of holders of the common stock, which could adversely affect the holders of the common stock and could discourage a takeover of us even if a change of control of our company would be beneficial to the interests of our stockholders.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Special Stockholder Meetings. </w:t>
      </w:r>
      <w:r>
        <w:rPr>
          <w:rFonts w:ascii="Arial" w:cs="Arial" w:eastAsia="Arial" w:hAnsi="Arial"/>
          <w:sz w:val="16"/>
          <w:szCs w:val="16"/>
          <w:color w:val="auto"/>
        </w:rPr>
        <w:t>Our by-laws provide that a special meeting of stockholders may be called only by a resolution adopted by a majority</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our board of directors or by stockholders owning at least 10% of our outstanding common stock, subject to the requirements and procedures as set forth in our by-laws.</w:t>
      </w:r>
    </w:p>
    <w:p>
      <w:pPr>
        <w:spacing w:after="0" w:line="200" w:lineRule="exact"/>
        <w:rPr>
          <w:sz w:val="20"/>
          <w:szCs w:val="20"/>
          <w:color w:val="auto"/>
        </w:rPr>
      </w:pPr>
    </w:p>
    <w:p>
      <w:pPr>
        <w:spacing w:after="0" w:line="24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i w:val="1"/>
          <w:iCs w:val="1"/>
          <w:color w:val="auto"/>
        </w:rPr>
        <w:t xml:space="preserve">Stockholder Advance Notice Procedure. </w:t>
      </w:r>
      <w:r>
        <w:rPr>
          <w:rFonts w:ascii="Arial" w:cs="Arial" w:eastAsia="Arial" w:hAnsi="Arial"/>
          <w:sz w:val="18"/>
          <w:szCs w:val="18"/>
          <w:color w:val="auto"/>
        </w:rPr>
        <w:t>Our by-laws establish an advance notice procedure for stockholders to make nominations of candidates for</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as directors or to bring other business before an annual meeting of our stockholders.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Section 203 of the Delaware General Corporation Law. </w:t>
      </w:r>
      <w:r>
        <w:rPr>
          <w:rFonts w:ascii="Arial" w:cs="Arial" w:eastAsia="Arial" w:hAnsi="Arial"/>
          <w:sz w:val="18"/>
          <w:szCs w:val="18"/>
          <w:color w:val="auto"/>
        </w:rPr>
        <w:t>We are subject to Section 203 of the DGCL</w:t>
      </w:r>
    </w:p>
    <w:p>
      <w:pPr>
        <w:spacing w:after="0" w:line="2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(“Section 203”), which, with specified exceptions, prohibits a Delaware corporation from engaging in any “business combination” with any “interested stockholder” for a period of three years following the time that the stockholder became an interested stockholder unless:</w:t>
      </w:r>
    </w:p>
    <w:p>
      <w:pPr>
        <w:spacing w:after="0" w:line="253" w:lineRule="exact"/>
        <w:rPr>
          <w:sz w:val="20"/>
          <w:szCs w:val="20"/>
          <w:color w:val="auto"/>
        </w:rPr>
      </w:pPr>
    </w:p>
    <w:p>
      <w:pPr>
        <w:ind w:left="660" w:right="520" w:hanging="328"/>
        <w:spacing w:after="0" w:line="232" w:lineRule="auto"/>
        <w:tabs>
          <w:tab w:leader="none" w:pos="655" w:val="left"/>
        </w:tabs>
        <w:numPr>
          <w:ilvl w:val="0"/>
          <w:numId w:val="52"/>
        </w:numPr>
        <w:rPr>
          <w:rFonts w:ascii="Arial" w:cs="Arial" w:eastAsia="Arial" w:hAnsi="Arial"/>
          <w:sz w:val="22"/>
          <w:szCs w:val="22"/>
          <w:color w:val="auto"/>
        </w:rPr>
      </w:pPr>
      <w:r>
        <w:rPr>
          <w:rFonts w:ascii="Arial" w:cs="Arial" w:eastAsia="Arial" w:hAnsi="Arial"/>
          <w:sz w:val="18"/>
          <w:szCs w:val="18"/>
          <w:color w:val="auto"/>
        </w:rPr>
        <w:t>prior to that time, the board of directors of the corporation approved either the business combination or the transaction which resulted in the stockholder becoming an interested stockholder;</w:t>
      </w:r>
    </w:p>
    <w:p>
      <w:pPr>
        <w:spacing w:after="0" w:line="27"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52"/>
        </w:numPr>
        <w:rPr>
          <w:rFonts w:ascii="Arial" w:cs="Arial" w:eastAsia="Arial" w:hAnsi="Arial"/>
          <w:sz w:val="22"/>
          <w:szCs w:val="22"/>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6" w:lineRule="exact"/>
        <w:rPr>
          <w:rFonts w:ascii="Arial" w:cs="Arial" w:eastAsia="Arial" w:hAnsi="Arial"/>
          <w:sz w:val="22"/>
          <w:szCs w:val="22"/>
          <w:color w:val="auto"/>
        </w:rPr>
      </w:pPr>
    </w:p>
    <w:p>
      <w:pPr>
        <w:ind w:left="660" w:hanging="328"/>
        <w:spacing w:after="0" w:line="238" w:lineRule="auto"/>
        <w:tabs>
          <w:tab w:leader="none" w:pos="655" w:val="left"/>
        </w:tabs>
        <w:numPr>
          <w:ilvl w:val="0"/>
          <w:numId w:val="52"/>
        </w:numPr>
        <w:rPr>
          <w:rFonts w:ascii="Arial" w:cs="Arial" w:eastAsia="Arial" w:hAnsi="Arial"/>
          <w:sz w:val="22"/>
          <w:szCs w:val="22"/>
          <w:color w:val="auto"/>
        </w:rPr>
      </w:pPr>
      <w:r>
        <w:rPr>
          <w:rFonts w:ascii="Arial" w:cs="Arial" w:eastAsia="Arial" w:hAnsi="Arial"/>
          <w:sz w:val="18"/>
          <w:szCs w:val="18"/>
          <w:color w:val="auto"/>
        </w:rPr>
        <w:t>at or after that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7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any merger or consolidation of the corporation with the interested stockholder;</w:t>
      </w:r>
    </w:p>
    <w:p>
      <w:pPr>
        <w:spacing w:after="0" w:line="26"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spacing w:after="0" w:line="27" w:lineRule="exact"/>
        <w:rPr>
          <w:rFonts w:ascii="Arial" w:cs="Arial" w:eastAsia="Arial" w:hAnsi="Arial"/>
          <w:sz w:val="22"/>
          <w:szCs w:val="22"/>
          <w:color w:val="auto"/>
        </w:rPr>
      </w:pPr>
    </w:p>
    <w:p>
      <w:pPr>
        <w:ind w:left="660" w:right="380" w:hanging="328"/>
        <w:spacing w:after="0" w:line="232"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18"/>
          <w:szCs w:val="18"/>
          <w:color w:val="auto"/>
        </w:rPr>
        <w:t>subject to specified exceptions, any transaction that results in the issuance or transfer by the corporation of any stock of the corporation to the interested stockholder;</w:t>
      </w:r>
    </w:p>
    <w:p>
      <w:pPr>
        <w:spacing w:after="0" w:line="27" w:lineRule="exact"/>
        <w:rPr>
          <w:rFonts w:ascii="Arial" w:cs="Arial" w:eastAsia="Arial" w:hAnsi="Arial"/>
          <w:sz w:val="22"/>
          <w:szCs w:val="22"/>
          <w:color w:val="auto"/>
        </w:rPr>
      </w:pPr>
    </w:p>
    <w:p>
      <w:pPr>
        <w:ind w:left="660" w:right="720" w:hanging="328"/>
        <w:spacing w:after="0" w:line="232"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27" w:lineRule="exact"/>
        <w:rPr>
          <w:rFonts w:ascii="Arial" w:cs="Arial" w:eastAsia="Arial" w:hAnsi="Arial"/>
          <w:sz w:val="22"/>
          <w:szCs w:val="22"/>
          <w:color w:val="auto"/>
        </w:rPr>
      </w:pPr>
    </w:p>
    <w:p>
      <w:pPr>
        <w:ind w:left="660" w:right="440" w:hanging="328"/>
        <w:spacing w:after="0" w:line="232"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18"/>
          <w:szCs w:val="18"/>
          <w:color w:val="auto"/>
        </w:rPr>
        <w:t>any receipt by the interested stockholder of the benefit of any loans, advances, guarantees, pledges, or other financial benefits provided by or through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17" w:right="359" w:bottom="1440" w:gutter="0" w:footer="0" w:header="0"/>
        </w:sectPr>
      </w:pPr>
    </w:p>
    <w:bookmarkStart w:id="120" w:name="page121"/>
    <w:bookmarkEnd w:id="120"/>
    <w:p>
      <w:pPr>
        <w:ind w:firstLine="432"/>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that entity or person.</w:t>
      </w:r>
    </w:p>
    <w:p>
      <w:pPr>
        <w:spacing w:after="0" w:line="19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application of Section 203 may make it difficult and expensive for a third party to pursue a takeover attempt that we do not approve, even if a change in control would be beneficial to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1421" w:right="4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LABORATORY CORPORATION OF AMERICA HOLDINGS</w:t>
      </w:r>
    </w:p>
    <w:p>
      <w:pPr>
        <w:jc w:val="center"/>
        <w:spacing w:after="0" w:line="230" w:lineRule="auto"/>
        <w:rPr>
          <w:sz w:val="20"/>
          <w:szCs w:val="20"/>
          <w:color w:val="auto"/>
        </w:rPr>
      </w:pPr>
      <w:r>
        <w:rPr>
          <w:rFonts w:ascii="Arial" w:cs="Arial" w:eastAsia="Arial" w:hAnsi="Arial"/>
          <w:sz w:val="22"/>
          <w:szCs w:val="22"/>
          <w:b w:val="1"/>
          <w:bCs w:val="1"/>
          <w:color w:val="auto"/>
        </w:rPr>
        <w:t>MASTER SENIOR EXECUTIVE SEVERANCE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2021)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w:t>
      </w:r>
    </w:p>
    <w:p>
      <w:pPr>
        <w:spacing w:after="0" w:line="23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The purpose of this Amended and Restated Laboratory Corporation of America Holdings Master Senior Executive Severance Plan (the “</w:t>
      </w:r>
      <w:r>
        <w:rPr>
          <w:rFonts w:ascii="Arial" w:cs="Arial" w:eastAsia="Arial" w:hAnsi="Arial"/>
          <w:sz w:val="21"/>
          <w:szCs w:val="21"/>
          <w:b w:val="1"/>
          <w:bCs w:val="1"/>
          <w:color w:val="auto"/>
        </w:rPr>
        <w:t>Plan</w:t>
      </w:r>
      <w:r>
        <w:rPr>
          <w:rFonts w:ascii="Arial" w:cs="Arial" w:eastAsia="Arial" w:hAnsi="Arial"/>
          <w:sz w:val="21"/>
          <w:szCs w:val="21"/>
          <w:color w:val="auto"/>
        </w:rPr>
        <w:t>”) is to provide severance benefits for a select group of management employees of Laboratory Corporation of America Holdings. The Plan is intended to replace and consolidate the former Amended and Restated Laboratory Corporation of America Holdings Master Senior Executive Severance Plan and the Amended Laboratory Corporation of America Holdings Master Senior Executive Change in Control Severance Plan, both originally effective February 10, 2009. The Plan is not intended to duplicate severance benefits provided to certain employees who have entered into individual agreements relating to employment or the termination thereof.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When used in this Plan and initially capitalized, the following words and phrases shall have the following meanings unless the context clearly requires otherwise:</w:t>
      </w:r>
    </w:p>
    <w:p>
      <w:pPr>
        <w:spacing w:after="0" w:line="19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“Base Salary”</w:t>
      </w:r>
      <w:r>
        <w:rPr>
          <w:rFonts w:ascii="Arial" w:cs="Arial" w:eastAsia="Arial" w:hAnsi="Arial"/>
          <w:sz w:val="19"/>
          <w:szCs w:val="19"/>
          <w:color w:val="auto"/>
        </w:rPr>
        <w:t xml:space="preserve"> shall mean, as to any Covered Employee, the greatest of (1) the Covered Employee’s annual base salary rate, as of the Covered Employees Qualifying Termination, (2) the Covered Employee’s annual base salary rate as of the date the Covered Employee gives notice of a valid Good Reason termination of employment, and (3) if the Covered Employee’s Qualifying Termination occurs within 36 months following a Change in Control, the Covered Employee’s annual base salary rate as of such Change in Control, in all cases, before reduction because of an election between benefits or cash provided under a plan of the Company maintained pursuant to Section 125 or 401(k) of the Internal Revenue Code of 1986, as amended, and before reduction for any other amounts contributed to any other employee benefit plan.</w:t>
      </w:r>
    </w:p>
    <w:p>
      <w:pPr>
        <w:spacing w:after="0" w:line="17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as to any Covered Employee, that such Covered Employee shall have committed prior to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Covered Employee’s termination of employment with the Company any of the following acts:</w:t>
      </w:r>
    </w:p>
    <w:p>
      <w:pPr>
        <w:spacing w:after="0" w:line="215" w:lineRule="exact"/>
        <w:rPr>
          <w:sz w:val="20"/>
          <w:szCs w:val="20"/>
          <w:color w:val="auto"/>
        </w:rPr>
      </w:pPr>
    </w:p>
    <w:p>
      <w:pPr>
        <w:ind w:left="340" w:firstLine="640"/>
        <w:spacing w:after="0" w:line="250" w:lineRule="auto"/>
        <w:tabs>
          <w:tab w:leader="none" w:pos="1578"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 intentional act of fraud, embezzlement, theft, or any other material violation of law in connection with his duties or in the course of his employment with the Company;</w:t>
      </w:r>
    </w:p>
    <w:p>
      <w:pPr>
        <w:spacing w:after="0" w:line="201" w:lineRule="exact"/>
        <w:rPr>
          <w:rFonts w:ascii="Arial" w:cs="Arial" w:eastAsia="Arial" w:hAnsi="Arial"/>
          <w:sz w:val="22"/>
          <w:szCs w:val="22"/>
          <w:color w:val="auto"/>
        </w:rPr>
      </w:pPr>
    </w:p>
    <w:p>
      <w:pPr>
        <w:ind w:left="1500" w:hanging="520"/>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conviction of or entering of a plea of nolo contendere to a felony;</w:t>
      </w:r>
    </w:p>
    <w:p>
      <w:pPr>
        <w:spacing w:after="0" w:line="233" w:lineRule="exact"/>
        <w:rPr>
          <w:rFonts w:ascii="Arial" w:cs="Arial" w:eastAsia="Arial" w:hAnsi="Arial"/>
          <w:sz w:val="22"/>
          <w:szCs w:val="22"/>
          <w:color w:val="auto"/>
        </w:rPr>
      </w:pPr>
    </w:p>
    <w:p>
      <w:pPr>
        <w:ind w:left="1440" w:hanging="460"/>
        <w:spacing w:after="0"/>
        <w:tabs>
          <w:tab w:leader="none" w:pos="14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alcohol intoxication on the job or current illegal drug use;</w:t>
      </w:r>
    </w:p>
    <w:p>
      <w:pPr>
        <w:spacing w:after="0" w:line="233" w:lineRule="exact"/>
        <w:rPr>
          <w:rFonts w:ascii="Arial" w:cs="Arial" w:eastAsia="Arial" w:hAnsi="Arial"/>
          <w:sz w:val="22"/>
          <w:szCs w:val="22"/>
          <w:color w:val="auto"/>
        </w:rPr>
      </w:pPr>
    </w:p>
    <w:p>
      <w:pPr>
        <w:ind w:left="1440" w:hanging="460"/>
        <w:spacing w:after="0"/>
        <w:tabs>
          <w:tab w:leader="none" w:pos="14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intentional wrongful damage to tangible assets of the Company;</w:t>
      </w:r>
    </w:p>
    <w:p>
      <w:pPr>
        <w:sectPr>
          <w:pgSz w:w="11900" w:h="16838" w:orient="portrait"/>
          <w:cols w:equalWidth="0" w:num="1">
            <w:col w:w="11240"/>
          </w:cols>
          <w:pgMar w:left="320" w:top="1408" w:right="339" w:bottom="1440" w:gutter="0" w:footer="0" w:header="0"/>
        </w:sectPr>
      </w:pPr>
    </w:p>
    <w:bookmarkStart w:id="122" w:name="page123"/>
    <w:bookmarkEnd w:id="122"/>
    <w:p>
      <w:pPr>
        <w:jc w:val="both"/>
        <w:ind w:left="340" w:firstLine="640"/>
        <w:spacing w:after="0"/>
        <w:tabs>
          <w:tab w:leader="none" w:pos="145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intentional wrongful disclosure of material confidential information of the Company and/or materially breaching the noncompetition, non-solicitation or confidentiality provisions of any noncompetition, non-solicitation or confidentiality agreement, plan or policy covering the activities of such Covered Employee;</w:t>
      </w:r>
    </w:p>
    <w:p>
      <w:pPr>
        <w:spacing w:after="0" w:line="213" w:lineRule="exact"/>
        <w:rPr>
          <w:rFonts w:ascii="Arial" w:cs="Arial" w:eastAsia="Arial" w:hAnsi="Arial"/>
          <w:sz w:val="22"/>
          <w:szCs w:val="22"/>
          <w:color w:val="auto"/>
        </w:rPr>
      </w:pPr>
    </w:p>
    <w:p>
      <w:pPr>
        <w:ind w:left="1420" w:hanging="440"/>
        <w:spacing w:after="0"/>
        <w:tabs>
          <w:tab w:leader="none" w:pos="1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knowing and intentional breach of any employment policy of the Company;</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or</w:t>
      </w:r>
    </w:p>
    <w:p>
      <w:pPr>
        <w:spacing w:after="0" w:line="44" w:lineRule="exact"/>
        <w:rPr>
          <w:sz w:val="20"/>
          <w:szCs w:val="20"/>
          <w:color w:val="auto"/>
        </w:rPr>
      </w:pPr>
    </w:p>
    <w:p>
      <w:pPr>
        <w:jc w:val="both"/>
        <w:ind w:left="340" w:firstLine="640"/>
        <w:spacing w:after="0"/>
        <w:tabs>
          <w:tab w:leader="none" w:pos="1679" w:val="left"/>
        </w:tabs>
        <w:numPr>
          <w:ilvl w:val="0"/>
          <w:numId w:val="56"/>
        </w:numPr>
        <w:rPr>
          <w:rFonts w:ascii="Arial" w:cs="Arial" w:eastAsia="Arial" w:hAnsi="Arial"/>
          <w:sz w:val="22"/>
          <w:szCs w:val="22"/>
          <w:color w:val="auto"/>
        </w:rPr>
      </w:pPr>
      <w:r>
        <w:rPr>
          <w:rFonts w:ascii="Arial" w:cs="Arial" w:eastAsia="Arial" w:hAnsi="Arial"/>
          <w:sz w:val="22"/>
          <w:szCs w:val="22"/>
          <w:color w:val="auto"/>
        </w:rPr>
        <w:t>gross neglect or misconduct, disloyalty, dishonestly, or breach of trust in the performance of the Covered Employee’s duties that is not corrected to the Company’s satisfaction within 30 days of the Covered Employee receiving notice thereof.</w:t>
      </w:r>
    </w:p>
    <w:p>
      <w:pPr>
        <w:spacing w:after="0" w:line="261" w:lineRule="exact"/>
        <w:rPr>
          <w:sz w:val="20"/>
          <w:szCs w:val="20"/>
          <w:color w:val="auto"/>
        </w:rPr>
      </w:pPr>
    </w:p>
    <w:p>
      <w:pPr>
        <w:ind w:right="20" w:firstLine="324"/>
        <w:spacing w:after="0" w:line="256" w:lineRule="auto"/>
        <w:rPr>
          <w:sz w:val="20"/>
          <w:szCs w:val="20"/>
          <w:color w:val="auto"/>
        </w:rPr>
      </w:pPr>
      <w:r>
        <w:rPr>
          <w:rFonts w:ascii="Arial" w:cs="Arial" w:eastAsia="Arial" w:hAnsi="Arial"/>
          <w:sz w:val="22"/>
          <w:szCs w:val="22"/>
          <w:color w:val="auto"/>
        </w:rPr>
        <w:t>1.3 “</w:t>
      </w:r>
      <w:r>
        <w:rPr>
          <w:rFonts w:ascii="Arial" w:cs="Arial" w:eastAsia="Arial" w:hAnsi="Arial"/>
          <w:sz w:val="22"/>
          <w:szCs w:val="22"/>
          <w:b w:val="1"/>
          <w:bCs w:val="1"/>
          <w:color w:val="auto"/>
        </w:rPr>
        <w:t>Change in Control</w:t>
      </w:r>
      <w:r>
        <w:rPr>
          <w:rFonts w:ascii="Arial" w:cs="Arial" w:eastAsia="Arial" w:hAnsi="Arial"/>
          <w:sz w:val="22"/>
          <w:szCs w:val="22"/>
          <w:color w:val="auto"/>
        </w:rPr>
        <w:t>” shall have the meaning given such term in the Company’s 2016 Omnibus Incentive Plan, as it may be amended from time to time, or any successor thereto.</w:t>
      </w:r>
    </w:p>
    <w:p>
      <w:pPr>
        <w:spacing w:after="0" w:line="18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shall mean Laboratory Corporation of America Holdings and any successor corporation.</w:t>
      </w:r>
    </w:p>
    <w:p>
      <w:pPr>
        <w:spacing w:after="0" w:line="233"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Covered Employee</w:t>
      </w:r>
      <w:r>
        <w:rPr>
          <w:rFonts w:ascii="Arial" w:cs="Arial" w:eastAsia="Arial" w:hAnsi="Arial"/>
          <w:sz w:val="19"/>
          <w:szCs w:val="19"/>
          <w:color w:val="auto"/>
        </w:rPr>
        <w:t>” shall mean an employee described in ARTICLE II of the Plan.</w:t>
      </w:r>
    </w:p>
    <w:p>
      <w:pPr>
        <w:spacing w:after="0" w:line="233"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Designated Group</w:t>
      </w:r>
      <w:r>
        <w:rPr>
          <w:rFonts w:ascii="Arial" w:cs="Arial" w:eastAsia="Arial" w:hAnsi="Arial"/>
          <w:sz w:val="19"/>
          <w:szCs w:val="19"/>
          <w:color w:val="auto"/>
        </w:rPr>
        <w:t>” shall mean any one of the groups of employees designated as such on Schedule I attached hereto.</w:t>
      </w:r>
    </w:p>
    <w:p>
      <w:pPr>
        <w:spacing w:after="0" w:line="233"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mean January 1, 2021.</w:t>
      </w:r>
    </w:p>
    <w:p>
      <w:pPr>
        <w:spacing w:after="0" w:line="23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shall mean:</w:t>
      </w:r>
    </w:p>
    <w:p>
      <w:pPr>
        <w:spacing w:after="0" w:line="104" w:lineRule="exact"/>
        <w:rPr>
          <w:sz w:val="20"/>
          <w:szCs w:val="20"/>
          <w:color w:val="auto"/>
        </w:rPr>
      </w:pPr>
    </w:p>
    <w:p>
      <w:pPr>
        <w:ind w:left="340" w:firstLine="640"/>
        <w:spacing w:after="0" w:line="250" w:lineRule="auto"/>
        <w:tabs>
          <w:tab w:leader="none" w:pos="1478"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material reduction in the base salary or targeted bonus as a percent of a base salary without the consent of the Covered Employee;</w:t>
      </w:r>
    </w:p>
    <w:p>
      <w:pPr>
        <w:spacing w:after="0" w:line="201" w:lineRule="exact"/>
        <w:rPr>
          <w:rFonts w:ascii="Arial" w:cs="Arial" w:eastAsia="Arial" w:hAnsi="Arial"/>
          <w:sz w:val="22"/>
          <w:szCs w:val="22"/>
          <w:color w:val="auto"/>
        </w:rPr>
      </w:pPr>
    </w:p>
    <w:p>
      <w:pPr>
        <w:ind w:left="340" w:firstLine="640"/>
        <w:spacing w:after="0" w:line="250" w:lineRule="auto"/>
        <w:tabs>
          <w:tab w:leader="none" w:pos="1561"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relocation to an office location more than 75 miles from the Covered Employee’s current office without the consent of the Covered Employee; or</w:t>
      </w:r>
    </w:p>
    <w:p>
      <w:pPr>
        <w:spacing w:after="0" w:line="201" w:lineRule="exact"/>
        <w:rPr>
          <w:rFonts w:ascii="Arial" w:cs="Arial" w:eastAsia="Arial" w:hAnsi="Arial"/>
          <w:sz w:val="22"/>
          <w:szCs w:val="22"/>
          <w:color w:val="auto"/>
        </w:rPr>
      </w:pPr>
    </w:p>
    <w:p>
      <w:pPr>
        <w:ind w:left="340" w:right="20" w:firstLine="640"/>
        <w:spacing w:after="0" w:line="250" w:lineRule="auto"/>
        <w:tabs>
          <w:tab w:leader="none" w:pos="1582"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material reduction in job responsibilities and duties or transfer to another job without the consent of the Covered Employee.</w:t>
      </w:r>
    </w:p>
    <w:p>
      <w:pPr>
        <w:spacing w:after="0" w:line="20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Notwithstanding the foregoing, “Good Reason” shall not include a reduction in base salary or target bonus of the Covered Employee where such reduction is pursuant to a Company-wide reduction of base salaries and/or target bonuses.</w:t>
      </w:r>
    </w:p>
    <w:p>
      <w:pPr>
        <w:spacing w:after="0" w:line="126" w:lineRule="exact"/>
        <w:rPr>
          <w:sz w:val="20"/>
          <w:szCs w:val="20"/>
          <w:color w:val="auto"/>
        </w:rPr>
      </w:pPr>
    </w:p>
    <w:p>
      <w:pPr>
        <w:ind w:firstLine="324"/>
        <w:spacing w:after="0" w:line="256"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Plan</w:t>
      </w:r>
      <w:r>
        <w:rPr>
          <w:rFonts w:ascii="Arial" w:cs="Arial" w:eastAsia="Arial" w:hAnsi="Arial"/>
          <w:sz w:val="22"/>
          <w:szCs w:val="22"/>
          <w:color w:val="auto"/>
        </w:rPr>
        <w:t>” shall mean this Amended and Restated Laboratory Corporation of America Holdings Master Senior Executive Severance Plan, as the same may hereafter be amended from time to time.</w:t>
      </w:r>
    </w:p>
    <w:p>
      <w:pPr>
        <w:spacing w:after="0" w:line="189"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Qualifying Termination</w:t>
      </w:r>
      <w:r>
        <w:rPr>
          <w:rFonts w:ascii="Arial" w:cs="Arial" w:eastAsia="Arial" w:hAnsi="Arial"/>
          <w:sz w:val="19"/>
          <w:szCs w:val="19"/>
          <w:color w:val="auto"/>
        </w:rPr>
        <w:t>” shall mean:</w:t>
      </w:r>
    </w:p>
    <w:p>
      <w:pPr>
        <w:spacing w:after="0" w:line="239" w:lineRule="exact"/>
        <w:rPr>
          <w:sz w:val="20"/>
          <w:szCs w:val="20"/>
          <w:color w:val="auto"/>
        </w:rPr>
      </w:pPr>
    </w:p>
    <w:p>
      <w:pPr>
        <w:ind w:left="1480" w:hanging="500"/>
        <w:spacing w:after="0"/>
        <w:tabs>
          <w:tab w:leader="none" w:pos="14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 involuntary Termination without Cause; or</w:t>
      </w:r>
    </w:p>
    <w:p>
      <w:pPr>
        <w:sectPr>
          <w:pgSz w:w="11900" w:h="16838" w:orient="portrait"/>
          <w:cols w:equalWidth="0" w:num="1">
            <w:col w:w="11240"/>
          </w:cols>
          <w:pgMar w:left="320" w:top="1414" w:right="339" w:bottom="1440" w:gutter="0" w:footer="0" w:header="0"/>
        </w:sectPr>
      </w:pPr>
    </w:p>
    <w:bookmarkStart w:id="123" w:name="page124"/>
    <w:bookmarkEnd w:id="123"/>
    <w:p>
      <w:pPr>
        <w:jc w:val="both"/>
        <w:ind w:left="340" w:firstLine="640"/>
        <w:spacing w:after="0" w:line="234" w:lineRule="auto"/>
        <w:tabs>
          <w:tab w:leader="none" w:pos="1504"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voluntary Termination with Good Reason; provided, however, that to constitute a Qualifying Termination for Good Reason, (1) the Covered Employee must provide written notice to the Company detailing the events that constitute Good Reason and the Covered Employee’s desire to terminate the Covered Employee’s employment with the Company no later than 30 days after the Covered Employee learns of the circumstances constituting Good Reason, (2) the Company must fail to cure such circumstances within 30 days after receipt of said notice (“</w:t>
      </w:r>
      <w:r>
        <w:rPr>
          <w:rFonts w:ascii="Arial" w:cs="Arial" w:eastAsia="Arial" w:hAnsi="Arial"/>
          <w:sz w:val="22"/>
          <w:szCs w:val="22"/>
          <w:b w:val="1"/>
          <w:bCs w:val="1"/>
          <w:color w:val="auto"/>
        </w:rPr>
        <w:t>Cure Period</w:t>
      </w:r>
      <w:r>
        <w:rPr>
          <w:rFonts w:ascii="Arial" w:cs="Arial" w:eastAsia="Arial" w:hAnsi="Arial"/>
          <w:sz w:val="22"/>
          <w:szCs w:val="22"/>
          <w:color w:val="auto"/>
        </w:rPr>
        <w:t>”), and (3) the Covered Employee must actually have a Termination within 30 days after the end of said Cure Period. If the preceding procedures are not followed, such Termination shall be considered a voluntary Termination without Good Reason and not a Qualifying Termination.</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the foregoing, a “Qualifying Termination” shall not mean any Termination of a Covered Employee’s employment with the Company by reason of death, disability, or retirement of the Covered employee.</w:t>
      </w:r>
    </w:p>
    <w:p>
      <w:pPr>
        <w:spacing w:after="0" w:line="19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Severance Pay</w:t>
      </w:r>
      <w:r>
        <w:rPr>
          <w:rFonts w:ascii="Arial" w:cs="Arial" w:eastAsia="Arial" w:hAnsi="Arial"/>
          <w:sz w:val="19"/>
          <w:szCs w:val="19"/>
          <w:color w:val="auto"/>
        </w:rPr>
        <w:t>” shall mean the sum payable as set forth in Section 3.1 of the Plan.</w:t>
      </w:r>
    </w:p>
    <w:p>
      <w:pPr>
        <w:spacing w:after="0" w:line="23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1.12 “</w:t>
      </w:r>
      <w:r>
        <w:rPr>
          <w:rFonts w:ascii="Arial" w:cs="Arial" w:eastAsia="Arial" w:hAnsi="Arial"/>
          <w:sz w:val="21"/>
          <w:szCs w:val="21"/>
          <w:b w:val="1"/>
          <w:bCs w:val="1"/>
          <w:color w:val="auto"/>
        </w:rPr>
        <w:t>MIB Average Bonus</w:t>
      </w:r>
      <w:r>
        <w:rPr>
          <w:rFonts w:ascii="Arial" w:cs="Arial" w:eastAsia="Arial" w:hAnsi="Arial"/>
          <w:sz w:val="21"/>
          <w:szCs w:val="21"/>
          <w:color w:val="auto"/>
        </w:rPr>
        <w:t>” shall mean the total dollar amount of the last three MIB Bonuses paid to the Covered Employee divided by (3) three. If, however, (i) the Covered Employee has received less than three MIB Bonuses during the term of the Covered Employee’s employment, then the MIB Average Bonus shall equal the total dollar amount of the MIB Bonuses paid to the Covered Employee divided by the number of MIB Bonuses received by the Covered Employee, and (ii) if the Covered Employee has not received any MIB Bonuses during the term of the Covered Employee’s employment, then the MIB Average Bonus shall equal the Covered Employee’s target MIB Bonus for the year of the Covered Employee’s Qualifying Termination. In all cases, the total dollar amount of an MIB Bonus paid to a Covered Employee who was employed for less than a full MIB Bonus measurement period, shall be annualized.</w:t>
      </w:r>
    </w:p>
    <w:p>
      <w:pPr>
        <w:spacing w:after="0" w:line="19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MIB Bonus”</w:t>
      </w:r>
      <w:r>
        <w:rPr>
          <w:rFonts w:ascii="Arial" w:cs="Arial" w:eastAsia="Arial" w:hAnsi="Arial"/>
          <w:sz w:val="22"/>
          <w:szCs w:val="22"/>
          <w:color w:val="auto"/>
        </w:rPr>
        <w:t xml:space="preserve"> shall mean the annual cash incentive bonus paid to the Covered Employee under the applicable annual cash incentive performance plan or program of the Company.</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color w:val="auto"/>
        </w:rPr>
        <w:t>Term</w:t>
      </w:r>
      <w:r>
        <w:rPr>
          <w:rFonts w:ascii="Arial" w:cs="Arial" w:eastAsia="Arial" w:hAnsi="Arial"/>
          <w:sz w:val="22"/>
          <w:szCs w:val="22"/>
          <w:color w:val="auto"/>
        </w:rPr>
        <w:t>” shall mean the period commencing on the Effective Date and ending at the time determined in accordance with Section 7.2.</w:t>
      </w:r>
    </w:p>
    <w:p>
      <w:pPr>
        <w:spacing w:after="0" w:line="189"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9"/>
          <w:szCs w:val="19"/>
          <w:color w:val="auto"/>
        </w:rPr>
        <w:t>1.15 “</w:t>
      </w:r>
      <w:r>
        <w:rPr>
          <w:rFonts w:ascii="Arial" w:cs="Arial" w:eastAsia="Arial" w:hAnsi="Arial"/>
          <w:sz w:val="19"/>
          <w:szCs w:val="19"/>
          <w:b w:val="1"/>
          <w:bCs w:val="1"/>
          <w:color w:val="auto"/>
        </w:rPr>
        <w:t>Termination</w:t>
      </w:r>
      <w:r>
        <w:rPr>
          <w:rFonts w:ascii="Arial" w:cs="Arial" w:eastAsia="Arial" w:hAnsi="Arial"/>
          <w:sz w:val="19"/>
          <w:szCs w:val="19"/>
          <w:color w:val="auto"/>
        </w:rPr>
        <w:t>” shall cover all terminations of employment referred to under this Plan and shall mean a “separation from service” as defined in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as amended.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COVERED EMPLOYEES</w:t>
      </w:r>
    </w:p>
    <w:p>
      <w:pPr>
        <w:spacing w:after="0" w:line="2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Status as a Covered Employee</w:t>
      </w:r>
      <w:r>
        <w:rPr>
          <w:rFonts w:ascii="Arial" w:cs="Arial" w:eastAsia="Arial" w:hAnsi="Arial"/>
          <w:sz w:val="21"/>
          <w:szCs w:val="21"/>
          <w:color w:val="auto"/>
        </w:rPr>
        <w:t>. Any management employee of the Company designated by the Board to participate in the Plan and who is at the time of a Qualifying Termination such a designated employee shall be eligible to receive the benefits described in the Plan. As of the Effective Date, those employees so designated by the Board are as set forth on the attached Schedule 1. No employee who is entitled to receive payments under an individual</w:t>
      </w:r>
    </w:p>
    <w:p>
      <w:pPr>
        <w:sectPr>
          <w:pgSz w:w="11900" w:h="16838" w:orient="portrait"/>
          <w:cols w:equalWidth="0" w:num="1">
            <w:col w:w="11240"/>
          </w:cols>
          <w:pgMar w:left="320" w:top="1414" w:right="339" w:bottom="1440" w:gutter="0" w:footer="0" w:header="0"/>
        </w:sectPr>
      </w:pPr>
    </w:p>
    <w:bookmarkStart w:id="124" w:name="page125"/>
    <w:bookmarkEnd w:id="124"/>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agreement relating to benefits payable upon said employee’s termination of employment shall be a Covered Employee, even if the employee’s position is listed on Schedule 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PAY</w:t>
      </w:r>
    </w:p>
    <w:p>
      <w:pPr>
        <w:spacing w:after="0" w:line="2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Amount of Severance.</w:t>
      </w:r>
      <w:r>
        <w:rPr>
          <w:rFonts w:ascii="Arial" w:cs="Arial" w:eastAsia="Arial" w:hAnsi="Arial"/>
          <w:sz w:val="19"/>
          <w:szCs w:val="19"/>
          <w:color w:val="auto"/>
        </w:rPr>
        <w:t xml:space="preserve"> Subject to Sections 3.2, 3.3, and 5.2, upon the occurrence of a Qualifying Termination and the execution by the Covered Employee of a Special Severance Agreement in substantially the form attached as Exhibit A (such agreement to be executed within 30 days of the Qualifying Termination or within 45 days of the Qualifying Termination if necessary to comply with the requirements of the Age Discrimination in Employment Act of 1967), which will contain, among other things, noncompetition, nonsolicitation, duty of loyalty, confidentiality, and release provisions that shall apply to each severance arrangement during, and in certain instances after, the time when any severance payments are being made to each Covered Employee, the Company shall pay Severance Pay to a Covered Employee in an amount equal to the mathematical product of multiplying the factor shown on Schedule 1 for the Designated Group to which the Covered Employee belongs at the time of termination, times the sum of the Covered Employee’s Base Salary plus MIB Average Bonus. Additionally, such Covered Employee shall be entitled, for up to twelve months following a Qualifying Termination, to reimbursement by the Company of the Applicable Premium for the continuation of those medical benefits, dental and vision for which the Covered Employee qualified at the time of the Qualifying Termination, pursuant to the Consolidated Omnibus Budget Reconciliation Act of 1985 (COBRA), to the extent actually paid by the Covered Employee; </w:t>
      </w:r>
      <w:r>
        <w:rPr>
          <w:rFonts w:ascii="Arial" w:cs="Arial" w:eastAsia="Arial" w:hAnsi="Arial"/>
          <w:sz w:val="19"/>
          <w:szCs w:val="19"/>
          <w:u w:val="single" w:color="auto"/>
          <w:color w:val="auto"/>
        </w:rPr>
        <w:t>provided, further, however</w:t>
      </w:r>
      <w:r>
        <w:rPr>
          <w:rFonts w:ascii="Arial" w:cs="Arial" w:eastAsia="Arial" w:hAnsi="Arial"/>
          <w:sz w:val="19"/>
          <w:szCs w:val="19"/>
          <w:color w:val="auto"/>
        </w:rPr>
        <w:t>, that any Section 125, health flexible spending, dependent care and health savings account and similar plans are explicitly excluded from the continuation of coverage provision of this section.</w:t>
      </w:r>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Effect on Other Benefit Programs.</w:t>
      </w:r>
    </w:p>
    <w:p>
      <w:pPr>
        <w:spacing w:after="0" w:line="239" w:lineRule="exact"/>
        <w:rPr>
          <w:sz w:val="20"/>
          <w:szCs w:val="20"/>
          <w:color w:val="auto"/>
        </w:rPr>
      </w:pPr>
    </w:p>
    <w:p>
      <w:pPr>
        <w:jc w:val="both"/>
        <w:ind w:firstLine="656"/>
        <w:spacing w:after="0" w:line="238" w:lineRule="auto"/>
        <w:tabs>
          <w:tab w:leader="none" w:pos="112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Severance Pay provided for hereunder is not intended to duplicate any payments to which a Covered Employee would otherwise be entitled under any individual agreement relating to employment (or the termination thereof) with the Company. Accordingly, no Severance Payment shall be payable under the Plan to any employee of the Company who is a party to such an agreement.</w:t>
      </w:r>
    </w:p>
    <w:p>
      <w:pPr>
        <w:spacing w:after="0" w:line="211" w:lineRule="exact"/>
        <w:rPr>
          <w:rFonts w:ascii="Arial" w:cs="Arial" w:eastAsia="Arial" w:hAnsi="Arial"/>
          <w:sz w:val="22"/>
          <w:szCs w:val="22"/>
          <w:color w:val="auto"/>
        </w:rPr>
      </w:pPr>
    </w:p>
    <w:p>
      <w:pPr>
        <w:jc w:val="both"/>
        <w:ind w:right="20" w:firstLine="656"/>
        <w:spacing w:after="0"/>
        <w:tabs>
          <w:tab w:leader="none" w:pos="1121" w:val="left"/>
        </w:tabs>
        <w:numPr>
          <w:ilvl w:val="0"/>
          <w:numId w:val="60"/>
        </w:numPr>
        <w:rPr>
          <w:rFonts w:ascii="Arial" w:cs="Arial" w:eastAsia="Arial" w:hAnsi="Arial"/>
          <w:sz w:val="22"/>
          <w:szCs w:val="22"/>
          <w:color w:val="auto"/>
        </w:rPr>
      </w:pPr>
      <w:r>
        <w:rPr>
          <w:rFonts w:ascii="Arial" w:cs="Arial" w:eastAsia="Arial" w:hAnsi="Arial"/>
          <w:sz w:val="22"/>
          <w:szCs w:val="22"/>
          <w:color w:val="auto"/>
        </w:rPr>
        <w:t>By the acceptance of any Severance Pay under the Plan, a Covered Employee shall be deemed to waive, release, and forever discharge any and all claims to the payment of any severance benefit under any employment contract, severance plan or program of the Company other than the Plan.</w:t>
      </w:r>
    </w:p>
    <w:p>
      <w:pPr>
        <w:spacing w:after="0" w:line="20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Limitation on Amount of Severance Pay.</w:t>
      </w:r>
      <w:r>
        <w:rPr>
          <w:rFonts w:ascii="Arial" w:cs="Arial" w:eastAsia="Arial" w:hAnsi="Arial"/>
          <w:sz w:val="22"/>
          <w:szCs w:val="22"/>
          <w:color w:val="auto"/>
        </w:rPr>
        <w:t xml:space="preserve"> Notwithstanding any other provision of this Plan, the total of the Severance Pay plus the Applicable Premiums to be paid to or on behalf of a Covered Employee shall not exceed three times the Covered Employee’s Annual Compensation during the year immediately preceding the Covered Employee’s termination of service. “</w:t>
      </w:r>
      <w:r>
        <w:rPr>
          <w:rFonts w:ascii="Arial" w:cs="Arial" w:eastAsia="Arial" w:hAnsi="Arial"/>
          <w:sz w:val="22"/>
          <w:szCs w:val="22"/>
          <w:b w:val="1"/>
          <w:bCs w:val="1"/>
          <w:color w:val="auto"/>
        </w:rPr>
        <w:t>Annual Compensation</w:t>
      </w:r>
      <w:r>
        <w:rPr>
          <w:rFonts w:ascii="Arial" w:cs="Arial" w:eastAsia="Arial" w:hAnsi="Arial"/>
          <w:sz w:val="22"/>
          <w:szCs w:val="22"/>
          <w:color w:val="auto"/>
        </w:rPr>
        <w:t>” means the amount represented in Box 1 of the Covered Employee’s W-2 for the year immediately preceding the Covered Employee’s termination of service, annualized to the extent the Covered Employee was not employed for a full year.</w:t>
      </w:r>
    </w:p>
    <w:p>
      <w:pPr>
        <w:sectPr>
          <w:pgSz w:w="11900" w:h="16838" w:orient="portrait"/>
          <w:cols w:equalWidth="0" w:num="1">
            <w:col w:w="11240"/>
          </w:cols>
          <w:pgMar w:left="320" w:top="1440" w:right="339" w:bottom="1440" w:gutter="0" w:footer="0" w:header="0"/>
        </w:sectPr>
      </w:pPr>
    </w:p>
    <w:bookmarkStart w:id="125" w:name="page126"/>
    <w:bookmarkEnd w:id="125"/>
    <w:p>
      <w:pPr>
        <w:jc w:val="both"/>
        <w:spacing w:after="0" w:line="239"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No Duty to Mitigate.</w:t>
      </w:r>
      <w:r>
        <w:rPr>
          <w:rFonts w:ascii="Arial" w:cs="Arial" w:eastAsia="Arial" w:hAnsi="Arial"/>
          <w:sz w:val="22"/>
          <w:szCs w:val="22"/>
          <w:color w:val="auto"/>
        </w:rPr>
        <w:t xml:space="preserve"> A Covered Employee shall not be required by reason of the Plan to mitigate damages or the amount of the Covered Employee’s Severance Pay under the Plan by seeking other employment or otherwise, nor shall the amount of such payments be reduced or adjusted by compensation earned by the Covered Employee as a result of employment after the Covered Employee’s Qualifying Termination.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CESSATION OF BENEFITS</w:t>
      </w:r>
    </w:p>
    <w:p>
      <w:pPr>
        <w:spacing w:after="0" w:line="209" w:lineRule="exact"/>
        <w:rPr>
          <w:sz w:val="20"/>
          <w:szCs w:val="20"/>
          <w:color w:val="auto"/>
        </w:rPr>
      </w:pPr>
    </w:p>
    <w:p>
      <w:pPr>
        <w:jc w:val="both"/>
        <w:ind w:right="20"/>
        <w:spacing w:after="0" w:line="33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Reemployment with the Company.</w:t>
      </w:r>
      <w:r>
        <w:rPr>
          <w:rFonts w:ascii="Arial" w:cs="Arial" w:eastAsia="Arial" w:hAnsi="Arial"/>
          <w:sz w:val="19"/>
          <w:szCs w:val="19"/>
          <w:color w:val="auto"/>
        </w:rPr>
        <w:t xml:space="preserve"> A Covered Employee who recommences employment with the Company but who has already received benefits under the Plan, or a predecessor thereto, shall not be entitled to any further benefits under the Plan.</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color w:val="auto"/>
        </w:rPr>
        <w:t>Breach of the Special Severance Agreement.</w:t>
      </w:r>
      <w:r>
        <w:rPr>
          <w:rFonts w:ascii="Arial" w:cs="Arial" w:eastAsia="Arial" w:hAnsi="Arial"/>
          <w:sz w:val="22"/>
          <w:szCs w:val="22"/>
          <w:color w:val="auto"/>
        </w:rPr>
        <w:t xml:space="preserve"> If a Covered Employee breaches any material term of the Special Severance Agreement, the Covered Employee shall be entitled to no further benefits under the Plan. For purposes of this section, any violation of the confidentiality, noncompetition, nonsolicitation, release, or duty of loyalty provisions of any plan, policy or agreement of the Company shall be considered “material.”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 OF CASH PAYMENTS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color w:val="auto"/>
        </w:rPr>
        <w:t>Severance Pay.</w:t>
      </w:r>
      <w:r>
        <w:rPr>
          <w:rFonts w:ascii="Arial" w:cs="Arial" w:eastAsia="Arial" w:hAnsi="Arial"/>
          <w:sz w:val="19"/>
          <w:szCs w:val="19"/>
          <w:color w:val="auto"/>
        </w:rPr>
        <w:t xml:space="preserve"> The Company shall pay the Covered Employee the amount to which the Covered Employee is entitled under Section 3.1 as follows: (a) 50 percent of the total Severance Pay due, less statutory deductions, shall be paid within 30 days following the execution of a Special Severance Agreement, provided that if the calendar year in which the first installment of the Severance Pay could be paid could vary depending on the time within which the Covered Employee executes the Special Severance Agreement, payment will be made in the first payroll period in the year following termination but after the Special Severance Agreement has become irrevocable; and (b) the remaining 50 percent of Severance Pay, less statutory deductions, shall be paid within 30 days following the one-year anniversary of the execution of the Special Severance Agreement, but only if the Covered Employee has complied in all material respects with the terms and conditions of the Special Severance Agreement. Notwithstanding the foregoing, all payments due hereunder shall be completed within 24 months of the termination of the Covered Employee’s employment, but payments shall be due hereunder only if the Covered Employee has complied in all material respects with the terms and conditions of the Special Severance Agreement.</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Notwithstanding any provisions of this Plan to the contrary, if the Covered Employee is a “specified employee” (within the meaning of Section 409A of the Code and determined pursuant to procedures adopted by the Company) at the time of such Covered Employee’s Qualifying Termination and if any portion of the payments or benefits to be received by the Covered Employee upon a Qualifying Termination would be considered deferred compensation under Section 409A of the Code, amounts that would otherwise be payable pursuant to this Plan during the six-month period immediately following the Covered Employee’s Qualifying Termination (the “</w:t>
      </w:r>
      <w:r>
        <w:rPr>
          <w:rFonts w:ascii="Arial" w:cs="Arial" w:eastAsia="Arial" w:hAnsi="Arial"/>
          <w:sz w:val="19"/>
          <w:szCs w:val="19"/>
          <w:b w:val="1"/>
          <w:bCs w:val="1"/>
          <w:color w:val="auto"/>
        </w:rPr>
        <w:t>Delayed Payments</w:t>
      </w:r>
      <w:r>
        <w:rPr>
          <w:rFonts w:ascii="Arial" w:cs="Arial" w:eastAsia="Arial" w:hAnsi="Arial"/>
          <w:sz w:val="19"/>
          <w:szCs w:val="19"/>
          <w:color w:val="auto"/>
        </w:rPr>
        <w:t>”) and benefits that would otherwise be provided pursuant to this Plan (the “</w:t>
      </w:r>
      <w:r>
        <w:rPr>
          <w:rFonts w:ascii="Arial" w:cs="Arial" w:eastAsia="Arial" w:hAnsi="Arial"/>
          <w:sz w:val="19"/>
          <w:szCs w:val="19"/>
          <w:b w:val="1"/>
          <w:bCs w:val="1"/>
          <w:color w:val="auto"/>
        </w:rPr>
        <w:t>Delayed Benefits</w:t>
      </w:r>
      <w:r>
        <w:rPr>
          <w:rFonts w:ascii="Arial" w:cs="Arial" w:eastAsia="Arial" w:hAnsi="Arial"/>
          <w:sz w:val="19"/>
          <w:szCs w:val="19"/>
          <w:color w:val="auto"/>
        </w:rPr>
        <w:t>”) during the six-month period immediately following the Covered Employee’s Qualifying Termination (such period, the “</w:t>
      </w:r>
      <w:r>
        <w:rPr>
          <w:rFonts w:ascii="Arial" w:cs="Arial" w:eastAsia="Arial" w:hAnsi="Arial"/>
          <w:sz w:val="19"/>
          <w:szCs w:val="19"/>
          <w:b w:val="1"/>
          <w:bCs w:val="1"/>
          <w:color w:val="auto"/>
        </w:rPr>
        <w:t>Delay Period</w:t>
      </w:r>
      <w:r>
        <w:rPr>
          <w:rFonts w:ascii="Arial" w:cs="Arial" w:eastAsia="Arial" w:hAnsi="Arial"/>
          <w:sz w:val="19"/>
          <w:szCs w:val="19"/>
          <w:color w:val="auto"/>
        </w:rPr>
        <w:t>”) shall instead be paid or made available on the</w:t>
      </w:r>
    </w:p>
    <w:p>
      <w:pPr>
        <w:sectPr>
          <w:pgSz w:w="11900" w:h="16838" w:orient="portrait"/>
          <w:cols w:equalWidth="0" w:num="1">
            <w:col w:w="11240"/>
          </w:cols>
          <w:pgMar w:left="320" w:top="1408" w:right="339" w:bottom="1440" w:gutter="0" w:footer="0" w:header="0"/>
        </w:sectPr>
      </w:pPr>
    </w:p>
    <w:bookmarkStart w:id="126" w:name="page127"/>
    <w:bookmarkEnd w:id="126"/>
    <w:p>
      <w:pPr>
        <w:jc w:val="both"/>
        <w:spacing w:after="0" w:line="265" w:lineRule="auto"/>
        <w:rPr>
          <w:sz w:val="20"/>
          <w:szCs w:val="20"/>
          <w:color w:val="auto"/>
        </w:rPr>
      </w:pPr>
      <w:r>
        <w:rPr>
          <w:rFonts w:ascii="Arial" w:cs="Arial" w:eastAsia="Arial" w:hAnsi="Arial"/>
          <w:sz w:val="20"/>
          <w:szCs w:val="20"/>
          <w:color w:val="auto"/>
        </w:rPr>
        <w:t>earlier of (i) the first business day of the seventh (7</w:t>
      </w:r>
      <w:r>
        <w:rPr>
          <w:rFonts w:ascii="Arial" w:cs="Arial" w:eastAsia="Arial" w:hAnsi="Arial"/>
          <w:sz w:val="13"/>
          <w:szCs w:val="13"/>
          <w:color w:val="auto"/>
        </w:rPr>
        <w:t>th</w:t>
      </w:r>
      <w:r>
        <w:rPr>
          <w:rFonts w:ascii="Arial" w:cs="Arial" w:eastAsia="Arial" w:hAnsi="Arial"/>
          <w:sz w:val="20"/>
          <w:szCs w:val="20"/>
          <w:color w:val="auto"/>
        </w:rPr>
        <w:t>) month following the date of the Covered Employee’s Qualifying Termination or (ii) the Covered Employee’s death (the applicable date, the “</w:t>
      </w:r>
      <w:r>
        <w:rPr>
          <w:rFonts w:ascii="Arial" w:cs="Arial" w:eastAsia="Arial" w:hAnsi="Arial"/>
          <w:sz w:val="20"/>
          <w:szCs w:val="20"/>
          <w:b w:val="1"/>
          <w:bCs w:val="1"/>
          <w:color w:val="auto"/>
        </w:rPr>
        <w:t>Permissible Payment Date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if</w:t>
      </w:r>
      <w:r>
        <w:rPr>
          <w:rFonts w:ascii="Arial" w:cs="Arial" w:eastAsia="Arial" w:hAnsi="Arial"/>
          <w:sz w:val="20"/>
          <w:szCs w:val="20"/>
          <w:color w:val="auto"/>
        </w:rPr>
        <w:t xml:space="preserve"> such a Delay Period is required to avoid the imposition of excise taxes under Section 409A of the Code. If such a Delay Period is required, the Company shall also reimburse the Covered Employee for the after-tax cost incurred by the Covered Employee in independently obtaining any Delayed Benefits (the “</w:t>
      </w:r>
      <w:r>
        <w:rPr>
          <w:rFonts w:ascii="Arial" w:cs="Arial" w:eastAsia="Arial" w:hAnsi="Arial"/>
          <w:sz w:val="20"/>
          <w:szCs w:val="20"/>
          <w:b w:val="1"/>
          <w:bCs w:val="1"/>
          <w:color w:val="auto"/>
        </w:rPr>
        <w:t>Additional Delayed Payments</w:t>
      </w:r>
      <w:r>
        <w:rPr>
          <w:rFonts w:ascii="Arial" w:cs="Arial" w:eastAsia="Arial" w:hAnsi="Arial"/>
          <w:sz w:val="20"/>
          <w:szCs w:val="20"/>
          <w:color w:val="auto"/>
        </w:rPr>
        <w:t>”).</w:t>
      </w:r>
    </w:p>
    <w:p>
      <w:pPr>
        <w:spacing w:after="0" w:line="188" w:lineRule="exact"/>
        <w:rPr>
          <w:sz w:val="20"/>
          <w:szCs w:val="20"/>
          <w:color w:val="auto"/>
        </w:rPr>
      </w:pPr>
    </w:p>
    <w:p>
      <w:pPr>
        <w:jc w:val="both"/>
        <w:ind w:firstLine="755"/>
        <w:spacing w:after="0" w:line="246" w:lineRule="auto"/>
        <w:rPr>
          <w:sz w:val="20"/>
          <w:szCs w:val="20"/>
          <w:color w:val="auto"/>
        </w:rPr>
      </w:pPr>
      <w:r>
        <w:rPr>
          <w:rFonts w:ascii="Arial" w:cs="Arial" w:eastAsia="Arial" w:hAnsi="Arial"/>
          <w:sz w:val="21"/>
          <w:szCs w:val="21"/>
          <w:color w:val="auto"/>
        </w:rPr>
        <w:t>With respect to any amount of expenses eligible for reimbursement under Section 3.1 and 5.1, such expenses shall be reimbursed by the Company within thirty (30) calendar days following the date on which the Company receives the applicable invoice from the Covered Employee but in no event later than December 31 of the year following the year in which the Covered Employee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Covered Employee’s right to reimbursement or in-kind benefits be subject to liquidation or exchange for another benefit.</w:t>
      </w:r>
    </w:p>
    <w:p>
      <w:pPr>
        <w:spacing w:after="0" w:line="207" w:lineRule="exact"/>
        <w:rPr>
          <w:sz w:val="20"/>
          <w:szCs w:val="20"/>
          <w:color w:val="auto"/>
        </w:rPr>
      </w:pPr>
    </w:p>
    <w:p>
      <w:pPr>
        <w:jc w:val="both"/>
        <w:ind w:firstLine="755"/>
        <w:spacing w:after="0" w:line="238" w:lineRule="auto"/>
        <w:rPr>
          <w:sz w:val="20"/>
          <w:szCs w:val="20"/>
          <w:color w:val="auto"/>
        </w:rPr>
      </w:pPr>
      <w:r>
        <w:rPr>
          <w:rFonts w:ascii="Arial" w:cs="Arial" w:eastAsia="Arial" w:hAnsi="Arial"/>
          <w:sz w:val="22"/>
          <w:szCs w:val="22"/>
          <w:color w:val="auto"/>
        </w:rPr>
        <w:t>It is the intention of the parties that payments or benefits payable under this Plan not be subject to the additional tax imposed pursuant to Section 409A of the Code. To the extent such potential payments or benefits could become subject to such Section, the Company may amend this Plan with the goal of giving the Covered Employee the economic benefits described herein in a manner that does not result in such tax being imposed.</w:t>
      </w:r>
    </w:p>
    <w:p>
      <w:pPr>
        <w:spacing w:after="0" w:line="212" w:lineRule="exact"/>
        <w:rPr>
          <w:sz w:val="20"/>
          <w:szCs w:val="20"/>
          <w:color w:val="auto"/>
        </w:rPr>
      </w:pPr>
    </w:p>
    <w:p>
      <w:pPr>
        <w:jc w:val="both"/>
        <w:ind w:right="20" w:firstLine="755"/>
        <w:spacing w:after="0" w:line="250" w:lineRule="auto"/>
        <w:rPr>
          <w:sz w:val="20"/>
          <w:szCs w:val="20"/>
          <w:color w:val="auto"/>
        </w:rPr>
      </w:pPr>
      <w:r>
        <w:rPr>
          <w:rFonts w:ascii="Arial" w:cs="Arial" w:eastAsia="Arial" w:hAnsi="Arial"/>
          <w:sz w:val="22"/>
          <w:szCs w:val="22"/>
          <w:color w:val="auto"/>
        </w:rPr>
        <w:t>For purposes of Section 409A of the Code, a Covered Employee’s right to receive any “installment” payments pursuant to this Plan shall be treated as a right to receive a series of separate and distinct payments.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For purposes of this Section 5.1, “Separation from Service” has the meaning provided under Section 409A of the Code.</w:t>
      </w:r>
    </w:p>
    <w:p>
      <w:pPr>
        <w:spacing w:after="0" w:line="26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b w:val="1"/>
          <w:bCs w:val="1"/>
          <w:color w:val="auto"/>
        </w:rPr>
        <w:t>Section 280G of the Code.</w:t>
      </w:r>
      <w:r>
        <w:rPr>
          <w:rFonts w:ascii="Arial" w:cs="Arial" w:eastAsia="Arial" w:hAnsi="Arial"/>
          <w:sz w:val="21"/>
          <w:szCs w:val="21"/>
          <w:color w:val="auto"/>
        </w:rPr>
        <w:t xml:space="preserve"> Notwithstanding the application of the calculation of benefits hereunder, in the event that the payments or distributions to be made by the Company to or for the benefit of the Covered Employee (whether paid or payable or distributed or distributable pursuant to the terms of this Plan, under some other plan, agreement, or arrangement, or otherwise) (a “Payment”) constitute “parachute payments” within the meaning of Section 280G of the Code, then the Payment to the Covered Employee shall be subject to the terms of Section 17 (“Parachute Provisions”) of the Company’s 2016 Omnibus Incentive Plan, as it may be amended from time to time, or any successor thereto.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ADMINISTRATION OF PLAN</w:t>
      </w:r>
    </w:p>
    <w:p>
      <w:pPr>
        <w:spacing w:after="0" w:line="31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In General: Delegation.</w:t>
      </w:r>
      <w:r>
        <w:rPr>
          <w:rFonts w:ascii="Arial" w:cs="Arial" w:eastAsia="Arial" w:hAnsi="Arial"/>
          <w:sz w:val="22"/>
          <w:szCs w:val="22"/>
          <w:color w:val="auto"/>
        </w:rPr>
        <w:t xml:space="preserve"> The Plan shall be administered by the Board. The Board shall have sole and absolute discretion to interpret where necessary all provisions of the Plan (including, without limitation, by supplying omissions from, correcting deficiencies in, or</w:t>
      </w:r>
    </w:p>
    <w:p>
      <w:pPr>
        <w:sectPr>
          <w:pgSz w:w="11900" w:h="16838" w:orient="portrait"/>
          <w:cols w:equalWidth="0" w:num="1">
            <w:col w:w="11240"/>
          </w:cols>
          <w:pgMar w:left="320" w:top="1414" w:right="339" w:bottom="1440" w:gutter="0" w:footer="0" w:header="0"/>
        </w:sectPr>
      </w:pPr>
    </w:p>
    <w:bookmarkStart w:id="127" w:name="page128"/>
    <w:bookmarkEnd w:id="127"/>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resolving inconsistencies or ambiguities in, the language of the Plan), to determine the rights and status under the Plan of employees or other persons, to resolve questions or disputes arising under the Plan, and to make any determinations with respect to the benefits payable hereunder and the persons entitled thereto as may be necessary for the purposes of the Plan. Without limiting the generality of the foregoing, the Board is hereby granted the authority (i) to determine whether a particular termination of employment constitutes a “</w:t>
      </w:r>
      <w:r>
        <w:rPr>
          <w:rFonts w:ascii="Arial" w:cs="Arial" w:eastAsia="Arial" w:hAnsi="Arial"/>
          <w:sz w:val="22"/>
          <w:szCs w:val="22"/>
          <w:b w:val="1"/>
          <w:bCs w:val="1"/>
          <w:color w:val="auto"/>
        </w:rPr>
        <w:t>Qualifying Termination,</w:t>
      </w:r>
      <w:r>
        <w:rPr>
          <w:rFonts w:ascii="Arial" w:cs="Arial" w:eastAsia="Arial" w:hAnsi="Arial"/>
          <w:sz w:val="22"/>
          <w:szCs w:val="22"/>
          <w:color w:val="auto"/>
        </w:rPr>
        <w:t>” and (ii) to determine whether a particular employee is a “</w:t>
      </w:r>
      <w:r>
        <w:rPr>
          <w:rFonts w:ascii="Arial" w:cs="Arial" w:eastAsia="Arial" w:hAnsi="Arial"/>
          <w:sz w:val="22"/>
          <w:szCs w:val="22"/>
          <w:b w:val="1"/>
          <w:bCs w:val="1"/>
          <w:color w:val="auto"/>
        </w:rPr>
        <w:t>Covered Employee</w:t>
      </w:r>
      <w:r>
        <w:rPr>
          <w:rFonts w:ascii="Arial" w:cs="Arial" w:eastAsia="Arial" w:hAnsi="Arial"/>
          <w:sz w:val="22"/>
          <w:szCs w:val="22"/>
          <w:color w:val="auto"/>
        </w:rPr>
        <w:t>” under the Plan.</w:t>
      </w:r>
    </w:p>
    <w:p>
      <w:pPr>
        <w:spacing w:after="0" w:line="215" w:lineRule="exact"/>
        <w:rPr>
          <w:sz w:val="20"/>
          <w:szCs w:val="20"/>
          <w:color w:val="auto"/>
        </w:rPr>
      </w:pPr>
    </w:p>
    <w:p>
      <w:pPr>
        <w:jc w:val="both"/>
        <w:ind w:firstLine="756"/>
        <w:spacing w:after="0" w:line="257" w:lineRule="auto"/>
        <w:rPr>
          <w:sz w:val="20"/>
          <w:szCs w:val="20"/>
          <w:color w:val="auto"/>
        </w:rPr>
      </w:pPr>
      <w:r>
        <w:rPr>
          <w:rFonts w:ascii="Arial" w:cs="Arial" w:eastAsia="Arial" w:hAnsi="Arial"/>
          <w:sz w:val="21"/>
          <w:szCs w:val="21"/>
          <w:color w:val="auto"/>
        </w:rPr>
        <w:t>The Board may delegate any of its administrative duties, including, without limitation, duties with respect to the processing, review, investigation, approval, and payment of Severance Pay to a named administrator or administrators. The Board’s determination of the rights of any employee hereunder shall be final and binding on all persons.</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Regulations.</w:t>
      </w:r>
      <w:r>
        <w:rPr>
          <w:rFonts w:ascii="Arial" w:cs="Arial" w:eastAsia="Arial" w:hAnsi="Arial"/>
          <w:sz w:val="19"/>
          <w:szCs w:val="19"/>
          <w:color w:val="auto"/>
        </w:rPr>
        <w:t xml:space="preserve"> The Board may promulgate any rules and regulations that it deems necessary to carry out the purposes of this Plan, or to interpret the terms and conditions of the Plan; provided, however, that no rule, regulation, or interpretation shall be contrary to the provisions of the Plan. The rules, regulations, and interpretations made by the Board, and any determination of entitlement to benefits hereunder, shall be final and binding on any employee or former employee of the Company.</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color w:val="auto"/>
        </w:rPr>
        <w:t>Claims for Benefits and Review of Denials.</w:t>
      </w:r>
      <w:r>
        <w:rPr>
          <w:rFonts w:ascii="Arial" w:cs="Arial" w:eastAsia="Arial" w:hAnsi="Arial"/>
          <w:sz w:val="22"/>
          <w:szCs w:val="22"/>
          <w:color w:val="auto"/>
        </w:rPr>
        <w:t xml:space="preserve"> A terminating Covered Employee will be considered for benefits under the Plan automatically. Any other employee of the Company who believes such employee is entitled to a benefit under the Plan may make a claim for such benefit by submitting a written statement to the Executive Vice President and Chief Human Resource Officer setting forth the benefit to which the claimant deems himself/herself entitled, and the factual basis for such employee’s claim.</w:t>
      </w:r>
    </w:p>
    <w:p>
      <w:pPr>
        <w:spacing w:after="0" w:line="209" w:lineRule="exact"/>
        <w:rPr>
          <w:sz w:val="20"/>
          <w:szCs w:val="20"/>
          <w:color w:val="auto"/>
        </w:rPr>
      </w:pPr>
    </w:p>
    <w:p>
      <w:pPr>
        <w:jc w:val="both"/>
        <w:ind w:firstLine="755"/>
        <w:spacing w:after="0" w:line="271" w:lineRule="auto"/>
        <w:rPr>
          <w:sz w:val="20"/>
          <w:szCs w:val="20"/>
          <w:color w:val="auto"/>
        </w:rPr>
      </w:pPr>
      <w:r>
        <w:rPr>
          <w:rFonts w:ascii="Arial" w:cs="Arial" w:eastAsia="Arial" w:hAnsi="Arial"/>
          <w:sz w:val="19"/>
          <w:szCs w:val="19"/>
          <w:color w:val="auto"/>
        </w:rPr>
        <w:t>The Board of Directors or its delegate (hereinafter “</w:t>
      </w:r>
      <w:r>
        <w:rPr>
          <w:rFonts w:ascii="Arial" w:cs="Arial" w:eastAsia="Arial" w:hAnsi="Arial"/>
          <w:sz w:val="19"/>
          <w:szCs w:val="19"/>
          <w:b w:val="1"/>
          <w:bCs w:val="1"/>
          <w:color w:val="auto"/>
        </w:rPr>
        <w:t>Board of Directors</w:t>
      </w:r>
      <w:r>
        <w:rPr>
          <w:rFonts w:ascii="Arial" w:cs="Arial" w:eastAsia="Arial" w:hAnsi="Arial"/>
          <w:sz w:val="19"/>
          <w:szCs w:val="19"/>
          <w:color w:val="auto"/>
        </w:rPr>
        <w:t>” for purposes of Section 6.3 only) will make a determination of whether an employee recognized by the Board of Directors as a Covered Employee is entitled to benefits under this Plan no later than the day prior to the date of such employee’s termination. The Board of Directors will act on any other application (including a claim of status as a Covered Employee made as part of a claim for benefits) or make any other determination it is requested to make under the Plan and will inform the employee of its decision within 30 days of the date the application or request is made, unless a longer time is required by special circumstances, in which event the claimant will be notified in writing of the special circumstances and of the expected decision date. The determination will be made no later than 90 days after the date the application or request is received. If the determination is a denial of a claim, the Board of Directors will notify the claimant in writing of the denial, setting forth the specific reasons for the denial and referring specifically to the Plan provisions on which the denial is based. The notice also will contain a description of any additional material or information necessary for the claimant to perfect the claim and an explanation of why such material is necessary. The notice will provide appropriate information to the claimant on steps to appeal the denial. The claimant will have 60 days from the date of the notice to request review of the decision by the Board of Directors and may review pertinent documents and submit any additional information along with the request for review that the employee deems pertinent. A decision on review will be made within 60 days of receipt of the request for review, except that the time for rendering the decision may be extended to 120 days when special circumstances make it necessary</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to do so, in which event the claimant will be notified in writing of the extension, informed of the special circumstances, and informed of an expected decision date. The decision on review, if it is a denial of the claim, will be in writing, will specify the provisions of the Plan on which it is based, and will set forth specific reasons for the denial.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OR TERMINATION OF PLAN</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color w:val="auto"/>
        </w:rPr>
        <w:t>Right to Amend or Terminate.</w:t>
      </w:r>
      <w:r>
        <w:rPr>
          <w:rFonts w:ascii="Arial" w:cs="Arial" w:eastAsia="Arial" w:hAnsi="Arial"/>
          <w:sz w:val="19"/>
          <w:szCs w:val="19"/>
          <w:color w:val="auto"/>
        </w:rPr>
        <w:t xml:space="preserve"> The Company reserves the right to alter, amend, or terminate the Plan at any time. Any change in the terms of the Plan (including termination of the Plan) that results from the exercise of the Company’s right to alter, amend, or terminate the Plan may be applicable to active and/or former employees, including employees who separated from service prior to the date on which the Company exercises its power to alter, amend, or terminate the Plan, provided, however, that no such change in the terms of the Plan will affect the amount of any benefit that was paid prior to the date on which such change is adopted, or any benefit promised in a Special Severance Agreement that was fully executed prior to the date on which such change is adopted. Only the Board of Directors may exercise the Company’s reserved rights under this paragraph. No officer, employee, or representative of the Company has the authority to promise or represent that anyone’s coverage and/or benefit under the Plan is or will be exempt from the Company’s reserved right to alter, amend, or terminate the Plan at any time. Notwithstanding the foregoing, in the event of a Change in Control while the Plan is in effect, the Plan and a Covered Employee’s participation in the Plan shall not be terminated for 36 months following such Change in Control.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Termination.</w:t>
      </w:r>
      <w:r>
        <w:rPr>
          <w:rFonts w:ascii="Arial" w:cs="Arial" w:eastAsia="Arial" w:hAnsi="Arial"/>
          <w:sz w:val="22"/>
          <w:szCs w:val="22"/>
          <w:color w:val="auto"/>
        </w:rPr>
        <w:t xml:space="preserve"> This Plan shall continue in force until such time as the Board shall terminate the Plan, subject to the limitations set forth in Section 7.1.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METHOD OF FUNDING</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color w:val="auto"/>
        </w:rPr>
        <w:t>Plan is Not Funded.</w:t>
      </w:r>
      <w:r>
        <w:rPr>
          <w:rFonts w:ascii="Arial" w:cs="Arial" w:eastAsia="Arial" w:hAnsi="Arial"/>
          <w:sz w:val="22"/>
          <w:szCs w:val="22"/>
          <w:color w:val="auto"/>
        </w:rPr>
        <w:t xml:space="preserve"> The Company shall pay benefits under the Plan from current operating funds. No property of the Company is or shall be, by reason of this Plan, held in trust for any employee of the Company, nor shall any person have any interest in or any lien or prior claim upon any property of the Company by reason of this Plan or the Company’s obligations to make payments hereunder.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color w:val="auto"/>
        </w:rPr>
        <w:t>Limitation on Rights.</w:t>
      </w:r>
      <w:r>
        <w:rPr>
          <w:rFonts w:ascii="Arial" w:cs="Arial" w:eastAsia="Arial" w:hAnsi="Arial"/>
          <w:sz w:val="19"/>
          <w:szCs w:val="19"/>
          <w:color w:val="auto"/>
        </w:rPr>
        <w:t xml:space="preserve"> Neither the establishment of the Plan nor participation herein shall give any employee the right to be retained in the service of the Company or any rights to any benefits whatsoever, except to the extent specifically set forth herein.</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color w:val="auto"/>
        </w:rPr>
        <w:t>Headings.</w:t>
      </w:r>
      <w:r>
        <w:rPr>
          <w:rFonts w:ascii="Arial" w:cs="Arial" w:eastAsia="Arial" w:hAnsi="Arial"/>
          <w:sz w:val="22"/>
          <w:szCs w:val="22"/>
          <w:color w:val="auto"/>
        </w:rPr>
        <w:t xml:space="preserve"> Headings of Articles and Sections in this instrument are for convenience only and do not constitute any party of the Plan.</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56"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Tax Withholding.</w:t>
      </w:r>
      <w:r>
        <w:rPr>
          <w:rFonts w:ascii="Arial" w:cs="Arial" w:eastAsia="Arial" w:hAnsi="Arial"/>
          <w:sz w:val="22"/>
          <w:szCs w:val="22"/>
          <w:color w:val="auto"/>
        </w:rPr>
        <w:t xml:space="preserve"> The Company may withhold from any amounts payable under this Plan all federal, state, city, or other taxes as shall be required to be withheld pursuant to any law or governmental regulation or ruling.</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shall be construed and governed in all respects in accordance with the internal substantive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undersigned authorized officer of the Company has executed this document on the 31</w:t>
      </w:r>
      <w:r>
        <w:rPr>
          <w:rFonts w:ascii="Arial" w:cs="Arial" w:eastAsia="Arial" w:hAnsi="Arial"/>
          <w:sz w:val="13"/>
          <w:szCs w:val="13"/>
          <w:color w:val="auto"/>
        </w:rPr>
        <w:t>st</w:t>
      </w:r>
      <w:r>
        <w:rPr>
          <w:rFonts w:ascii="Arial" w:cs="Arial" w:eastAsia="Arial" w:hAnsi="Arial"/>
          <w:sz w:val="20"/>
          <w:szCs w:val="20"/>
          <w:color w:val="auto"/>
        </w:rPr>
        <w:t xml:space="preserve"> day of December, 2020.</w:t>
      </w:r>
    </w:p>
    <w:p>
      <w:pPr>
        <w:spacing w:after="0" w:line="200" w:lineRule="exact"/>
        <w:rPr>
          <w:sz w:val="20"/>
          <w:szCs w:val="20"/>
          <w:color w:val="auto"/>
        </w:rPr>
      </w:pPr>
    </w:p>
    <w:p>
      <w:pPr>
        <w:spacing w:after="0" w:line="34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LABORATORY CORPORATION OF</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AMERICA HOLDINGS</w:t>
      </w:r>
    </w:p>
    <w:p>
      <w:pPr>
        <w:spacing w:after="0" w:line="28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By: /s/ Sandra D.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15875</wp:posOffset>
            </wp:positionV>
            <wp:extent cx="31032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Sandra D. van der Vaart</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Executive Vice President and Chief Legal</w:t>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1240"/>
          </w:cols>
          <w:pgMar w:left="320" w:top="1408" w:right="339" w:bottom="1440" w:gutter="0" w:footer="0" w:header="0"/>
        </w:sectPr>
      </w:pPr>
    </w:p>
    <w:bookmarkStart w:id="130" w:name="page131"/>
    <w:bookmarkEnd w:id="130"/>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Master Senior Executive Severance Plan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Designated Groups, Covered Employees,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Benefit Levels</w:t>
      </w:r>
    </w:p>
    <w:p>
      <w:pPr>
        <w:spacing w:after="0" w:line="253"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22"/>
                <w:szCs w:val="22"/>
                <w:b w:val="1"/>
                <w:bCs w:val="1"/>
                <w:color w:val="auto"/>
                <w:w w:val="85"/>
              </w:rPr>
              <w:t>Severance Benefit as a</w:t>
            </w:r>
          </w:p>
        </w:tc>
      </w:tr>
      <w:tr>
        <w:trPr>
          <w:trHeight w:val="243"/>
        </w:trPr>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Multiple of Base Salary Plus</w:t>
            </w:r>
          </w:p>
        </w:tc>
      </w:tr>
      <w:tr>
        <w:trPr>
          <w:trHeight w:val="243"/>
        </w:trPr>
        <w:tc>
          <w:tcPr>
            <w:tcW w:w="2500" w:type="dxa"/>
            <w:vAlign w:val="bottom"/>
            <w:gridSpan w:val="2"/>
          </w:tcPr>
          <w:p>
            <w:pPr>
              <w:ind w:left="80"/>
              <w:spacing w:after="0" w:line="243" w:lineRule="exact"/>
              <w:rPr>
                <w:sz w:val="20"/>
                <w:szCs w:val="20"/>
                <w:color w:val="auto"/>
              </w:rPr>
            </w:pPr>
            <w:r>
              <w:rPr>
                <w:rFonts w:ascii="Arial" w:cs="Arial" w:eastAsia="Arial" w:hAnsi="Arial"/>
                <w:sz w:val="22"/>
                <w:szCs w:val="22"/>
                <w:b w:val="1"/>
                <w:bCs w:val="1"/>
                <w:color w:val="auto"/>
              </w:rPr>
              <w:t>Designated Group</w:t>
            </w:r>
          </w:p>
        </w:tc>
        <w:tc>
          <w:tcPr>
            <w:tcW w:w="2540" w:type="dxa"/>
            <w:vAlign w:val="bottom"/>
            <w:gridSpan w:val="2"/>
          </w:tcPr>
          <w:p>
            <w:pPr>
              <w:ind w:left="540"/>
              <w:spacing w:after="0" w:line="243" w:lineRule="exact"/>
              <w:rPr>
                <w:sz w:val="20"/>
                <w:szCs w:val="20"/>
                <w:color w:val="auto"/>
              </w:rPr>
            </w:pPr>
            <w:r>
              <w:rPr>
                <w:rFonts w:ascii="Arial" w:cs="Arial" w:eastAsia="Arial" w:hAnsi="Arial"/>
                <w:sz w:val="22"/>
                <w:szCs w:val="22"/>
                <w:b w:val="1"/>
                <w:bCs w:val="1"/>
                <w:color w:val="auto"/>
              </w:rPr>
              <w:t>Covered</w:t>
            </w:r>
          </w:p>
        </w:tc>
        <w:tc>
          <w:tcPr>
            <w:tcW w:w="27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MIB Average Bonus</w:t>
            </w:r>
          </w:p>
        </w:tc>
      </w:tr>
      <w:tr>
        <w:trPr>
          <w:trHeight w:val="291"/>
        </w:trPr>
        <w:tc>
          <w:tcPr>
            <w:tcW w:w="23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Employees</w:t>
            </w:r>
          </w:p>
        </w:tc>
        <w:tc>
          <w:tcPr>
            <w:tcW w:w="2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r>
        <w:trPr>
          <w:trHeight w:val="492"/>
        </w:trPr>
        <w:tc>
          <w:tcPr>
            <w:tcW w:w="2500" w:type="dxa"/>
            <w:vAlign w:val="bottom"/>
            <w:gridSpan w:val="2"/>
          </w:tcPr>
          <w:p>
            <w:pPr>
              <w:ind w:left="60"/>
              <w:spacing w:after="0"/>
              <w:rPr>
                <w:sz w:val="20"/>
                <w:szCs w:val="20"/>
                <w:color w:val="auto"/>
              </w:rPr>
            </w:pPr>
            <w:r>
              <w:rPr>
                <w:rFonts w:ascii="Arial" w:cs="Arial" w:eastAsia="Arial" w:hAnsi="Arial"/>
                <w:sz w:val="22"/>
                <w:szCs w:val="22"/>
                <w:color w:val="auto"/>
              </w:rPr>
              <w:t>Executive Vice</w:t>
            </w:r>
          </w:p>
        </w:tc>
        <w:tc>
          <w:tcPr>
            <w:tcW w:w="2540" w:type="dxa"/>
            <w:vAlign w:val="bottom"/>
            <w:gridSpan w:val="2"/>
          </w:tcPr>
          <w:p>
            <w:pPr>
              <w:ind w:left="40"/>
              <w:spacing w:after="0"/>
              <w:rPr>
                <w:sz w:val="20"/>
                <w:szCs w:val="20"/>
                <w:color w:val="auto"/>
              </w:rPr>
            </w:pPr>
            <w:r>
              <w:rPr>
                <w:rFonts w:ascii="Arial" w:cs="Arial" w:eastAsia="Arial" w:hAnsi="Arial"/>
                <w:sz w:val="22"/>
                <w:szCs w:val="22"/>
                <w:color w:val="auto"/>
              </w:rPr>
              <w:t>All Executive Vice</w:t>
            </w:r>
          </w:p>
        </w:tc>
        <w:tc>
          <w:tcPr>
            <w:tcW w:w="2720" w:type="dxa"/>
            <w:vAlign w:val="bottom"/>
          </w:tcPr>
          <w:p>
            <w:pPr>
              <w:jc w:val="center"/>
              <w:spacing w:after="0"/>
              <w:rPr>
                <w:sz w:val="20"/>
                <w:szCs w:val="20"/>
                <w:color w:val="auto"/>
              </w:rPr>
            </w:pPr>
            <w:r>
              <w:rPr>
                <w:rFonts w:ascii="Arial" w:cs="Arial" w:eastAsia="Arial" w:hAnsi="Arial"/>
                <w:sz w:val="22"/>
                <w:szCs w:val="22"/>
                <w:color w:val="auto"/>
                <w:w w:val="96"/>
              </w:rPr>
              <w:t>2X</w:t>
            </w:r>
          </w:p>
        </w:tc>
      </w:tr>
      <w:tr>
        <w:trPr>
          <w:trHeight w:val="274"/>
        </w:trPr>
        <w:tc>
          <w:tcPr>
            <w:tcW w:w="2500" w:type="dxa"/>
            <w:vAlign w:val="bottom"/>
            <w:gridSpan w:val="2"/>
          </w:tcPr>
          <w:p>
            <w:pPr>
              <w:ind w:left="20"/>
              <w:spacing w:after="0"/>
              <w:rPr>
                <w:sz w:val="20"/>
                <w:szCs w:val="20"/>
                <w:color w:val="auto"/>
              </w:rPr>
            </w:pPr>
            <w:r>
              <w:rPr>
                <w:rFonts w:ascii="Arial" w:cs="Arial" w:eastAsia="Arial" w:hAnsi="Arial"/>
                <w:sz w:val="22"/>
                <w:szCs w:val="22"/>
                <w:color w:val="auto"/>
              </w:rPr>
              <w:t>Presidents</w:t>
            </w:r>
          </w:p>
        </w:tc>
        <w:tc>
          <w:tcPr>
            <w:tcW w:w="2540" w:type="dxa"/>
            <w:vAlign w:val="bottom"/>
            <w:gridSpan w:val="2"/>
          </w:tcPr>
          <w:p>
            <w:pPr>
              <w:ind w:left="20"/>
              <w:spacing w:after="0"/>
              <w:rPr>
                <w:sz w:val="20"/>
                <w:szCs w:val="20"/>
                <w:color w:val="auto"/>
              </w:rPr>
            </w:pPr>
            <w:r>
              <w:rPr>
                <w:rFonts w:ascii="Arial" w:cs="Arial" w:eastAsia="Arial" w:hAnsi="Arial"/>
                <w:sz w:val="22"/>
                <w:szCs w:val="22"/>
                <w:color w:val="auto"/>
              </w:rPr>
              <w:t>Presidents</w:t>
            </w:r>
          </w:p>
        </w:tc>
        <w:tc>
          <w:tcPr>
            <w:tcW w:w="2720" w:type="dxa"/>
            <w:vAlign w:val="bottom"/>
          </w:tcPr>
          <w:p>
            <w:pPr>
              <w:spacing w:after="0"/>
              <w:rPr>
                <w:sz w:val="23"/>
                <w:szCs w:val="23"/>
                <w:color w:val="auto"/>
              </w:rPr>
            </w:pPr>
          </w:p>
        </w:tc>
      </w:tr>
      <w:tr>
        <w:trPr>
          <w:trHeight w:val="266"/>
        </w:trPr>
        <w:tc>
          <w:tcPr>
            <w:tcW w:w="2500" w:type="dxa"/>
            <w:vAlign w:val="bottom"/>
            <w:gridSpan w:val="2"/>
          </w:tcPr>
          <w:p>
            <w:pPr>
              <w:ind w:left="60"/>
              <w:spacing w:after="0"/>
              <w:rPr>
                <w:sz w:val="20"/>
                <w:szCs w:val="20"/>
                <w:color w:val="auto"/>
              </w:rPr>
            </w:pPr>
            <w:r>
              <w:rPr>
                <w:rFonts w:ascii="Arial" w:cs="Arial" w:eastAsia="Arial" w:hAnsi="Arial"/>
                <w:sz w:val="22"/>
                <w:szCs w:val="22"/>
                <w:color w:val="auto"/>
              </w:rPr>
              <w:t>Senior Vice Presidents</w:t>
            </w:r>
          </w:p>
        </w:tc>
        <w:tc>
          <w:tcPr>
            <w:tcW w:w="2540" w:type="dxa"/>
            <w:vAlign w:val="bottom"/>
            <w:gridSpan w:val="2"/>
          </w:tcPr>
          <w:p>
            <w:pPr>
              <w:ind w:left="40"/>
              <w:spacing w:after="0"/>
              <w:rPr>
                <w:sz w:val="20"/>
                <w:szCs w:val="20"/>
                <w:color w:val="auto"/>
              </w:rPr>
            </w:pPr>
            <w:r>
              <w:rPr>
                <w:rFonts w:ascii="Arial" w:cs="Arial" w:eastAsia="Arial" w:hAnsi="Arial"/>
                <w:sz w:val="22"/>
                <w:szCs w:val="22"/>
                <w:color w:val="auto"/>
              </w:rPr>
              <w:t>All Senior Vice</w:t>
            </w:r>
          </w:p>
        </w:tc>
        <w:tc>
          <w:tcPr>
            <w:tcW w:w="2720" w:type="dxa"/>
            <w:vAlign w:val="bottom"/>
          </w:tcPr>
          <w:p>
            <w:pPr>
              <w:jc w:val="center"/>
              <w:spacing w:after="0"/>
              <w:rPr>
                <w:sz w:val="20"/>
                <w:szCs w:val="20"/>
                <w:color w:val="auto"/>
              </w:rPr>
            </w:pPr>
            <w:r>
              <w:rPr>
                <w:rFonts w:ascii="Arial" w:cs="Arial" w:eastAsia="Arial" w:hAnsi="Arial"/>
                <w:sz w:val="22"/>
                <w:szCs w:val="22"/>
                <w:color w:val="auto"/>
                <w:w w:val="96"/>
              </w:rPr>
              <w:t>1X</w:t>
            </w:r>
          </w:p>
        </w:tc>
      </w:tr>
      <w:tr>
        <w:trPr>
          <w:trHeight w:val="274"/>
        </w:trPr>
        <w:tc>
          <w:tcPr>
            <w:tcW w:w="2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40" w:type="dxa"/>
            <w:vAlign w:val="bottom"/>
            <w:gridSpan w:val="2"/>
          </w:tcPr>
          <w:p>
            <w:pPr>
              <w:ind w:left="20"/>
              <w:spacing w:after="0"/>
              <w:rPr>
                <w:sz w:val="20"/>
                <w:szCs w:val="20"/>
                <w:color w:val="auto"/>
              </w:rPr>
            </w:pPr>
            <w:r>
              <w:rPr>
                <w:rFonts w:ascii="Arial" w:cs="Arial" w:eastAsia="Arial" w:hAnsi="Arial"/>
                <w:sz w:val="22"/>
                <w:szCs w:val="22"/>
                <w:color w:val="auto"/>
              </w:rPr>
              <w:t>Presidents</w:t>
            </w:r>
          </w:p>
        </w:tc>
        <w:tc>
          <w:tcPr>
            <w:tcW w:w="2720" w:type="dxa"/>
            <w:vAlign w:val="bottom"/>
          </w:tcPr>
          <w:p>
            <w:pPr>
              <w:spacing w:after="0"/>
              <w:rPr>
                <w:sz w:val="23"/>
                <w:szCs w:val="23"/>
                <w:color w:val="auto"/>
              </w:rPr>
            </w:pPr>
          </w:p>
        </w:tc>
      </w:tr>
    </w:tbl>
    <w:p>
      <w:pPr>
        <w:sectPr>
          <w:pgSz w:w="11900" w:h="16838" w:orient="portrait"/>
          <w:cols w:equalWidth="0" w:num="1">
            <w:col w:w="9019"/>
          </w:cols>
          <w:pgMar w:left="1440" w:top="1440" w:right="1440" w:bottom="1440" w:gutter="0" w:footer="0" w:header="0"/>
        </w:sectPr>
      </w:pPr>
    </w:p>
    <w:bookmarkStart w:id="131" w:name="page132"/>
    <w:bookmarkEnd w:id="131"/>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Exhibit A</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Special Severance Agreement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DATE</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Re: Employment Separation Agreement and General Release</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Dear______________,</w:t>
      </w:r>
    </w:p>
    <w:p>
      <w:pPr>
        <w:spacing w:after="0" w:line="233" w:lineRule="exact"/>
        <w:rPr>
          <w:sz w:val="20"/>
          <w:szCs w:val="20"/>
          <w:color w:val="auto"/>
        </w:rPr>
      </w:pPr>
    </w:p>
    <w:p>
      <w:pPr>
        <w:ind w:right="20" w:firstLine="756"/>
        <w:spacing w:after="0" w:line="250" w:lineRule="auto"/>
        <w:rPr>
          <w:sz w:val="20"/>
          <w:szCs w:val="20"/>
          <w:color w:val="auto"/>
        </w:rPr>
      </w:pPr>
      <w:r>
        <w:rPr>
          <w:rFonts w:ascii="Arial" w:cs="Arial" w:eastAsia="Arial" w:hAnsi="Arial"/>
          <w:sz w:val="22"/>
          <w:szCs w:val="22"/>
          <w:color w:val="auto"/>
        </w:rPr>
        <w:t>On behalf of Laboratory Corporation of America Holdings (the “Company”), I write to offer you (the “Employee”) the following Employment Separation Agreement and General Release (the “Agreement”).</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u w:val="single" w:color="auto"/>
          <w:color w:val="auto"/>
        </w:rPr>
        <w:t>Termination of Employment</w:t>
      </w:r>
    </w:p>
    <w:p>
      <w:pPr>
        <w:spacing w:after="0" w:line="23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1"/>
          <w:szCs w:val="21"/>
          <w:color w:val="auto"/>
        </w:rPr>
        <w:t>Effective _____________(the “Termination Date”), Employee’s employment with the Company was</w:t>
      </w:r>
    </w:p>
    <w:p>
      <w:pPr>
        <w:spacing w:after="0" w:line="14" w:lineRule="exact"/>
        <w:rPr>
          <w:sz w:val="20"/>
          <w:szCs w:val="20"/>
          <w:color w:val="auto"/>
        </w:rPr>
      </w:pPr>
    </w:p>
    <w:p>
      <w:pPr>
        <w:jc w:val="both"/>
        <w:ind w:left="660"/>
        <w:spacing w:after="0" w:line="232" w:lineRule="auto"/>
        <w:rPr>
          <w:sz w:val="20"/>
          <w:szCs w:val="20"/>
          <w:color w:val="auto"/>
        </w:rPr>
      </w:pPr>
      <w:r>
        <w:rPr>
          <w:rFonts w:ascii="Arial" w:cs="Arial" w:eastAsia="Arial" w:hAnsi="Arial"/>
          <w:sz w:val="22"/>
          <w:szCs w:val="22"/>
          <w:color w:val="auto"/>
        </w:rPr>
        <w:t>terminated; he/she shall perform no further services for the Company and his/her status as an employee and Officer of the Company shall cease on that date. Employee and the Company further agree that the relationship created by this Agreement is purely contractual and that no employer-employee relationship is intended, nor shall such be inferred from the performance of obligations under this Agreement. Employee further agrees that any payments and/or benefits payable pursuant to this Agreement are contingent upon Employee’s execution and fulfillment of his/her obligations under this Agreement.</w:t>
      </w:r>
    </w:p>
    <w:p>
      <w:pPr>
        <w:spacing w:after="0" w:line="21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19"/>
          <w:szCs w:val="19"/>
          <w:b w:val="1"/>
          <w:bCs w:val="1"/>
          <w:u w:val="single" w:color="auto"/>
          <w:color w:val="auto"/>
        </w:rPr>
        <w:t>Separation Pay</w:t>
      </w:r>
    </w:p>
    <w:p>
      <w:pPr>
        <w:spacing w:after="0" w:line="233"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color w:val="auto"/>
        </w:rPr>
        <w:t>In consideration for the covenants, promises and agreements herein and in particular Employee’s release of</w:t>
      </w:r>
      <w:r>
        <w:rPr>
          <w:rFonts w:ascii="Arial" w:cs="Arial" w:eastAsia="Arial" w:hAnsi="Arial"/>
          <w:sz w:val="19"/>
          <w:szCs w:val="19"/>
          <w:b w:val="1"/>
          <w:bCs w:val="1"/>
          <w:color w:val="auto"/>
        </w:rPr>
        <w:t xml:space="preserve"> </w:t>
      </w:r>
      <w:r>
        <w:rPr>
          <w:rFonts w:ascii="Arial" w:cs="Arial" w:eastAsia="Arial" w:hAnsi="Arial"/>
          <w:sz w:val="19"/>
          <w:szCs w:val="19"/>
          <w:color w:val="auto"/>
        </w:rPr>
        <w:t>claims as well as covenants not to solicit, not to compete and not to disclose confidential information, the Company will pay Employee a severance in the total amount of $___, less applicable taxes and withholdings (hereafter referred to as “Severance Pay”), which equals the Employee’s Base Salary of $_____ plus Employee’s MIB Average Bonus as defined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Plan of $_________. The severance shall be paid in two installments, with the first installment of $_________, less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taxes and withholding, made payable within 30 days following the Termination Date and the second installment of $____,</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less taxes and withholding, made payable within 30 days following the one-year anniversary of the Termination Date.</w:t>
      </w:r>
    </w:p>
    <w:p>
      <w:pPr>
        <w:spacing w:after="0" w:line="244"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The Company shall not be responsible for making any payment under this Section 2.0 and its sub-parts if</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has not complied in all material respects with the terms and conditions of this Agreement.</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3.0</w:t>
      </w:r>
      <w:r>
        <w:rPr>
          <w:sz w:val="20"/>
          <w:szCs w:val="20"/>
          <w:color w:val="auto"/>
        </w:rPr>
        <w:tab/>
      </w:r>
      <w:r>
        <w:rPr>
          <w:rFonts w:ascii="Arial" w:cs="Arial" w:eastAsia="Arial" w:hAnsi="Arial"/>
          <w:sz w:val="18"/>
          <w:szCs w:val="18"/>
          <w:b w:val="1"/>
          <w:bCs w:val="1"/>
          <w:u w:val="single" w:color="auto"/>
          <w:color w:val="auto"/>
        </w:rPr>
        <w:t>Benefits</w:t>
      </w:r>
    </w:p>
    <w:p>
      <w:pPr>
        <w:spacing w:after="0" w:line="206"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Employee, his/her spouse, and his/her other dependent(s) may be eligible to elect continued health care</w:t>
      </w:r>
      <w:r>
        <w:rPr>
          <w:rFonts w:ascii="Arial" w:cs="Arial" w:eastAsia="Arial" w:hAnsi="Arial"/>
          <w:sz w:val="22"/>
          <w:szCs w:val="22"/>
          <w:b w:val="1"/>
          <w:bCs w:val="1"/>
          <w:color w:val="auto"/>
        </w:rPr>
        <w:t xml:space="preserve"> </w:t>
      </w:r>
      <w:r>
        <w:rPr>
          <w:rFonts w:ascii="Arial" w:cs="Arial" w:eastAsia="Arial" w:hAnsi="Arial"/>
          <w:sz w:val="22"/>
          <w:szCs w:val="22"/>
          <w:color w:val="auto"/>
        </w:rPr>
        <w:t>coverage under the welfare plans sponsored by the Company, as provided in the applicable provisions of the Consolidated Omnibus Budget</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18" w:lineRule="exact"/>
        <w:rPr>
          <w:sz w:val="20"/>
          <w:szCs w:val="20"/>
          <w:color w:val="auto"/>
        </w:rPr>
      </w:pPr>
    </w:p>
    <w:p>
      <w:pPr>
        <w:ind w:left="4"/>
        <w:spacing w:after="0" w:line="276" w:lineRule="auto"/>
        <w:rPr>
          <w:sz w:val="20"/>
          <w:szCs w:val="20"/>
          <w:color w:val="auto"/>
        </w:rPr>
      </w:pPr>
      <w:r>
        <w:rPr>
          <w:rFonts w:ascii="Arial" w:cs="Arial" w:eastAsia="Arial" w:hAnsi="Arial"/>
          <w:sz w:val="19"/>
          <w:szCs w:val="19"/>
          <w:color w:val="auto"/>
        </w:rPr>
        <w:t>Reconciliation Act of 1985, as amended (“COBRA”), which provides generally that certain employees and their dependents may elect to continue coverage under employer- sponsored group health plans for a period of at least eighteen</w:t>
      </w:r>
    </w:p>
    <w:p>
      <w:pPr>
        <w:spacing w:after="0" w:line="1"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9"/>
          <w:szCs w:val="19"/>
          <w:color w:val="auto"/>
        </w:rPr>
      </w:pPr>
      <w:r>
        <w:rPr>
          <w:rFonts w:ascii="Arial" w:cs="Arial" w:eastAsia="Arial" w:hAnsi="Arial"/>
          <w:sz w:val="19"/>
          <w:szCs w:val="19"/>
          <w:color w:val="auto"/>
        </w:rPr>
        <w:t>months under certain conditions, including payment by Employee of the “Applicable Premium” as defined in Section</w:t>
      </w:r>
    </w:p>
    <w:p>
      <w:pPr>
        <w:spacing w:after="0" w:line="24" w:lineRule="exact"/>
        <w:rPr>
          <w:rFonts w:ascii="Arial" w:cs="Arial" w:eastAsia="Arial" w:hAnsi="Arial"/>
          <w:sz w:val="19"/>
          <w:szCs w:val="19"/>
          <w:color w:val="auto"/>
        </w:rPr>
      </w:pPr>
    </w:p>
    <w:p>
      <w:pPr>
        <w:jc w:val="both"/>
        <w:ind w:left="4"/>
        <w:spacing w:after="0" w:line="232" w:lineRule="auto"/>
        <w:rPr>
          <w:rFonts w:ascii="Arial" w:cs="Arial" w:eastAsia="Arial" w:hAnsi="Arial"/>
          <w:sz w:val="19"/>
          <w:szCs w:val="19"/>
          <w:color w:val="auto"/>
        </w:rPr>
      </w:pPr>
      <w:r>
        <w:rPr>
          <w:rFonts w:ascii="Arial" w:cs="Arial" w:eastAsia="Arial" w:hAnsi="Arial"/>
          <w:sz w:val="22"/>
          <w:szCs w:val="22"/>
          <w:color w:val="auto"/>
        </w:rPr>
        <w:t xml:space="preserve">604 of the Employee Retirement Income Security Act of 1974, as amended, 29 U.S.C. §§ 1001 </w:t>
      </w:r>
      <w:r>
        <w:rPr>
          <w:rFonts w:ascii="Arial" w:cs="Arial" w:eastAsia="Arial" w:hAnsi="Arial"/>
          <w:sz w:val="22"/>
          <w:szCs w:val="22"/>
          <w:i w:val="1"/>
          <w:iCs w:val="1"/>
          <w:color w:val="auto"/>
        </w:rPr>
        <w:t>et seq</w:t>
      </w:r>
      <w:r>
        <w:rPr>
          <w:rFonts w:ascii="Arial" w:cs="Arial" w:eastAsia="Arial" w:hAnsi="Arial"/>
          <w:sz w:val="22"/>
          <w:szCs w:val="22"/>
          <w:color w:val="auto"/>
        </w:rPr>
        <w:t>. (“ERISA”). In the event Employee elects continuation of coverage under COBRA for himself/herself and his/her spouse and dependents, the Company will pay the Applicable Premium for such coverage (medical, dental, optical and prescription coverage for spouse and dependents) for 12 months, thereof. To be clear, the COBRA reimbursement will not include the Applicable Premium for any Section 125, health flexible spending, dependent care and health savings account and similar plans. Employee shall be responsible for, and will be required to pay, the Applicable Premium for any COBRA coverage beyond the 12 month period.</w:t>
      </w:r>
    </w:p>
    <w:p>
      <w:pPr>
        <w:spacing w:after="0" w:line="208" w:lineRule="exact"/>
        <w:rPr>
          <w:sz w:val="20"/>
          <w:szCs w:val="20"/>
          <w:color w:val="auto"/>
        </w:rPr>
      </w:pPr>
    </w:p>
    <w:p>
      <w:pPr>
        <w:jc w:val="both"/>
        <w:ind w:left="4" w:firstLine="648"/>
        <w:spacing w:after="0" w:line="27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Employee shall be eligible for such benefits under the Company’s existing qualified plans as are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circumstances (taking into account termination of employment as of the Termination Date) pursuant to the terms of the plan documents governing each of these plans. Except as otherwise provided herein or in the terms of any documents governing any employee benefit plan maintained by the Company, Employee will cease to be a participant in and will no longer have any coverage or entitlement to benefits, accruals, or contributions under any of the Company’s employee benefit plans effective upon the termination of his/her employment. Employee agrees that the payments made to him/her by the Company pursuant to this Agreement do not constitute compensation for purposes of calculating the amount of benefits that Employee may be entitled to under the terms of any pension plan or for the purposes of accruing any benefit, receiving any allocation of any contribution, or having the right to defer any income in any profit-sharing or other employee pension benefit plan, including any cash or deferred arrangement.</w:t>
      </w:r>
    </w:p>
    <w:p>
      <w:pPr>
        <w:spacing w:after="0" w:line="179" w:lineRule="exact"/>
        <w:rPr>
          <w:sz w:val="20"/>
          <w:szCs w:val="20"/>
          <w:color w:val="auto"/>
        </w:rPr>
      </w:pPr>
    </w:p>
    <w:p>
      <w:pPr>
        <w:jc w:val="both"/>
        <w:ind w:left="4" w:firstLine="648"/>
        <w:spacing w:after="0" w:line="239"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22"/>
          <w:szCs w:val="22"/>
          <w:color w:val="auto"/>
        </w:rPr>
        <w:t>Employee also understands that his/her equity awards are governed by the terms and conditions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2016 Incentive Stock Plan and Omnibus Incentive Plan or predecessor plans and individual equity award agreements. Nothing in this Agreement alters, changes, or amends the terms and conditions of said equity awards and award agreements.</w:t>
      </w:r>
    </w:p>
    <w:p>
      <w:pPr>
        <w:spacing w:after="0" w:line="207" w:lineRule="exact"/>
        <w:rPr>
          <w:sz w:val="20"/>
          <w:szCs w:val="20"/>
          <w:color w:val="auto"/>
        </w:rPr>
      </w:pPr>
    </w:p>
    <w:p>
      <w:pPr>
        <w:jc w:val="both"/>
        <w:ind w:left="4" w:firstLine="648"/>
        <w:spacing w:after="0" w:line="289"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color w:val="auto"/>
        </w:rPr>
        <w:t>Employee shall submit for reimbursement any and all unpaid business expenses to the Company within 30</w:t>
      </w:r>
      <w:r>
        <w:rPr>
          <w:rFonts w:ascii="Arial" w:cs="Arial" w:eastAsia="Arial" w:hAnsi="Arial"/>
          <w:sz w:val="19"/>
          <w:szCs w:val="19"/>
          <w:b w:val="1"/>
          <w:bCs w:val="1"/>
          <w:color w:val="auto"/>
        </w:rPr>
        <w:t xml:space="preserve"> </w:t>
      </w:r>
      <w:r>
        <w:rPr>
          <w:rFonts w:ascii="Arial" w:cs="Arial" w:eastAsia="Arial" w:hAnsi="Arial"/>
          <w:sz w:val="19"/>
          <w:szCs w:val="19"/>
          <w:color w:val="auto"/>
        </w:rPr>
        <w:t>days of the Termination Date. The Company will reimburse said expenses provided that they are consistent with, and reimbursable under, the Company’s travel and entertainment expense policy. The Company will not be responsible for reimbursing the Employee for any business expenses submitted after said 30 day period.</w:t>
      </w:r>
    </w:p>
    <w:p>
      <w:pPr>
        <w:spacing w:after="0" w:line="163" w:lineRule="exact"/>
        <w:rPr>
          <w:sz w:val="20"/>
          <w:szCs w:val="20"/>
          <w:color w:val="auto"/>
        </w:rPr>
      </w:pPr>
    </w:p>
    <w:p>
      <w:pPr>
        <w:jc w:val="both"/>
        <w:ind w:left="4" w:firstLine="648"/>
        <w:spacing w:after="0" w:line="243" w:lineRule="auto"/>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22"/>
          <w:szCs w:val="22"/>
          <w:color w:val="auto"/>
        </w:rPr>
        <w:t>This Agreement shall never be construed as an admission by the Company of any liability, wrongdoing or</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on its part or on the part of any other person or entity described in Section 4.1 of this Agreement. The Company expressly denies any such liability, wrongdoing or responsibility.</w:t>
      </w:r>
    </w:p>
    <w:p>
      <w:pPr>
        <w:sectPr>
          <w:pgSz w:w="11900" w:h="16838" w:orient="portrait"/>
          <w:cols w:equalWidth="0" w:num="1">
            <w:col w:w="10584"/>
          </w:cols>
          <w:pgMar w:left="976" w:top="1440" w:right="339" w:bottom="1440" w:gutter="0" w:footer="0" w:header="0"/>
        </w:sectPr>
      </w:pPr>
    </w:p>
    <w:bookmarkStart w:id="133" w:name="page134"/>
    <w:bookmarkEnd w:id="133"/>
    <w:p>
      <w:pPr>
        <w:spacing w:after="0"/>
        <w:tabs>
          <w:tab w:leader="none" w:pos="480" w:val="left"/>
        </w:tabs>
        <w:rPr>
          <w:sz w:val="20"/>
          <w:szCs w:val="20"/>
          <w:color w:val="auto"/>
        </w:rPr>
      </w:pPr>
      <w:r>
        <w:rPr>
          <w:rFonts w:ascii="Arial" w:cs="Arial" w:eastAsia="Arial" w:hAnsi="Arial"/>
          <w:sz w:val="22"/>
          <w:szCs w:val="22"/>
          <w:b w:val="1"/>
          <w:bCs w:val="1"/>
          <w:color w:val="auto"/>
        </w:rPr>
        <w:t>4.0</w:t>
      </w:r>
      <w:r>
        <w:rPr>
          <w:sz w:val="20"/>
          <w:szCs w:val="20"/>
          <w:color w:val="auto"/>
        </w:rPr>
        <w:tab/>
      </w:r>
      <w:r>
        <w:rPr>
          <w:rFonts w:ascii="Arial" w:cs="Arial" w:eastAsia="Arial" w:hAnsi="Arial"/>
          <w:sz w:val="17"/>
          <w:szCs w:val="17"/>
          <w:b w:val="1"/>
          <w:bCs w:val="1"/>
          <w:u w:val="single" w:color="auto"/>
          <w:color w:val="auto"/>
        </w:rPr>
        <w:t>Release</w:t>
      </w:r>
    </w:p>
    <w:p>
      <w:pPr>
        <w:spacing w:after="0" w:line="233"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color w:val="auto"/>
        </w:rPr>
        <w:t>Employee, on behalf of himself/herself and his/her heirs, assigns, transferees and representatives, hereby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releases and forever discharges the Company, and its predecessors, successors, parents, subsidiaries, affiliates, assigns, representatives and agents, as well as all of their present and former directors, officers, employees, agents, shareholders, representatives, attorneys and insurers (collectively, the “Releasees”), from any and all claims, causes of actions, demands, damages or liability of any nature whatsoever, known or unknown, which Employee has or may have which arise out of his/her employment or cessation of employment with the Company, or which concern or relate in any way to any acts or omissions done or occurring prior to and including the date of this Agreement, including, but not limited to, claims arising under the Fair Labor Standards Act; the Equal Pay Act; Title VII of the Civil Rights Act of 1964; 42 U.S.C.§ 1981 </w:t>
      </w:r>
      <w:r>
        <w:rPr>
          <w:rFonts w:ascii="Arial" w:cs="Arial" w:eastAsia="Arial" w:hAnsi="Arial"/>
          <w:sz w:val="19"/>
          <w:szCs w:val="19"/>
          <w:i w:val="1"/>
          <w:iCs w:val="1"/>
          <w:color w:val="auto"/>
        </w:rPr>
        <w:t>et seq.</w:t>
      </w:r>
      <w:r>
        <w:rPr>
          <w:rFonts w:ascii="Arial" w:cs="Arial" w:eastAsia="Arial" w:hAnsi="Arial"/>
          <w:sz w:val="19"/>
          <w:szCs w:val="19"/>
          <w:color w:val="auto"/>
        </w:rPr>
        <w:t>; the Americans with Disabilities Act; the Family and Medical Leave Act; the Employee Retirement Income Security Act of 1974; the Worker Adjustment and Retraining Notification Act, the Age Discrimination in Employment Act; the Genetic Information Nondiscrimination Act of 2008 (GINA), any and all claims for discrimination, wrongful termination and/or retaliation; claims for breach of contract, express or implied; claims for breach of the covenant of good faith and fair dealing; claims for compensation, including but not limited to wages, bonuses, or commissions except as otherwise contained herein; claims for benefits or fringe benefits, including, but not limited to, claims for severance pay and/or termination pay, except as otherwise contained herein; claims for, or relating to stock or stock options (except that nothing in this Agreement shall prohibit Employee from exercising any vested stock options or affect Employee’s claims to vested benefits in the Company’s Employees’ Retirement Savings Plan, Deferred Compensation Plan, Employee Stock Purchase Plan, or Cash Balance Retirement Plan, in accordance with the terms of the applicable stock option agreement(s) and applicable plan documents); claims for unaccrued vacation pay; claims arising in tort, including, but not limited to, claims for invasion of privacy, negligent or intentional infliction of emotional distress, fraud, negligent or intentional misrepresentation, and defamation; claims for quantum meruit and/or unjust enrichment; and any and all other claims arising under any other federal, state, local or foreign laws, as well as any and all other common law legal or equitable claims.</w:t>
      </w:r>
    </w:p>
    <w:p>
      <w:pPr>
        <w:spacing w:after="0" w:line="200" w:lineRule="exact"/>
        <w:rPr>
          <w:sz w:val="20"/>
          <w:szCs w:val="20"/>
          <w:color w:val="auto"/>
        </w:rPr>
      </w:pPr>
    </w:p>
    <w:p>
      <w:pPr>
        <w:spacing w:after="0" w:line="224"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21"/>
          <w:szCs w:val="21"/>
          <w:b w:val="1"/>
          <w:bCs w:val="1"/>
          <w:color w:val="auto"/>
        </w:rPr>
        <w:t xml:space="preserve">4.2 </w:t>
      </w:r>
      <w:r>
        <w:rPr>
          <w:rFonts w:ascii="Arial" w:cs="Arial" w:eastAsia="Arial" w:hAnsi="Arial"/>
          <w:sz w:val="21"/>
          <w:szCs w:val="21"/>
          <w:color w:val="auto"/>
        </w:rPr>
        <w:t>Employee represents that he/she has not initiated any action or charge against any of the Releasees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State or local court or administrative agency. Employee knowingly and intentionally waives any rights to any additional recovery that might be sought on his/her behalf by any other person, entity, local, state or federal government or agency thereof, including specifically and without limitation, the United States Department of Labor, the Equal Employment Opportunity Commission and comparable State agencies.</w:t>
      </w:r>
    </w:p>
    <w:p>
      <w:pPr>
        <w:spacing w:after="0" w:line="249"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21"/>
          <w:szCs w:val="21"/>
          <w:color w:val="auto"/>
        </w:rPr>
        <w:t>Employee is hereby advised that: (i) he/she should consult with an attorney (at his/her own expense) prior to</w:t>
      </w:r>
      <w:r>
        <w:rPr>
          <w:rFonts w:ascii="Arial" w:cs="Arial" w:eastAsia="Arial" w:hAnsi="Arial"/>
          <w:sz w:val="21"/>
          <w:szCs w:val="21"/>
          <w:b w:val="1"/>
          <w:bCs w:val="1"/>
          <w:color w:val="auto"/>
        </w:rPr>
        <w:t xml:space="preserve"> </w:t>
      </w:r>
      <w:r>
        <w:rPr>
          <w:rFonts w:ascii="Arial" w:cs="Arial" w:eastAsia="Arial" w:hAnsi="Arial"/>
          <w:sz w:val="21"/>
          <w:szCs w:val="21"/>
          <w:color w:val="auto"/>
        </w:rPr>
        <w:t>executing this Agreement; (ii) he/she is waiving, among other things, any age discrimination claims under the Age Discrimination in Employment Act, provided, however, he/she is not waiving any claims that may arise after the date this Agreement is executed; (iii) he/she has twenty-one (21) days within which to consider the</w:t>
      </w:r>
    </w:p>
    <w:p>
      <w:pPr>
        <w:sectPr>
          <w:pgSz w:w="11900" w:h="16838" w:orient="portrait"/>
          <w:cols w:equalWidth="0" w:num="1">
            <w:col w:w="11240"/>
          </w:cols>
          <w:pgMar w:left="320" w:top="1408" w:right="339" w:bottom="1440" w:gutter="0" w:footer="0" w:header="0"/>
        </w:sectPr>
      </w:pPr>
    </w:p>
    <w:bookmarkStart w:id="134" w:name="page135"/>
    <w:bookmarkEnd w:id="134"/>
    <w:p>
      <w:pPr>
        <w:spacing w:after="0" w:line="28"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execution of this Agreement, before signing it; and (iv) for a period of seven (7) days following the execution of this Agreement, he/she may revoke this Agreement by delivering written notice (by the close of business on the seventh day) to the Company in accordance with Section 10.7 herein.</w:t>
      </w:r>
    </w:p>
    <w:p>
      <w:pPr>
        <w:spacing w:after="0" w:line="207"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Notwithstanding the provisions of Section 4.1, said release does not apply to any and all statutory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claims that are prohibited from waiver by Federal, State or local law.</w:t>
      </w:r>
    </w:p>
    <w:p>
      <w:pPr>
        <w:spacing w:after="0" w:line="189"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1"/>
          <w:szCs w:val="21"/>
          <w:b w:val="1"/>
          <w:bCs w:val="1"/>
          <w:color w:val="auto"/>
        </w:rPr>
        <w:t xml:space="preserve">4.5 </w:t>
      </w:r>
      <w:r>
        <w:rPr>
          <w:rFonts w:ascii="Arial" w:cs="Arial" w:eastAsia="Arial" w:hAnsi="Arial"/>
          <w:sz w:val="21"/>
          <w:szCs w:val="21"/>
          <w:color w:val="auto"/>
        </w:rPr>
        <w:t>The parties agree that the Company has no prior legal obligation to make the additional payments set forth</w:t>
      </w:r>
      <w:r>
        <w:rPr>
          <w:rFonts w:ascii="Arial" w:cs="Arial" w:eastAsia="Arial" w:hAnsi="Arial"/>
          <w:sz w:val="21"/>
          <w:szCs w:val="21"/>
          <w:b w:val="1"/>
          <w:bCs w:val="1"/>
          <w:color w:val="auto"/>
        </w:rPr>
        <w:t xml:space="preserve"> </w:t>
      </w:r>
      <w:r>
        <w:rPr>
          <w:rFonts w:ascii="Arial" w:cs="Arial" w:eastAsia="Arial" w:hAnsi="Arial"/>
          <w:sz w:val="21"/>
          <w:szCs w:val="21"/>
          <w:color w:val="auto"/>
        </w:rPr>
        <w:t>above in Sections 2.0 and 3.0 (including the sub-parts thereto) and that it has been exchanged for the promises of Employee stated in this Agreement. It is specifically understood and agreed that the additional payments, and each of them, are good and adequate consideration to support the waivers, releases and obligations contained herein, including, without limitation, Sections 4.0, 5.0, 6.0, 7.0, and 8.0, and their respective sub-parts, and that all of the payments set forth Sections 2.0 and 3.0 (including the sub-parts thereto) are of value in addition to anything to which Employee already was entitled prior to the execution of this Agreement.</w:t>
      </w: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5.0</w:t>
      </w:r>
      <w:r>
        <w:rPr>
          <w:sz w:val="20"/>
          <w:szCs w:val="20"/>
          <w:color w:val="auto"/>
        </w:rPr>
        <w:tab/>
      </w:r>
      <w:r>
        <w:rPr>
          <w:rFonts w:ascii="Arial" w:cs="Arial" w:eastAsia="Arial" w:hAnsi="Arial"/>
          <w:sz w:val="19"/>
          <w:szCs w:val="19"/>
          <w:b w:val="1"/>
          <w:bCs w:val="1"/>
          <w:u w:val="single" w:color="auto"/>
          <w:color w:val="auto"/>
        </w:rPr>
        <w:t>Confidentiality</w:t>
      </w:r>
    </w:p>
    <w:p>
      <w:pPr>
        <w:spacing w:after="0" w:line="233" w:lineRule="exact"/>
        <w:rPr>
          <w:sz w:val="20"/>
          <w:szCs w:val="20"/>
          <w:color w:val="auto"/>
        </w:rPr>
      </w:pPr>
    </w:p>
    <w:p>
      <w:pPr>
        <w:jc w:val="both"/>
        <w:ind w:left="660" w:firstLine="648"/>
        <w:spacing w:after="0" w:line="300"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color w:val="auto"/>
        </w:rPr>
        <w:t>Employee understands and agrees that all discussions, negotiations and correspondence relating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as well as the terms of this Agreement are strictly confidential and agrees not to disclose to anyone (other than counsel, accountants, immediate family members) such information except as otherwise permitted under Section 5.7.</w:t>
      </w:r>
    </w:p>
    <w:p>
      <w:pPr>
        <w:spacing w:after="0" w:line="153" w:lineRule="exact"/>
        <w:rPr>
          <w:sz w:val="20"/>
          <w:szCs w:val="20"/>
          <w:color w:val="auto"/>
        </w:rPr>
      </w:pPr>
    </w:p>
    <w:p>
      <w:pPr>
        <w:jc w:val="both"/>
        <w:ind w:left="660" w:firstLine="648"/>
        <w:spacing w:after="0" w:line="236"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The parties acknowledge that during the course of Employee’s employment with the Company, he/she was</w:t>
      </w:r>
      <w:r>
        <w:rPr>
          <w:rFonts w:ascii="Arial" w:cs="Arial" w:eastAsia="Arial" w:hAnsi="Arial"/>
          <w:sz w:val="22"/>
          <w:szCs w:val="22"/>
          <w:b w:val="1"/>
          <w:bCs w:val="1"/>
          <w:color w:val="auto"/>
        </w:rPr>
        <w:t xml:space="preserve"> </w:t>
      </w:r>
      <w:r>
        <w:rPr>
          <w:rFonts w:ascii="Arial" w:cs="Arial" w:eastAsia="Arial" w:hAnsi="Arial"/>
          <w:sz w:val="22"/>
          <w:szCs w:val="22"/>
          <w:color w:val="auto"/>
        </w:rPr>
        <w:t>given access, on a confidential basis, to Confidential Information which the Company has for years collected, developed, and/or discovered through a significant amount of effort and at great expense. The parties acknowledge that the Confidential Information of the Company is not generally known or easily obtained in the Company’s trade, industry, business, or otherwise and that maintaining the secrecy of the Confidential Information is extremely important to the Company’s ability to compete with its competitors.</w:t>
      </w:r>
    </w:p>
    <w:p>
      <w:pPr>
        <w:spacing w:after="0" w:line="209"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color w:val="auto"/>
        </w:rPr>
        <w:t>Employee agrees that for a period of seven (7) years from the date of this Agreement, Employee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 consent of the Company, divulge to any third party or use for his/her own benefit, or for any purpose other than the exclusive benefit of the Company, any Confidential Information of the Company; provided however, that nothing herein contained shall restrict Employee’s ability to make such disclosures as such disclosures may be required by law; and further providing that nothing herein contained shall restrict Employee from divulging information that is readily available to the general public as long as such information did not become available to the general public as a direct or indirect result of Employee’s breach of this section of this Agreement.</w:t>
      </w:r>
    </w:p>
    <w:p>
      <w:pPr>
        <w:sectPr>
          <w:pgSz w:w="11900" w:h="16838" w:orient="portrait"/>
          <w:cols w:equalWidth="0" w:num="1">
            <w:col w:w="11240"/>
          </w:cols>
          <w:pgMar w:left="320" w:top="1440" w:right="339" w:bottom="1440" w:gutter="0" w:footer="0" w:header="0"/>
        </w:sectPr>
      </w:pPr>
    </w:p>
    <w:bookmarkStart w:id="135" w:name="page136"/>
    <w:bookmarkEnd w:id="135"/>
    <w:p>
      <w:pPr>
        <w:jc w:val="both"/>
        <w:ind w:left="660" w:firstLine="648"/>
        <w:spacing w:after="0" w:line="273"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19"/>
          <w:szCs w:val="19"/>
          <w:color w:val="auto"/>
        </w:rPr>
        <w:t>The term “Confidential Information” in this Agreement shall mean information that is not readily and easily</w:t>
      </w:r>
      <w:r>
        <w:rPr>
          <w:rFonts w:ascii="Arial" w:cs="Arial" w:eastAsia="Arial" w:hAnsi="Arial"/>
          <w:sz w:val="19"/>
          <w:szCs w:val="19"/>
          <w:b w:val="1"/>
          <w:bCs w:val="1"/>
          <w:color w:val="auto"/>
        </w:rPr>
        <w:t xml:space="preserve"> </w:t>
      </w:r>
      <w:r>
        <w:rPr>
          <w:rFonts w:ascii="Arial" w:cs="Arial" w:eastAsia="Arial" w:hAnsi="Arial"/>
          <w:sz w:val="19"/>
          <w:szCs w:val="19"/>
          <w:color w:val="auto"/>
        </w:rPr>
        <w:t>available to the public or to persons in the same business, trade, or industry of the Company, and that concerns the Company’s prices, pricing methods, costs, profits, profit margins, suppliers, methods, procedures, processes or combinations or applications thereof developed in, by, or for the Company’s business, research and development projects, data, business strategies, marketing strategies, sales techniques, customer lists, customer information, or any other information concerning the Company or its business that is not readily and easily available to the public or to those persons in the same business, trade, or industry of the Company. The term “customer information” as used in this Agreement shall mean information that is not readily and easily available to the public or to those persons in the same business, trade, or industry and that concerns the course of dealing between the Company and its customers or potential customers solicited by the Company, customer preferences, particular contracts or locations of customers, negotiations with customers, and any other information concerning customers obtained by the Company that is not readily and easily available to the public or to those in the business, trade, or industry of the Company.</w:t>
      </w:r>
    </w:p>
    <w:p>
      <w:pPr>
        <w:spacing w:after="0" w:line="177" w:lineRule="exact"/>
        <w:rPr>
          <w:sz w:val="20"/>
          <w:szCs w:val="20"/>
          <w:color w:val="auto"/>
        </w:rPr>
      </w:pPr>
    </w:p>
    <w:p>
      <w:pPr>
        <w:jc w:val="both"/>
        <w:ind w:left="660" w:firstLine="648"/>
        <w:spacing w:after="0" w:line="236" w:lineRule="auto"/>
        <w:rPr>
          <w:sz w:val="20"/>
          <w:szCs w:val="20"/>
          <w:color w:val="auto"/>
        </w:rPr>
      </w:pPr>
      <w:r>
        <w:rPr>
          <w:rFonts w:ascii="Arial" w:cs="Arial" w:eastAsia="Arial" w:hAnsi="Arial"/>
          <w:sz w:val="22"/>
          <w:szCs w:val="22"/>
          <w:b w:val="1"/>
          <w:bCs w:val="1"/>
          <w:color w:val="auto"/>
        </w:rPr>
        <w:t xml:space="preserve">5.5 </w:t>
      </w:r>
      <w:r>
        <w:rPr>
          <w:rFonts w:ascii="Arial" w:cs="Arial" w:eastAsia="Arial" w:hAnsi="Arial"/>
          <w:sz w:val="22"/>
          <w:szCs w:val="22"/>
          <w:color w:val="auto"/>
        </w:rPr>
        <w:t>Employee acknowledges that all information, the disclosure of which is prohibited hereby, is of a</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and proprietary character and of great value to the Company, and upon the execution of this Agreement (or as soon thereafter as is reasonably practicable), Employee shall forthwith deliver up to the Company all records, memoranda, data, and documents of any description that refer to or relate in any way to such information and shall return to the Company any of its equipment and property which may then be in Employee’s possession or under Employee’s personal control.</w:t>
      </w:r>
    </w:p>
    <w:p>
      <w:pPr>
        <w:spacing w:after="0" w:line="209"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2"/>
          <w:szCs w:val="22"/>
          <w:b w:val="1"/>
          <w:bCs w:val="1"/>
          <w:color w:val="auto"/>
        </w:rPr>
        <w:t xml:space="preserve">5.6 </w:t>
      </w:r>
      <w:r>
        <w:rPr>
          <w:rFonts w:ascii="Arial" w:cs="Arial" w:eastAsia="Arial" w:hAnsi="Arial"/>
          <w:sz w:val="22"/>
          <w:szCs w:val="22"/>
          <w:color w:val="auto"/>
        </w:rPr>
        <w:t>Employee hereby agrees that any failure to fully and completely comply with this provision shall entitle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seek damages for a demonstrated breach of the confidentiality provision, to include recoupment of monies paid hereunder.</w:t>
      </w:r>
    </w:p>
    <w:p>
      <w:pPr>
        <w:spacing w:after="0" w:line="204"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1"/>
          <w:szCs w:val="21"/>
          <w:b w:val="1"/>
          <w:bCs w:val="1"/>
          <w:color w:val="auto"/>
        </w:rPr>
        <w:t xml:space="preserve">5.7 </w:t>
      </w:r>
      <w:r>
        <w:rPr>
          <w:rFonts w:ascii="Arial" w:cs="Arial" w:eastAsia="Arial" w:hAnsi="Arial"/>
          <w:sz w:val="21"/>
          <w:szCs w:val="21"/>
          <w:color w:val="auto"/>
        </w:rPr>
        <w:t>Notwithstanding the restrictions set forth in Section 5.0 and its subparts, Employee may disclose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protected under Section 5.0 and its subparts if and only if such is (i) lawfully required by any government agency; (ii) otherwise required to be disclosed by law (including legally required financial reporting) and/or by court order; (iii) necessary in any legal proceeding in order to enforce any provision of this Agreement or (iv) made to the Securities Exchange Commission regarding security law issues or other government agency regarding a regulatory matter. Employee further agrees that he/she will notify the Company in writing within five (5) calendar days of the receipt of any subpoena, court order, administrative order or other legal process requiring disclosure of information subject to Section 5.0 and sub-parts thereto. Employee may also disclose the contents of Section 6.0 and its sub-parts and only those contents to any subsequent employer.</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6.0</w:t>
      </w:r>
      <w:r>
        <w:rPr>
          <w:sz w:val="20"/>
          <w:szCs w:val="20"/>
          <w:color w:val="auto"/>
        </w:rPr>
        <w:tab/>
      </w:r>
      <w:r>
        <w:rPr>
          <w:rFonts w:ascii="Arial" w:cs="Arial" w:eastAsia="Arial" w:hAnsi="Arial"/>
          <w:sz w:val="19"/>
          <w:szCs w:val="19"/>
          <w:b w:val="1"/>
          <w:bCs w:val="1"/>
          <w:u w:val="single" w:color="auto"/>
          <w:color w:val="auto"/>
        </w:rPr>
        <w:t>Non-Solicitation/Non-Compete</w:t>
      </w:r>
    </w:p>
    <w:p>
      <w:pPr>
        <w:spacing w:after="0" w:line="233"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22"/>
          <w:szCs w:val="22"/>
          <w:color w:val="auto"/>
        </w:rPr>
        <w:t>For a period of twelve (12) months the Termination Date, Employee shall not become an owner in,</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 with more than a 2% equity interest in, investor in, or an employee, contractor, consultant, advisor, representative, officer, director, or agent</w:t>
      </w:r>
    </w:p>
    <w:p>
      <w:pPr>
        <w:sectPr>
          <w:pgSz w:w="11900" w:h="16838" w:orient="portrait"/>
          <w:cols w:equalWidth="0" w:num="1">
            <w:col w:w="11240"/>
          </w:cols>
          <w:pgMar w:left="320" w:top="1408" w:right="339" w:bottom="1440" w:gutter="0" w:footer="0" w:header="0"/>
        </w:sectPr>
      </w:pPr>
    </w:p>
    <w:bookmarkStart w:id="136" w:name="page137"/>
    <w:bookmarkEnd w:id="136"/>
    <w:p>
      <w:pPr>
        <w:jc w:val="both"/>
        <w:spacing w:after="0" w:line="270" w:lineRule="auto"/>
        <w:rPr>
          <w:sz w:val="20"/>
          <w:szCs w:val="20"/>
          <w:color w:val="auto"/>
        </w:rPr>
      </w:pPr>
      <w:r>
        <w:rPr>
          <w:rFonts w:ascii="Arial" w:cs="Arial" w:eastAsia="Arial" w:hAnsi="Arial"/>
          <w:sz w:val="19"/>
          <w:szCs w:val="19"/>
          <w:color w:val="auto"/>
        </w:rPr>
        <w:t xml:space="preserve">of, a trade or business that offers products and services that are the same or substantially similar to the products and services provided by the Employer Company in any geographic market in which the Employer Company conducts business (“Competitor”);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duties and responsibilities of said employment or engagement as an owner in, shareholder with more than 2% equity interest in, investor in, contractor, consultant, advisor, representative, officer, director or agent are (i) the same, similar, or substantially related to current duties and responsibilities or duties or responsibilities performed by Employee while employed by the Company at any time during a six (6) month period prior to Termination Date and (ii) related to or concerning the Competitor’s business activities in the Restricted Territory. The parties agree and affirm that their intention with respect to Section 6.1 is that Employee’s activities shall be limited only for the twelve (12) month period after the separation of employment for any reason. The provisions calling for a "look back" of six (6) calendar months prior to the separation of employment are intended solely as a means of identifying the duties and responsibilities that will define the restricted activities covered by Section 6.1 and are not intended to nor shall they, under any circumstances, be construed to define the length or term of any such restriction. For purposes of Section 6.1, the term “Restricted Territory” means the geographic area that was part of Employee’s duties and responsibilities within a period of six (6) month period prior to the date of your termination of employment. If a court of competent jurisdiction determines that the Restricted Territory as defined herein is too restrictive, then the parties agree that </w:t>
      </w:r>
      <w:r>
        <w:rPr>
          <w:rFonts w:ascii="Arial" w:cs="Arial" w:eastAsia="Arial" w:hAnsi="Arial"/>
          <w:sz w:val="19"/>
          <w:szCs w:val="19"/>
          <w:color w:val="auto"/>
          <w:strike w:val="1"/>
        </w:rPr>
        <w:t>said</w:t>
      </w:r>
      <w:r>
        <w:rPr>
          <w:rFonts w:ascii="Arial" w:cs="Arial" w:eastAsia="Arial" w:hAnsi="Arial"/>
          <w:sz w:val="19"/>
          <w:szCs w:val="19"/>
          <w:color w:val="auto"/>
        </w:rPr>
        <w:t xml:space="preserve"> court may reduce or limit the Restricted Territory to the largest acceptable area so as to enable the enforcement of Section 6.1.</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color w:val="auto"/>
        </w:rPr>
        <w:t>For a period of twelve (12) months following the Termination Date, Employee will not, either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or on behalf of any person, business, partnership, or other entity, call upon, contact, or solicit any customer or customer prospect of the Company, or any representative of the same, with a view toward the sale or providing of any service or product competitive with the Company’s Business; provided, however, the restrictions set forth in this Section shall apply only to customers or prospects of the Company, or representatives of the same, with which during the past 12 month period the Employee had contact or who were known by Employee to be customers or prospects, or representatives of the same, of the Company. The parties agree and affirm that their intention with respect to Section 6.2 of this Agreement is that Employee's activities be limited only for a twelve (12) month period after the Termination Date for any reason. The provisions calling for a "look back" of 12 calendar months prior to the Termination Date are intended solely as a means of identifying the clients to which such restrictions apply and are not intended to nor shall they, under any circumstances, be construed to define the length or term of any such restriction.</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22"/>
          <w:szCs w:val="22"/>
          <w:color w:val="auto"/>
        </w:rPr>
        <w:t>For a period of twelve 12 months following the Termination Date, Employee shall not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a subordinate, co-worker, peer, or any other person or entity contact, solicit, encourage or induce any officer, director or employee of the Company or its subsidiary companies to work for or provide services to Employee and/or any other person or entity.</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6.4 </w:t>
      </w:r>
      <w:r>
        <w:rPr>
          <w:rFonts w:ascii="Arial" w:cs="Arial" w:eastAsia="Arial" w:hAnsi="Arial"/>
          <w:sz w:val="22"/>
          <w:szCs w:val="22"/>
          <w:color w:val="auto"/>
        </w:rPr>
        <w:t>Employee acknowledges and agrees that the foregoing restrictions are necessary for the reasonable and</w:t>
      </w:r>
      <w:r>
        <w:rPr>
          <w:rFonts w:ascii="Arial" w:cs="Arial" w:eastAsia="Arial" w:hAnsi="Arial"/>
          <w:sz w:val="22"/>
          <w:szCs w:val="22"/>
          <w:b w:val="1"/>
          <w:bCs w:val="1"/>
          <w:color w:val="auto"/>
        </w:rPr>
        <w:t xml:space="preserve"> </w:t>
      </w:r>
      <w:r>
        <w:rPr>
          <w:rFonts w:ascii="Arial" w:cs="Arial" w:eastAsia="Arial" w:hAnsi="Arial"/>
          <w:sz w:val="22"/>
          <w:szCs w:val="22"/>
          <w:color w:val="auto"/>
        </w:rPr>
        <w:t>proper protection of the Company; are reasonable in</w:t>
      </w:r>
    </w:p>
    <w:p>
      <w:pPr>
        <w:sectPr>
          <w:pgSz w:w="11900" w:h="16838" w:orient="portrait"/>
          <w:cols w:equalWidth="0" w:num="1">
            <w:col w:w="10580"/>
          </w:cols>
          <w:pgMar w:left="980" w:top="1414" w:right="339" w:bottom="1440" w:gutter="0" w:footer="0" w:header="0"/>
        </w:sectPr>
      </w:pPr>
    </w:p>
    <w:bookmarkStart w:id="137" w:name="page138"/>
    <w:bookmarkEnd w:id="137"/>
    <w:p>
      <w:pPr>
        <w:jc w:val="both"/>
        <w:ind w:left="660"/>
        <w:spacing w:after="0" w:line="248" w:lineRule="auto"/>
        <w:rPr>
          <w:sz w:val="20"/>
          <w:szCs w:val="20"/>
          <w:color w:val="auto"/>
        </w:rPr>
      </w:pPr>
      <w:r>
        <w:rPr>
          <w:rFonts w:ascii="Arial" w:cs="Arial" w:eastAsia="Arial" w:hAnsi="Arial"/>
          <w:sz w:val="21"/>
          <w:szCs w:val="21"/>
          <w:color w:val="auto"/>
        </w:rPr>
        <w:t>respect to subject matter, length of time, geographic scope, customer scope, and scope of activity to be restrained; and are not unduly harsh and oppressive so as to deprive Employee of his/her livelihood or to unduly restrict Employee’s opportunity to earn a living after termination of Employee’s employment with the Company. Employee further acknowledges and agrees that if any restrictions set forth in this Section are found by any court of competent jurisdiction to be unenforceable or otherwise against public policy, the restriction shall be interpreted to extend only over the maximum period of time or other restriction as to which it would otherwise be enforceable.</w:t>
      </w:r>
    </w:p>
    <w:p>
      <w:pPr>
        <w:spacing w:after="0" w:line="198"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9"/>
          <w:szCs w:val="19"/>
          <w:b w:val="1"/>
          <w:bCs w:val="1"/>
          <w:color w:val="auto"/>
        </w:rPr>
        <w:t xml:space="preserve">6.5 </w:t>
      </w:r>
      <w:r>
        <w:rPr>
          <w:rFonts w:ascii="Arial" w:cs="Arial" w:eastAsia="Arial" w:hAnsi="Arial"/>
          <w:sz w:val="19"/>
          <w:szCs w:val="19"/>
          <w:color w:val="auto"/>
        </w:rPr>
        <w:t>Employee acknowledges and agrees that because the violation, breach, or threatened breach of this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its sub-parts would result in immediate and irreparable injury to the Company, the Company shall be entitled, without limitation of remedy, to (a) temporary and permanent injunctive and other equitable relief restraining Employee from activities constituting a violation, breach or threatened breach of this Section and its sub-parts to the fullest extent allowed by law; (b) all such other remedies available at law or in equity, including without limitation the recovery of damages, reasonable attorneys’ fees and costs; and (c) withhold any further rights, payments or benefits under this Agreement which become due and owing after the occurrence of said violation, breach, or threatened breach, including, without limitation, any rights or claims under Sections 2.0 and 3.0 and the sub-parts thereto.</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7.0</w:t>
      </w:r>
      <w:r>
        <w:rPr>
          <w:sz w:val="20"/>
          <w:szCs w:val="20"/>
          <w:color w:val="auto"/>
        </w:rPr>
        <w:tab/>
      </w:r>
      <w:r>
        <w:rPr>
          <w:rFonts w:ascii="Arial" w:cs="Arial" w:eastAsia="Arial" w:hAnsi="Arial"/>
          <w:sz w:val="19"/>
          <w:szCs w:val="19"/>
          <w:b w:val="1"/>
          <w:bCs w:val="1"/>
          <w:u w:val="single" w:color="auto"/>
          <w:color w:val="auto"/>
        </w:rPr>
        <w:t>Return of Company Property</w:t>
      </w:r>
    </w:p>
    <w:p>
      <w:pPr>
        <w:spacing w:after="0" w:line="233" w:lineRule="exact"/>
        <w:rPr>
          <w:sz w:val="20"/>
          <w:szCs w:val="20"/>
          <w:color w:val="auto"/>
        </w:rPr>
      </w:pPr>
    </w:p>
    <w:p>
      <w:pPr>
        <w:jc w:val="both"/>
        <w:ind w:left="660" w:firstLine="648"/>
        <w:spacing w:after="0" w:line="237" w:lineRule="auto"/>
        <w:rPr>
          <w:sz w:val="20"/>
          <w:szCs w:val="20"/>
          <w:color w:val="auto"/>
        </w:rPr>
      </w:pPr>
      <w:r>
        <w:rPr>
          <w:rFonts w:ascii="Arial" w:cs="Arial" w:eastAsia="Arial" w:hAnsi="Arial"/>
          <w:sz w:val="22"/>
          <w:szCs w:val="22"/>
          <w:b w:val="1"/>
          <w:bCs w:val="1"/>
          <w:color w:val="auto"/>
        </w:rPr>
        <w:t xml:space="preserve">7.1 </w:t>
      </w:r>
      <w:r>
        <w:rPr>
          <w:rFonts w:ascii="Arial" w:cs="Arial" w:eastAsia="Arial" w:hAnsi="Arial"/>
          <w:sz w:val="22"/>
          <w:szCs w:val="22"/>
          <w:color w:val="auto"/>
        </w:rPr>
        <w:t>Employee agrees that within 10 days after execution of this Agreement, he/she will return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documents and any copies thereof, in any form whatsoever, including computer records or files, containing secret, confidential and/or proprietary information or ideas, and any other Company property (including, but not limited to, any cell phones, laptops, notepads, ipads, printers and/or other computer equipment) in Employee’s possession or control.</w:t>
      </w:r>
    </w:p>
    <w:p>
      <w:pPr>
        <w:spacing w:after="0" w:line="20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8.0</w:t>
      </w:r>
      <w:r>
        <w:rPr>
          <w:sz w:val="20"/>
          <w:szCs w:val="20"/>
          <w:color w:val="auto"/>
        </w:rPr>
        <w:tab/>
      </w:r>
      <w:r>
        <w:rPr>
          <w:rFonts w:ascii="Arial" w:cs="Arial" w:eastAsia="Arial" w:hAnsi="Arial"/>
          <w:sz w:val="19"/>
          <w:szCs w:val="19"/>
          <w:b w:val="1"/>
          <w:bCs w:val="1"/>
          <w:u w:val="single" w:color="auto"/>
          <w:color w:val="auto"/>
        </w:rPr>
        <w:t>Duty to Cooperate and of Loyalty/Nondisparagement</w:t>
      </w:r>
    </w:p>
    <w:p>
      <w:pPr>
        <w:spacing w:after="0" w:line="233"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color w:val="auto"/>
        </w:rPr>
        <w:t>Without limitation as to time, Employee agrees to cooperate and make all reasonable and lawful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assist the Company in addressing any issues which may arise concerning any matter with which he/she was involved during his/her employment with the Company, including, but not limited to cooperating in any litigation arising therefrom. Employee will also be compensated for expenses directly incurred solely in connection with such services, provided however that the expenses are both fair and reasonable and consistent with Company policy on expense reimbursement. For avoidance of doubt, expenses directly incurred solely in connection such services would include expenses such as travel, photocopying or other expense incurred solely for the benefit of the Company but would not include such indirect and overhead expenses such as but not limited to phone, computer, internet, office supplies, or rent.</w:t>
      </w:r>
    </w:p>
    <w:p>
      <w:pPr>
        <w:spacing w:after="0" w:line="177"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2"/>
          <w:szCs w:val="22"/>
          <w:b w:val="1"/>
          <w:bCs w:val="1"/>
          <w:color w:val="auto"/>
        </w:rPr>
        <w:t xml:space="preserve">8.2 </w:t>
      </w:r>
      <w:r>
        <w:rPr>
          <w:rFonts w:ascii="Arial" w:cs="Arial" w:eastAsia="Arial" w:hAnsi="Arial"/>
          <w:sz w:val="22"/>
          <w:szCs w:val="22"/>
          <w:color w:val="auto"/>
        </w:rPr>
        <w:t>Employee will not (except as required by law) communicate to anyone, whether by word or deed, whether</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through any intermediary, and whether expressly or by suggestion or innuendo, any statement, whether characterized as one of</w:t>
      </w:r>
    </w:p>
    <w:p>
      <w:pPr>
        <w:sectPr>
          <w:pgSz w:w="11900" w:h="16838" w:orient="portrait"/>
          <w:cols w:equalWidth="0" w:num="1">
            <w:col w:w="11240"/>
          </w:cols>
          <w:pgMar w:left="320" w:top="1414" w:right="339" w:bottom="1440" w:gutter="0" w:footer="0" w:header="0"/>
        </w:sectPr>
      </w:pPr>
    </w:p>
    <w:bookmarkStart w:id="138" w:name="page139"/>
    <w:bookmarkEnd w:id="138"/>
    <w:p>
      <w:pPr>
        <w:jc w:val="both"/>
        <w:ind w:left="660"/>
        <w:spacing w:after="0" w:line="273" w:lineRule="auto"/>
        <w:rPr>
          <w:sz w:val="20"/>
          <w:szCs w:val="20"/>
          <w:color w:val="auto"/>
        </w:rPr>
      </w:pPr>
      <w:r>
        <w:rPr>
          <w:rFonts w:ascii="Arial" w:cs="Arial" w:eastAsia="Arial" w:hAnsi="Arial"/>
          <w:sz w:val="19"/>
          <w:szCs w:val="19"/>
          <w:color w:val="auto"/>
        </w:rPr>
        <w:t>fact or of opinion, that is intended to cause or that reasonably would be expected to cause any person to whom it is communicated to have (1) a lowered opinion of the Company or any affiliates, including a lowered opinion of any products manufactured, sold, or used by, or any services offered or rendered by the Company or its affiliates; and/or (2) a lowered opinion of the Company’s creditworthiness or business prospects. Employee’s obligation in this regard extends to the reputation of the Company and any other person or entity described in Section 4.1 of this Agreement. This Section shall not be construed as prohibiting the Employee from communicating truthful information (a) in response to assistance requested under Section 8.1 of this Agreement, (b) in any formal or informal proceeding with a government agency or investigator, (c) any litigation against the Company including, but not limited to, qui tam lawsuits whether the government decides to intervene or declines to intervene and the relator moves forward pursuing its claims, (d) as required by law, such as in response to a duly-issued subpoena, or (e) any action to enforce the terms of this Agreement or right not waived under Section 4.0 and subparts thereunder.</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9.0</w:t>
      </w:r>
      <w:r>
        <w:rPr>
          <w:sz w:val="20"/>
          <w:szCs w:val="20"/>
          <w:color w:val="auto"/>
        </w:rPr>
        <w:tab/>
      </w:r>
      <w:r>
        <w:rPr>
          <w:rFonts w:ascii="Arial" w:cs="Arial" w:eastAsia="Arial" w:hAnsi="Arial"/>
          <w:sz w:val="19"/>
          <w:szCs w:val="19"/>
          <w:b w:val="1"/>
          <w:bCs w:val="1"/>
          <w:u w:val="single" w:color="auto"/>
          <w:color w:val="auto"/>
        </w:rPr>
        <w:t>Section 409A of the Code</w:t>
      </w:r>
    </w:p>
    <w:p>
      <w:pPr>
        <w:spacing w:after="0" w:line="233"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Notwithstanding any provisions of this Agreement to the contrary, if the Employee is a “specified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(within the meaning of Section 409A of the Internal Revenue Code of 1986, as amended (the “Code”) and determined pursuant to procedures adopted by the Company) at the Termination Date and if any portion of the payments or benefits to be received by the Employee would be considered deferred compensation under Section 409A of the Code, amounts that would otherwise be payable pursuant to this Agreement during the six-month period immediately following the Employee’s Termination Date (the “Delayed Payments”) and benefits that would otherwise be provided pursuant to this Agreement (the “Delayed Benefits”) during the six-month period immediately following the Employee’s Termination Date (such period, the “Delay Period”) shall instead be paid or made available on the earlier of (i) the first business day of the seventh (7th) month following the Termination Date or (ii) the Employee’s death (the applicable date, the “Permissible Payment Date”). The Company shall also reimburse the Employee for the after-tax cost incurred by the Employee in independently obtaining any Delayed Benefits (the “Additional Delayed Payments”).</w:t>
      </w:r>
    </w:p>
    <w:p>
      <w:pPr>
        <w:spacing w:after="0" w:line="182"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color w:val="auto"/>
        </w:rPr>
        <w:t>With respect to any amount of expenses eligible for reimbursement under Sections 3.1, 3.4 and 9.1, such</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shall be reimbursed by the Company within thirty (30) calendar days following the date on which the Company receives the applicable invoice from the Employee but in no event later than December 31 of the year following the year in which the Employee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Employee’s right to reimbursement or in-kind benefits be subject to liquidation or exchange for another benefit.</w:t>
      </w:r>
    </w:p>
    <w:p>
      <w:pPr>
        <w:sectPr>
          <w:pgSz w:w="11900" w:h="16838" w:orient="portrait"/>
          <w:cols w:equalWidth="0" w:num="1">
            <w:col w:w="11240"/>
          </w:cols>
          <w:pgMar w:left="320" w:top="1414" w:right="339" w:bottom="1440" w:gutter="0" w:footer="0" w:header="0"/>
        </w:sectPr>
      </w:pPr>
    </w:p>
    <w:bookmarkStart w:id="139" w:name="page140"/>
    <w:bookmarkEnd w:id="139"/>
    <w:p>
      <w:pPr>
        <w:spacing w:after="0" w:line="22"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It is the intention of the parties that payments or benefits payable under this Agreement not be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tax imposed pursuant to Section 409A of the Code. To the extent such potential payments or benefits could become subject to such Section, the Company may amend this Agreement with the goal of giving the Covered Employee the economic benefits described herein in a manner that does not result in such tax being imposed.</w:t>
      </w:r>
    </w:p>
    <w:p>
      <w:pPr>
        <w:spacing w:after="0" w:line="163" w:lineRule="exact"/>
        <w:rPr>
          <w:sz w:val="20"/>
          <w:szCs w:val="20"/>
          <w:color w:val="auto"/>
        </w:rPr>
      </w:pPr>
    </w:p>
    <w:p>
      <w:pPr>
        <w:jc w:val="both"/>
        <w:ind w:left="660" w:firstLine="648"/>
        <w:spacing w:after="0" w:line="280" w:lineRule="auto"/>
        <w:rPr>
          <w:sz w:val="20"/>
          <w:szCs w:val="20"/>
          <w:color w:val="auto"/>
        </w:rPr>
      </w:pPr>
      <w:r>
        <w:rPr>
          <w:rFonts w:ascii="Arial" w:cs="Arial" w:eastAsia="Arial" w:hAnsi="Arial"/>
          <w:sz w:val="21"/>
          <w:szCs w:val="21"/>
          <w:b w:val="1"/>
          <w:bCs w:val="1"/>
          <w:color w:val="auto"/>
        </w:rPr>
        <w:t xml:space="preserve">9.4 </w:t>
      </w:r>
      <w:r>
        <w:rPr>
          <w:rFonts w:ascii="Arial" w:cs="Arial" w:eastAsia="Arial" w:hAnsi="Arial"/>
          <w:sz w:val="21"/>
          <w:szCs w:val="21"/>
          <w:color w:val="auto"/>
        </w:rPr>
        <w:t>For purposes of Section 409A of the Code, an Employee’s right to receive any “installment”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this Agreement shall be treated as a right to receive a series of separate and distinct payments.</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10.0</w:t>
      </w:r>
      <w:r>
        <w:rPr>
          <w:sz w:val="20"/>
          <w:szCs w:val="20"/>
          <w:color w:val="auto"/>
        </w:rPr>
        <w:tab/>
      </w:r>
      <w:r>
        <w:rPr>
          <w:rFonts w:ascii="Arial" w:cs="Arial" w:eastAsia="Arial" w:hAnsi="Arial"/>
          <w:sz w:val="19"/>
          <w:szCs w:val="19"/>
          <w:b w:val="1"/>
          <w:bCs w:val="1"/>
          <w:u w:val="single" w:color="auto"/>
          <w:color w:val="auto"/>
        </w:rPr>
        <w:t>Miscellaneous</w:t>
      </w:r>
    </w:p>
    <w:p>
      <w:pPr>
        <w:spacing w:after="0" w:line="233"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22"/>
          <w:szCs w:val="22"/>
          <w:color w:val="auto"/>
        </w:rPr>
        <w:t>This Agreement is binding on, and shall inure to the benefit of, the Parties hereto and their heirs,</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transferees, principals, executors, administrators, predecessors, successors, parents, subsidiaries, affiliates, assigns, agents, directors, officers and employees.</w:t>
      </w:r>
    </w:p>
    <w:p>
      <w:pPr>
        <w:spacing w:after="0" w:line="204" w:lineRule="exact"/>
        <w:rPr>
          <w:sz w:val="20"/>
          <w:szCs w:val="20"/>
          <w:color w:val="auto"/>
        </w:rPr>
      </w:pPr>
    </w:p>
    <w:p>
      <w:pPr>
        <w:jc w:val="both"/>
        <w:ind w:left="660" w:firstLine="648"/>
        <w:spacing w:after="0" w:line="280"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color w:val="auto"/>
        </w:rPr>
        <w:t>The Plan is incorporated herein by reference. This Agreement constitutes the complete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and contains all of the promises and undertakings by the Parties. Employee agrees that the only considerations for signing this Agreement are the terms stated herein above and that no other representations, promises, or assurances of any kind have been made to him by the Company, its attorneys, or any other person as an inducement to sign this Agreement. Any and all prior agreements, representations, negotiations and understandings among the Parties, oral or written, express or implied, with respect to the subject matter hereof are hereby superseded and merged herein.</w:t>
      </w:r>
    </w:p>
    <w:p>
      <w:pPr>
        <w:spacing w:after="0" w:line="17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color w:val="auto"/>
        </w:rPr>
        <w:t>This Agreement may not be revised or modified without the mutual written consent of the Parties.</w:t>
      </w:r>
    </w:p>
    <w:p>
      <w:pPr>
        <w:spacing w:after="0" w:line="233"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9"/>
          <w:szCs w:val="19"/>
          <w:b w:val="1"/>
          <w:bCs w:val="1"/>
          <w:color w:val="auto"/>
        </w:rPr>
        <w:t xml:space="preserve">10.4 </w:t>
      </w:r>
      <w:r>
        <w:rPr>
          <w:rFonts w:ascii="Arial" w:cs="Arial" w:eastAsia="Arial" w:hAnsi="Arial"/>
          <w:sz w:val="19"/>
          <w:szCs w:val="19"/>
          <w:color w:val="auto"/>
        </w:rPr>
        <w:t>The Parties acknowledge and agree that they have each had sufficient time to consider this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consult with legal counsel of their choosing concerning its meaning prior to entering into this Agreement. In entering into this Agreement, no Party has relied on any representations or warranties of any other Party other than the representations or warranties expressly set forth in this Agreement. Employee acknowledges that he/she has read this Agreement and that he/she possesses sufficient education and experience to fully understand the terms of this Agreement as it has been written, the legal and binding effect of this Agreement, and the exchange of benefits and payments for promises hereunder, and that he/she has had a full opportunity to discuss or ask questions about all such terms.</w:t>
      </w:r>
    </w:p>
    <w:p>
      <w:pPr>
        <w:spacing w:after="0" w:line="226" w:lineRule="exact"/>
        <w:rPr>
          <w:sz w:val="20"/>
          <w:szCs w:val="20"/>
          <w:color w:val="auto"/>
        </w:rPr>
      </w:pPr>
    </w:p>
    <w:p>
      <w:pPr>
        <w:jc w:val="both"/>
        <w:ind w:left="660" w:firstLine="648"/>
        <w:spacing w:after="0" w:line="237" w:lineRule="auto"/>
        <w:rPr>
          <w:sz w:val="20"/>
          <w:szCs w:val="20"/>
          <w:color w:val="auto"/>
        </w:rPr>
      </w:pPr>
      <w:r>
        <w:rPr>
          <w:rFonts w:ascii="Arial" w:cs="Arial" w:eastAsia="Arial" w:hAnsi="Arial"/>
          <w:sz w:val="22"/>
          <w:szCs w:val="22"/>
          <w:b w:val="1"/>
          <w:bCs w:val="1"/>
          <w:color w:val="auto"/>
        </w:rPr>
        <w:t xml:space="preserve">10.5 </w:t>
      </w:r>
      <w:r>
        <w:rPr>
          <w:rFonts w:ascii="Arial" w:cs="Arial" w:eastAsia="Arial" w:hAnsi="Arial"/>
          <w:sz w:val="22"/>
          <w:szCs w:val="22"/>
          <w:color w:val="auto"/>
        </w:rPr>
        <w:t>Except as otherwise provided in this Section, if any provision of this Agreement shall be determined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invalid or unenforceable by a court of competent jurisdiction, that part shall be ineffective to the extent of such invalidity or unenforceability only, without in any way affecting the remaining parts of said provision or the remaining provisions of this Agreement; provided that, if any provision contained in this Agreement shall be adjudicated to be invalid or unenforceable because such provision is held to be</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excessively broad as to duration, geographic scope, activity or subject, such provision shall be deemed amended by limiting and reducing it so as to be valid and enforceable to the maximum extent compatible with the applicable laws of such jurisdiction, and such amendment only to apply with respect to the operation of such provision in the applicable jurisdiction in which the adjudication is made. If as a result of litigation brought by the Employee or as a result of any defense asserted by the Employee Section 6.0 or any of its sub-parts of this Agreement is deemed invalid or unenforceable, in whole or in part, by a court of competent jurisdiction, this entire Agreement shall be null and void, and any consideration paid hereunder shall be repaid immediately by Employee upon receipt of notice thereof.</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10.6 </w:t>
      </w:r>
      <w:r>
        <w:rPr>
          <w:rFonts w:ascii="Arial" w:cs="Arial" w:eastAsia="Arial" w:hAnsi="Arial"/>
          <w:sz w:val="19"/>
          <w:szCs w:val="19"/>
          <w:color w:val="auto"/>
        </w:rPr>
        <w:t>Employee agrees that because he/she has rendered services of a special, unique, and extraordinary</w:t>
      </w:r>
      <w:r>
        <w:rPr>
          <w:rFonts w:ascii="Arial" w:cs="Arial" w:eastAsia="Arial" w:hAnsi="Arial"/>
          <w:sz w:val="19"/>
          <w:szCs w:val="19"/>
          <w:b w:val="1"/>
          <w:bCs w:val="1"/>
          <w:color w:val="auto"/>
        </w:rPr>
        <w:t xml:space="preserve"> </w:t>
      </w:r>
      <w:r>
        <w:rPr>
          <w:rFonts w:ascii="Arial" w:cs="Arial" w:eastAsia="Arial" w:hAnsi="Arial"/>
          <w:sz w:val="19"/>
          <w:szCs w:val="19"/>
          <w:color w:val="auto"/>
        </w:rPr>
        <w:t>character, damages may not be an adequate or reasonable remedy for breach of his/her obligations under this Agreement. Accordingly, in the event of a breach or threatened breach by Employee of the provisions of this Agreement, the Company shall be entitled to (a) an injunction restraining Employee from violating the terms hereof, or from rendering services to any person, firm, corporation, association, or other entity to which any confidential information, trade secrets, or proprietary materials of the Company have been disclosed or are threatened to be disclosed, or for which Employee is working or rendering services, or threatens to work or render services (b) all such other remedies available at law or in equity, including without limitation the recovery of damages, reasonable attorneys’ fees and costs, and (c) withhold any further payments under this Agreement which become due and owing after the occurrence of said violation, breach or threatened breach. Nothing herein shall be construed as prohibiting the Company from pursuing any other remedies available to it for such breach or threatened breach of this Agreement, including the right to terminate any payments to Employee pursuant to this Agreement or the recovery of damages from Employee. Employee agrees that the issuance of the injunction described in this Section may be without the posting of any bond or other security by the Company.</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10.7 </w:t>
      </w:r>
      <w:r>
        <w:rPr>
          <w:rFonts w:ascii="Arial" w:cs="Arial" w:eastAsia="Arial" w:hAnsi="Arial"/>
          <w:sz w:val="22"/>
          <w:szCs w:val="22"/>
          <w:color w:val="auto"/>
        </w:rPr>
        <w:t>Such notice and any other notices required under this Agreement shall be served upon the Company by</w:t>
      </w:r>
      <w:r>
        <w:rPr>
          <w:rFonts w:ascii="Arial" w:cs="Arial" w:eastAsia="Arial" w:hAnsi="Arial"/>
          <w:sz w:val="22"/>
          <w:szCs w:val="22"/>
          <w:b w:val="1"/>
          <w:bCs w:val="1"/>
          <w:color w:val="auto"/>
        </w:rPr>
        <w:t xml:space="preserve"> </w:t>
      </w:r>
      <w:r>
        <w:rPr>
          <w:rFonts w:ascii="Arial" w:cs="Arial" w:eastAsia="Arial" w:hAnsi="Arial"/>
          <w:sz w:val="22"/>
          <w:szCs w:val="22"/>
          <w:color w:val="auto"/>
        </w:rPr>
        <w:t>certified mail, return receipt requested, or by expressed delivery by a nationally recognized delivery service company such as Federal Express as follows: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If to the Company:</w:t>
      </w:r>
    </w:p>
    <w:p>
      <w:pPr>
        <w:spacing w:after="0" w:line="23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Laboratory Corporation of America Holdings 531 S. Spring Street</w:t>
      </w:r>
    </w:p>
    <w:p>
      <w:pPr>
        <w:ind w:left="1400"/>
        <w:spacing w:after="0" w:line="238" w:lineRule="auto"/>
        <w:rPr>
          <w:sz w:val="20"/>
          <w:szCs w:val="20"/>
          <w:color w:val="auto"/>
        </w:rPr>
      </w:pPr>
      <w:r>
        <w:rPr>
          <w:rFonts w:ascii="Arial" w:cs="Arial" w:eastAsia="Arial" w:hAnsi="Arial"/>
          <w:sz w:val="22"/>
          <w:szCs w:val="22"/>
          <w:color w:val="auto"/>
        </w:rPr>
        <w:t>Burlington, NC 27215</w:t>
      </w:r>
    </w:p>
    <w:p>
      <w:pPr>
        <w:ind w:left="1400"/>
        <w:spacing w:after="0" w:line="230" w:lineRule="auto"/>
        <w:rPr>
          <w:sz w:val="20"/>
          <w:szCs w:val="20"/>
          <w:color w:val="auto"/>
        </w:rPr>
      </w:pPr>
      <w:r>
        <w:rPr>
          <w:rFonts w:ascii="Arial" w:cs="Arial" w:eastAsia="Arial" w:hAnsi="Arial"/>
          <w:sz w:val="22"/>
          <w:szCs w:val="22"/>
          <w:color w:val="auto"/>
        </w:rPr>
        <w:t>Telephone No.: (336) 436-4226</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Telecopier No.: (336) 436-4177 Attention: EVP, Chief Legal Officer</w:t>
      </w:r>
    </w:p>
    <w:p>
      <w:pPr>
        <w:sectPr>
          <w:pgSz w:w="11900" w:h="16838" w:orient="portrait"/>
          <w:cols w:equalWidth="0" w:num="1">
            <w:col w:w="10580"/>
          </w:cols>
          <w:pgMar w:left="980" w:top="1440"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With a copy to:</w:t>
      </w:r>
    </w:p>
    <w:p>
      <w:pPr>
        <w:spacing w:after="0" w:line="239"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Laboratory Corporation of America Holdings 531 S. Spring Street</w:t>
      </w:r>
    </w:p>
    <w:p>
      <w:pPr>
        <w:ind w:left="2060"/>
        <w:spacing w:after="0" w:line="238" w:lineRule="auto"/>
        <w:rPr>
          <w:sz w:val="20"/>
          <w:szCs w:val="20"/>
          <w:color w:val="auto"/>
        </w:rPr>
      </w:pPr>
      <w:r>
        <w:rPr>
          <w:rFonts w:ascii="Arial" w:cs="Arial" w:eastAsia="Arial" w:hAnsi="Arial"/>
          <w:sz w:val="22"/>
          <w:szCs w:val="22"/>
          <w:color w:val="auto"/>
        </w:rPr>
        <w:t>Burlington, NC 27215</w:t>
      </w:r>
    </w:p>
    <w:p>
      <w:pPr>
        <w:ind w:left="2060"/>
        <w:spacing w:after="0"/>
        <w:rPr>
          <w:sz w:val="20"/>
          <w:szCs w:val="20"/>
          <w:color w:val="auto"/>
        </w:rPr>
      </w:pPr>
      <w:r>
        <w:rPr>
          <w:rFonts w:ascii="Arial" w:cs="Arial" w:eastAsia="Arial" w:hAnsi="Arial"/>
          <w:sz w:val="22"/>
          <w:szCs w:val="22"/>
          <w:color w:val="auto"/>
        </w:rPr>
        <w:t>Attention: Director of HR Compliance</w:t>
      </w:r>
    </w:p>
    <w:p>
      <w:pPr>
        <w:spacing w:after="0" w:line="215" w:lineRule="exact"/>
        <w:rPr>
          <w:sz w:val="20"/>
          <w:szCs w:val="20"/>
          <w:color w:val="auto"/>
        </w:rPr>
      </w:pPr>
    </w:p>
    <w:p>
      <w:pPr>
        <w:ind w:left="660" w:right="240" w:firstLine="648"/>
        <w:spacing w:after="0" w:line="250" w:lineRule="auto"/>
        <w:rPr>
          <w:sz w:val="20"/>
          <w:szCs w:val="20"/>
          <w:color w:val="auto"/>
        </w:rPr>
      </w:pPr>
      <w:r>
        <w:rPr>
          <w:rFonts w:ascii="Arial" w:cs="Arial" w:eastAsia="Arial" w:hAnsi="Arial"/>
          <w:sz w:val="22"/>
          <w:szCs w:val="22"/>
          <w:color w:val="auto"/>
        </w:rPr>
        <w:t>Consistent with the requirements of this Section, each party shall notify the other party of any change of address for the receipt of a notice under this Agreement.</w:t>
      </w:r>
    </w:p>
    <w:p>
      <w:pPr>
        <w:spacing w:after="0" w:line="196"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9"/>
          <w:szCs w:val="19"/>
          <w:b w:val="1"/>
          <w:bCs w:val="1"/>
          <w:color w:val="auto"/>
        </w:rPr>
        <w:t xml:space="preserve">10.8 </w:t>
      </w:r>
      <w:r>
        <w:rPr>
          <w:rFonts w:ascii="Arial" w:cs="Arial" w:eastAsia="Arial" w:hAnsi="Arial"/>
          <w:sz w:val="19"/>
          <w:szCs w:val="19"/>
          <w:color w:val="auto"/>
        </w:rPr>
        <w:t>This Agreement shall be construed in accordance with and governed by the laws, except choice of law</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provisions, of the State of North Carolina and shall govern to the exclusion of the laws of any other forum including but not limited to the laws of the State of California. The parties further agree that any action, special proceeding or other proceeding with respect to this Agreement shall be brought exclusively in the federal or state courts of the State of North Carolina. </w:t>
      </w:r>
      <w:r>
        <w:rPr>
          <w:rFonts w:ascii="Arial" w:cs="Arial" w:eastAsia="Arial" w:hAnsi="Arial"/>
          <w:sz w:val="19"/>
          <w:szCs w:val="19"/>
          <w:b w:val="1"/>
          <w:bCs w:val="1"/>
          <w:i w:val="1"/>
          <w:iCs w:val="1"/>
          <w:color w:val="auto"/>
        </w:rPr>
        <w:t>Employee and Company irrevocably consent to the jurisdiction of the Federal and State courts of North</w:t>
      </w:r>
    </w:p>
    <w:p>
      <w:pPr>
        <w:spacing w:after="0" w:line="1"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b w:val="1"/>
          <w:bCs w:val="1"/>
          <w:i w:val="1"/>
          <w:iCs w:val="1"/>
          <w:color w:val="auto"/>
        </w:rPr>
        <w:t>Carolina and that Employee hereby consents and submits to personal jurisdiction in the State of North Carolina. Employee and Company irrevocably waive any objection, including an objection or defense based on lack of personal jurisdiction, improper venue or forum non-conveniens which either may now or hereafter have to the bringing of any action or proceeding in connection with this Agreement. Employee acknowledges and recognizes that in the event that he/she has breached this Agreement, the Company may initiate a lawsuit against him/her in North Carolina, that Employee waives his/her right to have that lawsuit be brought in a court located closer to where he/she may reside, and that Employee will be required to travel to and defend himself/herself in North Carolina.</w:t>
      </w:r>
    </w:p>
    <w:p>
      <w:pPr>
        <w:spacing w:after="0" w:line="18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Effective Date of this Agreement shall be either (a) the Termination Date or (b) the day after expiration of the seven (7) day revocation period set forth in Section 4.3 of this Agreement, whichever date is later.</w:t>
      </w:r>
    </w:p>
    <w:p>
      <w:pPr>
        <w:spacing w:after="0" w:line="202"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If you agree with the foregoing, please sign below and return two (2) originals to me. You should retain one (1) original copy of this Agreement for your records.</w:t>
      </w:r>
    </w:p>
    <w:p>
      <w:pPr>
        <w:spacing w:after="0" w:line="202"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367030</wp:posOffset>
            </wp:positionV>
            <wp:extent cx="29400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Agreed to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31032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15875</wp:posOffset>
            </wp:positionV>
            <wp:extent cx="26403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right"/>
        <w:ind w:right="2619"/>
        <w:spacing w:after="0"/>
        <w:tabs>
          <w:tab w:leader="none" w:pos="2400" w:val="left"/>
        </w:tabs>
        <w:rPr>
          <w:sz w:val="20"/>
          <w:szCs w:val="20"/>
          <w:color w:val="auto"/>
        </w:rPr>
      </w:pPr>
      <w:r>
        <w:rPr>
          <w:rFonts w:ascii="Arial" w:cs="Arial" w:eastAsia="Arial" w:hAnsi="Arial"/>
          <w:sz w:val="22"/>
          <w:szCs w:val="22"/>
          <w:b w:val="1"/>
          <w:bCs w:val="1"/>
          <w:color w:val="auto"/>
        </w:rPr>
        <w:t>Exhibit 21</w:t>
      </w:r>
      <w:r>
        <w:rPr>
          <w:sz w:val="20"/>
          <w:szCs w:val="20"/>
          <w:color w:val="auto"/>
        </w:rPr>
        <w:tab/>
      </w:r>
      <w:r>
        <w:rPr>
          <w:rFonts w:ascii="Arial" w:cs="Arial" w:eastAsia="Arial" w:hAnsi="Arial"/>
          <w:sz w:val="21"/>
          <w:szCs w:val="21"/>
          <w:b w:val="1"/>
          <w:bCs w:val="1"/>
          <w:color w:val="auto"/>
        </w:rPr>
        <w:t>LIST OF SUBSIDIARIES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1957285 Ontario Inc. dba Quality Underwriting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2089729 Ontario,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2248848 Ontario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3065619 Nova Scotia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3257959 Nova Scotia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896988 Ontario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9279-3280 Quebec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Accupath Diagnostic Laboratories,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Alpha Medical Laboratory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Beacon LBS IPA,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Beacon Laboratory Benefit Solutions,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CannAmm GP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CannAmm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Center for Disease Detection,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Centrex Clinical Laboratories,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Clearstone Central Laboratories (U.S.)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Clearstone Holdings (International)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Clipper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Colorado Coagulation Consultants,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Colorado Laboratory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Correlagen Diagnostics,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Curalab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Cytometry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Czura Thornton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DCL Acquisition,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 (FL)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DCL Medical Laboratories, LLC (DE)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DCL Sub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Decision Diagnostics, L.L.C. (aka DaVinici/Medicorp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Diagnostic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DIANON 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DL Holdings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 Gamma Laboratory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G.P.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Holdco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Laboratories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Northwest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Realty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DynaLifeDX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DynalifeDX Infrastructure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Endocrine Sciences,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Counseling,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Esoterix Genetic Laboratories,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Esoterix,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Execmed Health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FirstSource Laboratory Solutions,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Laboratories GP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Gamma Dynacare Central Medical Laboratory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GDML Medical Laboratories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 Trans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HHLA Lab-In-An-Envelope,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Home Healthcare Laboratory of America, LLC</w:t>
      </w:r>
    </w:p>
    <w:p>
      <w:pPr>
        <w:sectPr>
          <w:pgSz w:w="11900" w:h="16838" w:orient="portrait"/>
          <w:cols w:equalWidth="0" w:num="1">
            <w:col w:w="9339"/>
          </w:cols>
          <w:pgMar w:left="1120" w:top="895" w:right="1440"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t>IDX Pathology,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Genetics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Genetics,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Kaleida LabCorp,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 Delivery Service of New York City,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Belgium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BVBA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(Canada)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(China)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Central Laboratories (Singapore) Pte.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Development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Employer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Health System Diagnostics,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Indiana,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Japan, G.K.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Michigan,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Nebraska,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Neon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Neon Switzerland S.à.r.l.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Billing Service,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Specialty Testing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Staffing Solutions,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Tennessee,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LabCorp UK Holdings,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Laboratoire Bio-Medic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Laboratory Corporation of America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LabWest,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Lifecodes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LipoScience,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Litholink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Medical Neurogenitics,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Medtox Diagnostics,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Medtox Laboratories,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MEDTOX Scientific,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Monogram Biosciences,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Genetics Institute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Brighton Business Center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Imaging Diagnostics,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Molecular Diagnostics Ventures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NWT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Orchid Cellmark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 Labs,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Path Lab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Pathology Associates Medical Lab,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Pee Dee Pathology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Persys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Pixel by LabCorp</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Princeton Diagnostic Laboratories of America,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Protedyne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ReliaGene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Saint Josephs-PAML,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Sequenom Biosciences (India) Pvt.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Sequenom Center for Molecular Medicine,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Sequenom,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Southern Idaho Regional Laboratory</w:t>
      </w:r>
    </w:p>
    <w:p>
      <w:pPr>
        <w:sectPr>
          <w:pgSz w:w="11900" w:h="16838" w:orient="portrait"/>
          <w:cols w:equalWidth="0" w:num="1">
            <w:col w:w="9339"/>
          </w:cols>
          <w:pgMar w:left="1120" w:top="1034" w:right="1440"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SW/DL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Tandem Labs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LabCorp Charitable Foundation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Tri-Cities Laboratory,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Viro-Med Laboratories,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Yakima Medical Arts, Inc.</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Active Entities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CJB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(Argentina)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(Asia)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Holdings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(Barbados)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(Canada)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(Polska) Sp.Zo.O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Asia-Pacific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Austria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Bioanalytical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Brazil Pharmaceutical Services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Covance Central Laboratory Services Limited Partnership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Covance Central Laboratory Services S.a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Chile Services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and Periapproval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Development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Product Developments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Unit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CLS Holdings Limited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CLS Holdings Partnership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Colombia Services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Consulting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CRS Analytics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CRS Developments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CRS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CRS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CRU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Denmark Aps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Development Services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Guatemala Services,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Hong Kong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Covance Hungaria Consultancy Limited Liability Company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Covance India Pharmaceutical Services Private Limited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Covance International Holdings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Japan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Korea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Limited</w:t>
      </w:r>
    </w:p>
    <w:p>
      <w:pPr>
        <w:sectPr>
          <w:pgSz w:w="11900" w:h="16838" w:orient="portrait"/>
          <w:cols w:equalWidth="0" w:num="1">
            <w:col w:w="9339"/>
          </w:cols>
          <w:pgMar w:left="1120" w:top="1034" w:right="1440"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color w:val="auto"/>
        </w:rPr>
        <w:t>Covance Latin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Luxembourg S.a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Market Access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Mexico Services, S. DE R. 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Neon Luxembourg S.a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New Zealand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Periapproval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Peru Services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Pharma Consulting Limited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Covance Pharmaceutical Research and Development (Beijing) Co., Ltd.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Covance Pharmaceutical Research and Development (Shanghai) Co., Ltd.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Preclinical Services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Research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Scientific Services &amp; Solutions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Scientific Services &amp; Solutions,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(Thailand)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Services Malaysia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Specialty Pharmacy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Taiwan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US Holdings Limited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US Holdings Partnership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Virtual Central Laboratory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Fairfax Storage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 Specimen Solutions,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Hazpen Trustees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LSR Pension Scheme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Medaxial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Sciformix Europe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SnapIot,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SnapIot Europe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Texas Covance GP, Inc.</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Covance Inc. Inactive Entities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Covance Classic Laboratory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Genomics Laboratory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Laboratories Korea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NPA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Integrated Safe Foods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Food Network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JSG R&amp;D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Nexigent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PMD Properties,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REIM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Safe Foods International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SLJK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SPHN LLC</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Chiltern International Group Limited Operating Entities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Chiltern - Pesquisa Clinica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Covance Clinical Research Ukraine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Group Ltd. (CIGL) HL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Chiltern Investigacion Clinica Ltda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Ukraine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(UK) Ltd.</w:t>
      </w:r>
    </w:p>
    <w:p>
      <w:pPr>
        <w:sectPr>
          <w:pgSz w:w="11900" w:h="16838" w:orient="portrait"/>
          <w:cols w:equalWidth="0" w:num="1">
            <w:col w:w="9339"/>
          </w:cols>
          <w:pgMar w:left="1120" w:top="1034" w:right="1440"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t>Endpoint Clinical,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Endpoint Clinical India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Havenfern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Ockham Development Group (Holdings)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Ockham Europe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Holdings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International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Latin America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Theorem Research Associates, Inc.</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Chiltern International Inactive Entities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Chiltern Clinical Research (Philippines)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Chiltern International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Chiltern Pharmaceutical and Technology Consulting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Integrated Development Associates Philippines,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Theorem Clinical Research Co., Ltd.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Dynacare non-operating entities identified subsequent to the acquisition of Dynacare Inc. on July 25, 2002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1004679 Ontario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563911 Ontario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794475 Ontario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829318 Ontario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854512 Ontario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879606 Ontario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900747 Ontario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925893 Ontario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942487 Ontario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942489 Ontario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942491 Ontario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942492 Ontario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947342 Ontario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949235 Ontario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958069 Ontario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977681 Ontario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978550 Ontario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978551 Ontario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Amherstview Medical Centre Developments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DHG Place Du Centre Clinique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Canada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Dynacare International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Glen Davis Equities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L.R.C. Management Service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Lawrence-Curlew Medical Centre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Roselat Developments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 Joseph's Health Centre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Stockwin Corporation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Thistle Place Care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Toronto Argyro Medical Laboratories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Woodstock Medical Arts Building Inc.</w:t>
      </w:r>
    </w:p>
    <w:p>
      <w:pPr>
        <w:sectPr>
          <w:pgSz w:w="11900" w:h="16838" w:orient="portrait"/>
          <w:cols w:equalWidth="0" w:num="1">
            <w:col w:w="9339"/>
          </w:cols>
          <w:pgMar w:left="1120" w:top="1034" w:right="1440"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333-234633) and Form S-8 (No. 333-150704, No. 333-181107, No. 333-211324 and No. 333-211323) of Laboratory Corporation of America Holdings of our report dated February 25, 2021, relating to the financial statements and the effectiveness of internal control over financial reporting, which appears in this Form 10-K.</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20"/>
          </w:cols>
          <w:pgMar w:left="320" w:top="1120"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7"/>
          <w:szCs w:val="17"/>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2020,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25th day of February, 2021.</w:t>
      </w:r>
    </w:p>
    <w:p>
      <w:pPr>
        <w:spacing w:after="0" w:line="360"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14605</wp:posOffset>
            </wp:positionV>
            <wp:extent cx="27343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Kerrii B. Anderson</w:t>
      </w:r>
    </w:p>
    <w:p>
      <w:pPr>
        <w:sectPr>
          <w:pgSz w:w="11900" w:h="16838" w:orient="portrait"/>
          <w:cols w:equalWidth="0" w:num="1">
            <w:col w:w="11240"/>
          </w:cols>
          <w:pgMar w:left="320" w:top="1404"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Exhibit 24.2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2020,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25th day of February,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089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Jean-Luc Bélingard</w:t>
      </w:r>
    </w:p>
    <w:p>
      <w:pPr>
        <w:sectPr>
          <w:pgSz w:w="11900" w:h="16838" w:orient="portrait"/>
          <w:cols w:equalWidth="0" w:num="1">
            <w:col w:w="11240"/>
          </w:cols>
          <w:pgMar w:left="320" w:top="1404"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Exhibit 24.3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2020,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25th day of February, 2021.</w:t>
      </w:r>
    </w:p>
    <w:p>
      <w:pPr>
        <w:spacing w:after="0" w:line="360"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Jeffrey A. Davis</w:t>
      </w:r>
    </w:p>
    <w:p>
      <w:pPr>
        <w:sectPr>
          <w:pgSz w:w="11900" w:h="16838" w:orient="portrait"/>
          <w:cols w:equalWidth="0" w:num="1">
            <w:col w:w="11240"/>
          </w:cols>
          <w:pgMar w:left="320" w:top="1404"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Exhibit 24.4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2020,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25th day of February,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14605</wp:posOffset>
            </wp:positionV>
            <wp:extent cx="27343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 Gary Gilliland, M.D., Ph.D</w:t>
      </w:r>
    </w:p>
    <w:p>
      <w:pPr>
        <w:sectPr>
          <w:pgSz w:w="11900" w:h="16838" w:orient="portrait"/>
          <w:cols w:equalWidth="0" w:num="1">
            <w:col w:w="11240"/>
          </w:cols>
          <w:pgMar w:left="320" w:top="1404"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Exhibit 24.5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2020,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25th day of February, 2021.</w:t>
      </w:r>
    </w:p>
    <w:p>
      <w:pPr>
        <w:spacing w:after="0" w:line="360" w:lineRule="exact"/>
        <w:rPr>
          <w:sz w:val="20"/>
          <w:szCs w:val="20"/>
          <w:color w:val="auto"/>
        </w:rPr>
      </w:pPr>
    </w:p>
    <w:p>
      <w:pPr>
        <w:ind w:left="616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089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Garheng Kong, M.D., Ph.D.</w:t>
      </w:r>
    </w:p>
    <w:p>
      <w:pPr>
        <w:sectPr>
          <w:pgSz w:w="11900" w:h="16838" w:orient="portrait"/>
          <w:cols w:equalWidth="0" w:num="1">
            <w:col w:w="11240"/>
          </w:cols>
          <w:pgMar w:left="320" w:top="1404"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Exhibit 24.6</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2020,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25th day of February, 2021.</w:t>
      </w:r>
    </w:p>
    <w:p>
      <w:pPr>
        <w:spacing w:after="0" w:line="360"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Peter M. Neupert</w:t>
      </w:r>
    </w:p>
    <w:p>
      <w:pPr>
        <w:sectPr>
          <w:pgSz w:w="11900" w:h="16838" w:orient="portrait"/>
          <w:cols w:equalWidth="0" w:num="1">
            <w:col w:w="11240"/>
          </w:cols>
          <w:pgMar w:left="320" w:top="1404"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Exhibit 24.7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7"/>
          <w:szCs w:val="17"/>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2020,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25th day of February, 2021.</w:t>
      </w:r>
    </w:p>
    <w:p>
      <w:pPr>
        <w:spacing w:after="0" w:line="360"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RICHELLE P.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Richelle P. Parham</w:t>
      </w:r>
    </w:p>
    <w:p>
      <w:pPr>
        <w:sectPr>
          <w:pgSz w:w="11900" w:h="16838" w:orient="portrait"/>
          <w:cols w:equalWidth="0" w:num="1">
            <w:col w:w="11240"/>
          </w:cols>
          <w:pgMar w:left="320" w:top="1120"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Exhibit 24.8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12" w:lineRule="exact"/>
        <w:rPr>
          <w:sz w:val="20"/>
          <w:szCs w:val="20"/>
          <w:color w:val="auto"/>
        </w:rPr>
      </w:pPr>
    </w:p>
    <w:p>
      <w:pPr>
        <w:jc w:val="both"/>
        <w:ind w:firstLine="243"/>
        <w:spacing w:after="0" w:line="221" w:lineRule="auto"/>
        <w:rPr>
          <w:sz w:val="20"/>
          <w:szCs w:val="20"/>
          <w:color w:val="auto"/>
        </w:rPr>
      </w:pPr>
      <w:r>
        <w:rPr>
          <w:rFonts w:ascii="Arial" w:cs="Arial" w:eastAsia="Arial" w:hAnsi="Arial"/>
          <w:sz w:val="17"/>
          <w:szCs w:val="17"/>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2020,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undersigned has signed these presents in this 25th day of February, 2021.</w:t>
      </w:r>
    </w:p>
    <w:p>
      <w:pPr>
        <w:spacing w:after="0" w:line="360"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 Sanders Williams, M.D.</w:t>
      </w:r>
    </w:p>
    <w:p>
      <w:pPr>
        <w:sectPr>
          <w:pgSz w:w="11900" w:h="16838" w:orient="portrait"/>
          <w:cols w:equalWidth="0" w:num="1">
            <w:col w:w="11240"/>
          </w:cols>
          <w:pgMar w:left="320" w:top="1404"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Adam H. Schechter, certify that:</w:t>
      </w:r>
    </w:p>
    <w:p>
      <w:pPr>
        <w:spacing w:after="0" w:line="252"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52" w:lineRule="exact"/>
        <w:rPr>
          <w:rFonts w:ascii="Arial" w:cs="Arial" w:eastAsia="Arial" w:hAnsi="Arial"/>
          <w:sz w:val="18"/>
          <w:szCs w:val="18"/>
          <w:color w:val="auto"/>
        </w:rPr>
      </w:pPr>
    </w:p>
    <w:p>
      <w:pPr>
        <w:ind w:firstLine="8"/>
        <w:spacing w:after="0" w:line="342" w:lineRule="auto"/>
        <w:tabs>
          <w:tab w:leader="none" w:pos="201"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10" w:lineRule="exact"/>
        <w:rPr>
          <w:rFonts w:ascii="Arial" w:cs="Arial" w:eastAsia="Arial" w:hAnsi="Arial"/>
          <w:sz w:val="18"/>
          <w:szCs w:val="18"/>
          <w:color w:val="auto"/>
        </w:rPr>
      </w:pPr>
    </w:p>
    <w:p>
      <w:pPr>
        <w:jc w:val="both"/>
        <w:ind w:left="340" w:hanging="8"/>
        <w:spacing w:after="0" w:line="263" w:lineRule="auto"/>
        <w:tabs>
          <w:tab w:leader="none" w:pos="5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40" w:hanging="8"/>
        <w:spacing w:after="0" w:line="263" w:lineRule="auto"/>
        <w:tabs>
          <w:tab w:leader="none" w:pos="5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40" w:hanging="8"/>
        <w:spacing w:after="0" w:line="308" w:lineRule="auto"/>
        <w:tabs>
          <w:tab w:leader="none" w:pos="528"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3" w:lineRule="auto"/>
        <w:tabs>
          <w:tab w:leader="none" w:pos="53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right="20" w:hanging="8"/>
        <w:spacing w:after="0" w:line="277" w:lineRule="auto"/>
        <w:tabs>
          <w:tab w:leader="none" w:pos="5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5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February 25, 2021</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ADAM H. SCHECHTER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Adam H. Schechter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52"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Laboratory Corporation of America Holdings;</w:t>
      </w:r>
    </w:p>
    <w:p>
      <w:pPr>
        <w:spacing w:after="0" w:line="252" w:lineRule="exact"/>
        <w:rPr>
          <w:rFonts w:ascii="Arial" w:cs="Arial" w:eastAsia="Arial" w:hAnsi="Arial"/>
          <w:sz w:val="18"/>
          <w:szCs w:val="18"/>
          <w:color w:val="auto"/>
        </w:rPr>
      </w:pPr>
    </w:p>
    <w:p>
      <w:pPr>
        <w:ind w:firstLine="8"/>
        <w:spacing w:after="0" w:line="342" w:lineRule="auto"/>
        <w:tabs>
          <w:tab w:leader="none" w:pos="201"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10" w:lineRule="exact"/>
        <w:rPr>
          <w:rFonts w:ascii="Arial" w:cs="Arial" w:eastAsia="Arial" w:hAnsi="Arial"/>
          <w:sz w:val="18"/>
          <w:szCs w:val="18"/>
          <w:color w:val="auto"/>
        </w:rPr>
      </w:pPr>
    </w:p>
    <w:p>
      <w:pPr>
        <w:jc w:val="both"/>
        <w:ind w:left="340" w:hanging="8"/>
        <w:spacing w:after="0" w:line="263" w:lineRule="auto"/>
        <w:tabs>
          <w:tab w:leader="none" w:pos="5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40" w:hanging="8"/>
        <w:spacing w:after="0" w:line="263" w:lineRule="auto"/>
        <w:tabs>
          <w:tab w:leader="none" w:pos="5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40" w:hanging="8"/>
        <w:spacing w:after="0" w:line="308" w:lineRule="auto"/>
        <w:tabs>
          <w:tab w:leader="none" w:pos="528"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3" w:lineRule="auto"/>
        <w:tabs>
          <w:tab w:leader="none" w:pos="53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right="20" w:hanging="8"/>
        <w:spacing w:after="0" w:line="277" w:lineRule="auto"/>
        <w:tabs>
          <w:tab w:leader="none" w:pos="525"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5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February 25, 2021</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GLENN A. EISENBERG</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Glenn A. Eisenberg</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38" w:lineRule="exact"/>
        <w:rPr>
          <w:sz w:val="20"/>
          <w:szCs w:val="20"/>
          <w:color w:val="auto"/>
        </w:rPr>
      </w:pPr>
    </w:p>
    <w:p>
      <w:pPr>
        <w:ind w:firstLine="200"/>
        <w:spacing w:after="0" w:line="27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(Company), each hereby certifies that, to his knowledge on the date hereof:</w:t>
      </w:r>
    </w:p>
    <w:p>
      <w:pPr>
        <w:spacing w:after="0" w:line="197" w:lineRule="exact"/>
        <w:rPr>
          <w:sz w:val="20"/>
          <w:szCs w:val="20"/>
          <w:color w:val="auto"/>
        </w:rPr>
      </w:pPr>
    </w:p>
    <w:p>
      <w:pPr>
        <w:ind w:firstLine="233"/>
        <w:spacing w:after="0" w:line="277" w:lineRule="auto"/>
        <w:tabs>
          <w:tab w:leader="none" w:pos="5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Form 10-K of the Company for the Period Ended December 31, 2020, filed on the date hereof with the Securities and Exchange Commission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480" w:hanging="292"/>
        <w:spacing w:after="0"/>
        <w:tabs>
          <w:tab w:leader="none" w:pos="4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399"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ADAM H. SCHECHTER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Adam H. Schechter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67"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Glenn A. Eisenberg</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February 25, 2021</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lowerLetter"/>
      <w:start w:val="1"/>
    </w:lvl>
  </w:abstractNum>
  <w:abstractNum w:abstractNumId="1">
    <w:nsid w:val="3006C83E"/>
    <w:multiLevelType w:val="hybridMultilevel"/>
    <w:lvl w:ilvl="0">
      <w:lvlJc w:val="left"/>
      <w:lvlText w:val="%1."/>
      <w:numFmt w:val="lowerLetter"/>
      <w:start w:val="1"/>
    </w:lvl>
  </w:abstractNum>
  <w:abstractNum w:abstractNumId="2">
    <w:nsid w:val="614FD4A1"/>
    <w:multiLevelType w:val="hybridMultilevel"/>
    <w:lvl w:ilvl="0">
      <w:lvlJc w:val="left"/>
      <w:lvlText w:val="%1."/>
      <w:numFmt w:val="lowerLetter"/>
      <w:start w:val="1"/>
    </w:lvl>
  </w:abstractNum>
  <w:abstractNum w:abstractNumId="3">
    <w:nsid w:val="419AC241"/>
    <w:multiLevelType w:val="hybridMultilevel"/>
    <w:lvl w:ilvl="0">
      <w:lvlJc w:val="left"/>
      <w:lvlText w:val="%1."/>
      <w:numFmt w:val="lowerLetter"/>
      <w:start w:val="4"/>
    </w:lvl>
  </w:abstractNum>
  <w:abstractNum w:abstractNumId="4">
    <w:nsid w:val="5577F8E1"/>
    <w:multiLevelType w:val="hybridMultilevel"/>
    <w:lvl w:ilvl="0">
      <w:lvlJc w:val="left"/>
      <w:lvlText w:val="%1."/>
      <w:numFmt w:val="lowerLetter"/>
      <w:start w:val="1"/>
    </w:lvl>
  </w:abstractNum>
  <w:abstractNum w:abstractNumId="5">
    <w:nsid w:val="440BADFC"/>
    <w:multiLevelType w:val="hybridMultilevel"/>
    <w:lvl w:ilvl="0">
      <w:lvlJc w:val="left"/>
      <w:lvlText w:val="%1."/>
      <w:numFmt w:val="lowerLetter"/>
      <w:start w:val="1"/>
    </w:lvl>
  </w:abstractNum>
  <w:abstractNum w:abstractNumId="6">
    <w:nsid w:val="5072367"/>
    <w:multiLevelType w:val="hybridMultilevel"/>
    <w:lvl w:ilvl="0">
      <w:lvlJc w:val="left"/>
      <w:lvlText w:val="%1."/>
      <w:numFmt w:val="lowerLetter"/>
      <w:start w:val="1"/>
    </w:lvl>
  </w:abstractNum>
  <w:abstractNum w:abstractNumId="7">
    <w:nsid w:val="3804823E"/>
    <w:multiLevelType w:val="hybridMultilevel"/>
    <w:lvl w:ilvl="0">
      <w:lvlJc w:val="left"/>
      <w:lvlText w:val="%1"/>
      <w:numFmt w:val="decimal"/>
      <w:start w:val="1"/>
    </w:lvl>
    <w:lvl w:ilvl="1">
      <w:lvlJc w:val="left"/>
      <w:lvlText w:val="%2."/>
      <w:numFmt w:val="decimal"/>
      <w:start w:val="1"/>
    </w:lvl>
  </w:abstractNum>
  <w:abstractNum w:abstractNumId="8">
    <w:nsid w:val="77465F01"/>
    <w:multiLevelType w:val="hybridMultilevel"/>
    <w:lvl w:ilvl="0">
      <w:lvlJc w:val="left"/>
      <w:lvlText w:val="%1."/>
      <w:numFmt w:val="decimal"/>
      <w:start w:val="2"/>
    </w:lvl>
    <w:lvl w:ilvl="1">
      <w:lvlJc w:val="left"/>
      <w:lvlText w:val="%2"/>
      <w:numFmt w:val="decimal"/>
      <w:start w:val="1"/>
    </w:lvl>
  </w:abstractNum>
  <w:abstractNum w:abstractNumId="9">
    <w:nsid w:val="7724C67E"/>
    <w:multiLevelType w:val="hybridMultilevel"/>
    <w:lvl w:ilvl="0">
      <w:lvlJc w:val="left"/>
      <w:lvlText w:val="%1."/>
      <w:numFmt w:val="decimal"/>
      <w:start w:val="11"/>
    </w:lvl>
  </w:abstractNum>
  <w:abstractNum w:abstractNumId="10">
    <w:nsid w:val="5C482A97"/>
    <w:multiLevelType w:val="hybridMultilevel"/>
    <w:lvl w:ilvl="0">
      <w:lvlJc w:val="left"/>
      <w:lvlText w:val="%1."/>
      <w:numFmt w:val="decimal"/>
      <w:start w:val="33"/>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upperLetter"/>
      <w:start w:val="30"/>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upperLetter"/>
      <w:start w:val="30"/>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upperLetter"/>
      <w:start w:val="30"/>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lvl w:ilvl="1">
      <w:lvlJc w:val="left"/>
      <w:lvlText w:val="%2"/>
      <w:numFmt w:val="upperLetter"/>
      <w:start w:val="1"/>
    </w:lvl>
  </w:abstractNum>
  <w:abstractNum w:abstractNumId="26">
    <w:nsid w:val="4B588F54"/>
    <w:multiLevelType w:val="hybridMultilevel"/>
    <w:lvl w:ilvl="0">
      <w:lvlJc w:val="left"/>
      <w:lvlText w:val="%1"/>
      <w:numFmt w:val="upperLetter"/>
      <w:start w:val="30"/>
    </w:lvl>
  </w:abstractNum>
  <w:abstractNum w:abstractNumId="27">
    <w:nsid w:val="542289EC"/>
    <w:multiLevelType w:val="hybridMultilevel"/>
    <w:lvl w:ilvl="0">
      <w:lvlJc w:val="left"/>
      <w:lvlText w:val="%1"/>
      <w:numFmt w:val="upperLetter"/>
      <w:start w:val="30"/>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upperLetter"/>
      <w:start w:val="30"/>
    </w:lvl>
  </w:abstractNum>
  <w:abstractNum w:abstractNumId="31">
    <w:nsid w:val="32FFF902"/>
    <w:multiLevelType w:val="hybridMultilevel"/>
    <w:lvl w:ilvl="0">
      <w:lvlJc w:val="left"/>
      <w:lvlText w:val="%1"/>
      <w:numFmt w:val="upperLetter"/>
      <w:start w:val="1"/>
    </w:lvl>
    <w:lvl w:ilvl="1">
      <w:lvlJc w:val="left"/>
      <w:lvlText w:val="%2"/>
      <w:numFmt w:val="upperLetter"/>
      <w:start w:val="30"/>
    </w:lvl>
  </w:abstractNum>
  <w:abstractNum w:abstractNumId="32">
    <w:nsid w:val="684A481A"/>
    <w:multiLevelType w:val="hybridMultilevel"/>
    <w:lvl w:ilvl="0">
      <w:lvlJc w:val="left"/>
      <w:lvlText w:val="%1"/>
      <w:numFmt w:val="upperLetter"/>
      <w:start w:val="30"/>
    </w:lvl>
    <w:lvl w:ilvl="1">
      <w:lvlJc w:val="left"/>
      <w:lvlText w:val="%2"/>
      <w:numFmt w:val="upperLetter"/>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lowerLetter"/>
      <w:start w:val="1"/>
    </w:lvl>
    <w:lvl w:ilvl="1">
      <w:lvlJc w:val="left"/>
      <w:lvlText w:val="(%2)"/>
      <w:numFmt w:val="decimal"/>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upperLetter"/>
      <w:start w:val="30"/>
    </w:lvl>
  </w:abstractNum>
  <w:abstractNum w:abstractNumId="40">
    <w:nsid w:val="70C6A529"/>
    <w:multiLevelType w:val="hybridMultilevel"/>
    <w:lvl w:ilvl="0">
      <w:lvlJc w:val="left"/>
      <w:lvlText w:val="(%1)"/>
      <w:numFmt w:val="lowerRoman"/>
      <w:start w:val="3"/>
    </w:lvl>
  </w:abstractNum>
  <w:abstractNum w:abstractNumId="41">
    <w:nsid w:val="520EEDD1"/>
    <w:multiLevelType w:val="hybridMultilevel"/>
    <w:lvl w:ilvl="0">
      <w:lvlJc w:val="left"/>
      <w:lvlText w:val="%1."/>
      <w:numFmt w:val="decimal"/>
      <w:start w:val="2"/>
    </w:lvl>
  </w:abstractNum>
  <w:abstractNum w:abstractNumId="42">
    <w:nsid w:val="374A3FE6"/>
    <w:multiLevelType w:val="hybridMultilevel"/>
    <w:lvl w:ilvl="0">
      <w:lvlJc w:val="left"/>
      <w:lvlText w:val="%1"/>
      <w:numFmt w:val="upperLetter"/>
      <w:start w:val="30"/>
    </w:lvl>
  </w:abstractNum>
  <w:abstractNum w:abstractNumId="43">
    <w:nsid w:val="4F4EF005"/>
    <w:multiLevelType w:val="hybridMultilevel"/>
    <w:lvl w:ilvl="0">
      <w:lvlJc w:val="left"/>
      <w:lvlText w:val="%1"/>
      <w:numFmt w:val="upperLetter"/>
      <w:start w:val="30"/>
    </w:lvl>
  </w:abstractNum>
  <w:abstractNum w:abstractNumId="44">
    <w:nsid w:val="23F9C13C"/>
    <w:multiLevelType w:val="hybridMultilevel"/>
    <w:lvl w:ilvl="0">
      <w:lvlJc w:val="left"/>
      <w:lvlText w:val="%1"/>
      <w:numFmt w:val="upperLetter"/>
      <w:start w:val="30"/>
    </w:lvl>
  </w:abstractNum>
  <w:abstractNum w:abstractNumId="45">
    <w:nsid w:val="649BB77C"/>
    <w:multiLevelType w:val="hybridMultilevel"/>
    <w:lvl w:ilvl="0">
      <w:lvlJc w:val="left"/>
      <w:lvlText w:val="%1"/>
      <w:numFmt w:val="upperLetter"/>
      <w:start w:val="30"/>
    </w:lvl>
  </w:abstractNum>
  <w:abstractNum w:abstractNumId="46">
    <w:nsid w:val="275AC794"/>
    <w:multiLevelType w:val="hybridMultilevel"/>
    <w:lvl w:ilvl="0">
      <w:lvlJc w:val="left"/>
      <w:lvlText w:val="%1"/>
      <w:numFmt w:val="upperLetter"/>
      <w:start w:val="30"/>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decimal"/>
      <w:start w:val="15"/>
    </w:lvl>
  </w:abstractNum>
  <w:abstractNum w:abstractNumId="49">
    <w:nsid w:val="180115BE"/>
    <w:multiLevelType w:val="hybridMultilevel"/>
    <w:lvl w:ilvl="0">
      <w:lvlJc w:val="left"/>
      <w:lvlText w:val="%1."/>
      <w:numFmt w:val="decimal"/>
      <w:start w:val="17"/>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5"/>
    </w:lvl>
  </w:abstractNum>
  <w:abstractNum w:abstractNumId="55">
    <w:nsid w:val="D34B6A8"/>
    <w:multiLevelType w:val="hybridMultilevel"/>
    <w:lvl w:ilvl="0">
      <w:lvlJc w:val="left"/>
      <w:lvlText w:val="(%1)"/>
      <w:numFmt w:val="lowerLetter"/>
      <w:start w:val="7"/>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2"/>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decimal"/>
      <w:start w:val="18"/>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lowerLetter"/>
      <w:start w:val="1"/>
    </w:lvl>
    <w:lvl w:ilvl="1">
      <w:lvlJc w:val="left"/>
      <w:lvlText w:val="(%2)"/>
      <w:numFmt w:val="lowerLetter"/>
      <w:start w:val="1"/>
    </w:lvl>
  </w:abstractNum>
  <w:abstractNum w:abstractNumId="64">
    <w:nsid w:val="2F305DEF"/>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0" Type="http://schemas.openxmlformats.org/officeDocument/2006/relationships/image" Target="media/image79.png"/><Relationship Id="rId117"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86" Type="http://schemas.openxmlformats.org/officeDocument/2006/relationships/hyperlink" Target="https://www.sec.gov/Archives/edgar/data/920148/000095010301501450/oct1901_x0301.txt" TargetMode="External"/><Relationship Id="rId87" Type="http://schemas.openxmlformats.org/officeDocument/2006/relationships/hyperlink" Target="https://www.sec.gov/Archives/edgar/data/920148/000092014820000043/amendedandrestatedbyla.htm" TargetMode="External"/><Relationship Id="rId88" Type="http://schemas.openxmlformats.org/officeDocument/2006/relationships/hyperlink" Target="http://www.sec.gov/Archives/edgar/data/920148/000092014802000015/stockcert.txt" TargetMode="External"/><Relationship Id="rId89" Type="http://schemas.openxmlformats.org/officeDocument/2006/relationships/hyperlink" Target="http://www.sec.gov/Archives/edgar/data/920148/000092014810000110/ex_4-1.htm" TargetMode="External"/><Relationship Id="rId90" Type="http://schemas.openxmlformats.org/officeDocument/2006/relationships/hyperlink" Target="http://www.sec.gov/Archives/edgar/data/920148/000092014810000110/ex_4-3.htm" TargetMode="External"/><Relationship Id="rId91" Type="http://schemas.openxmlformats.org/officeDocument/2006/relationships/hyperlink" Target="http://www.sec.gov/Archives/edgar/data/920148/000119312512365977/d401488dex42.htm" TargetMode="External"/><Relationship Id="rId92" Type="http://schemas.openxmlformats.org/officeDocument/2006/relationships/hyperlink" Target="http://www.sec.gov/Archives/edgar/data/920148/000119312512365977/d401488dex43.htm" TargetMode="External"/><Relationship Id="rId93" Type="http://schemas.openxmlformats.org/officeDocument/2006/relationships/hyperlink" Target="http://www.sec.gov/Archives/edgar/data/920148/000119312513422088/d619416dex42.htm" TargetMode="External"/><Relationship Id="rId94" Type="http://schemas.openxmlformats.org/officeDocument/2006/relationships/hyperlink" Target="http://www.sec.gov/Archives/edgar/data/920148/000119312513422088/d619416dex43.htm" TargetMode="External"/><Relationship Id="rId95" Type="http://schemas.openxmlformats.org/officeDocument/2006/relationships/hyperlink" Target="http://www.sec.gov/Archives/edgar/data/920148/000119312515026832/d860928dex42.htm" TargetMode="External"/><Relationship Id="rId96" Type="http://schemas.openxmlformats.org/officeDocument/2006/relationships/hyperlink" Target="http://www.sec.gov/Archives/edgar/data/920148/000119312515026832/d860928dex43.htm" TargetMode="External"/><Relationship Id="rId97" Type="http://schemas.openxmlformats.org/officeDocument/2006/relationships/hyperlink" Target="http://www.sec.gov/Archives/edgar/data/920148/000119312515026832/d860928dex44.htm" TargetMode="External"/><Relationship Id="rId98" Type="http://schemas.openxmlformats.org/officeDocument/2006/relationships/hyperlink" Target="http://www.sec.gov/Archives/edgar/data/920148/000119312515026832/d860928dex45.htm" TargetMode="External"/><Relationship Id="rId99" Type="http://schemas.openxmlformats.org/officeDocument/2006/relationships/hyperlink" Target="http://www.sec.gov/Archives/edgar/data/920148/000119312517264395/d427802dex42.htm" TargetMode="External"/><Relationship Id="rId101" Type="http://schemas.openxmlformats.org/officeDocument/2006/relationships/hyperlink" Target="http://www.sec.gov/Archives/edgar/data/920148/000119312517264395/d427802dex43.htm" TargetMode="External"/><Relationship Id="rId102" Type="http://schemas.openxmlformats.org/officeDocument/2006/relationships/hyperlink" Target="http://www.sec.gov/Archives/edgar/data/920148/000119312519300013/d839349dex42.htm" TargetMode="External"/><Relationship Id="rId103" Type="http://schemas.openxmlformats.org/officeDocument/2006/relationships/hyperlink" Target="http://www.sec.gov/Archives/edgar/data/920148/000119312519300013/d839349dex43.htm" TargetMode="External"/><Relationship Id="rId104" Type="http://schemas.openxmlformats.org/officeDocument/2006/relationships/hyperlink" Target="https://www.sec.gov/Archives/edgar/data/920148/000092014804000191/ex10-1_pepplan.htm" TargetMode="External"/><Relationship Id="rId105" Type="http://schemas.openxmlformats.org/officeDocument/2006/relationships/hyperlink" Target="https://www.sec.gov/Archives/edgar/data/920148/000092014804000191/ex10-2_pepamend.htm" TargetMode="External"/><Relationship Id="rId106" Type="http://schemas.openxmlformats.org/officeDocument/2006/relationships/hyperlink" Target="https://www.sec.gov/Archives/edgar/data/920148/000092014805000049/pepamend2_10-4.htm" TargetMode="External"/><Relationship Id="rId107" Type="http://schemas.openxmlformats.org/officeDocument/2006/relationships/hyperlink" Target="http://www.sec.gov/Archives/edgar/data/920148/000092014805000049/defcomp_ex10-22.htm" TargetMode="External"/><Relationship Id="rId108" Type="http://schemas.openxmlformats.org/officeDocument/2006/relationships/hyperlink" Target="http://www.sec.gov/Archives/edgar/data/920148/000092014805000049/defcompamend_ex10-23.htm" TargetMode="External"/><Relationship Id="rId109" Type="http://schemas.openxmlformats.org/officeDocument/2006/relationships/hyperlink" Target="http://www.sec.gov/Archives/edgar/data/920148/000092014805000161/ex10-8_defcomp.htm" TargetMode="External"/><Relationship Id="rId110" Type="http://schemas.openxmlformats.org/officeDocument/2006/relationships/hyperlink" Target="http://www.sec.gov/Archives/edgar/data/920148/000092014805000161/exhibit10-6.htm" TargetMode="External"/><Relationship Id="rId111" Type="http://schemas.openxmlformats.org/officeDocument/2006/relationships/hyperlink" Target="http://www.sec.gov/Archives/edgar/data/920148/000116923207001103/ex10-28_defcomp.htm" TargetMode="External"/><Relationship Id="rId112" Type="http://schemas.openxmlformats.org/officeDocument/2006/relationships/hyperlink" Target="http://www.sec.gov/Archives/edgar/data/920148/000092014808000071/ex10-34_defcomp.htm" TargetMode="External"/><Relationship Id="rId113" Type="http://schemas.openxmlformats.org/officeDocument/2006/relationships/hyperlink" Target="http://www.sec.gov/Archives/edgar/data/920148/000119312508064635/ddef14a.htm" TargetMode="External"/><Relationship Id="rId114" Type="http://schemas.openxmlformats.org/officeDocument/2006/relationships/hyperlink" Target="http://www.sec.gov/Archives/edgar/data/920148/000092014808000150/exhibit10-2.htm" TargetMode="External"/><Relationship Id="rId115" Type="http://schemas.openxmlformats.org/officeDocument/2006/relationships/hyperlink" Target="https://www.sec.gov/Archives/edgar/data/920148/000092014812000065/exhibit101toform8-k.htm" TargetMode="External"/><Relationship Id="rId116" Type="http://schemas.openxmlformats.org/officeDocument/2006/relationships/hyperlink" Target="https://www.sec.gov/Archives/edgar/data/920148/000092014817000112/exhibit103q32017.htm" TargetMode="External"/><Relationship Id="rId118" Type="http://schemas.openxmlformats.org/officeDocument/2006/relationships/hyperlink" Target="https://www.sec.gov/Archives/edgar/data/920148/000092014820000029/exhibit102amendment.htm" TargetMode="External"/><Relationship Id="rId119" Type="http://schemas.openxmlformats.org/officeDocument/2006/relationships/hyperlink" Target="http://www.sec.gov/Archives/edgar/data/920148/000119312516591935/d169343dex101.htm" TargetMode="External"/><Relationship Id="rId120" Type="http://schemas.openxmlformats.org/officeDocument/2006/relationships/hyperlink" Target="http://www.sec.gov/Archives/edgar/data/920148/000119312516591935/d169343dex102.htm" TargetMode="External"/><Relationship Id="rId121" Type="http://schemas.openxmlformats.org/officeDocument/2006/relationships/hyperlink" Target="https://www.sec.gov/Archives/edgar/data/920148/000119312519164256/d755218dex101.htm" TargetMode="External"/><Relationship Id="rId122" Type="http://schemas.openxmlformats.org/officeDocument/2006/relationships/hyperlink" Target="https://www.sec.gov/Archives/edgar/data/920148/000092014820000029/exhibit101amendment.htm" TargetMode="External"/><Relationship Id="rId123" Type="http://schemas.openxmlformats.org/officeDocument/2006/relationships/hyperlink" Target="http://www.sec.gov/Archives/edgar/data/920148/000119312519165518/d758193dex101.htm" TargetMode="External"/><Relationship Id="rId124" Type="http://schemas.openxmlformats.org/officeDocument/2006/relationships/hyperlink" Target="https://www.sec.gov/Archives/edgar/data/920148/000119312520287013/d141788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2021-02-25T14:24:06Z</dcterms:created>
  <dcterms:modified xsi:type="dcterms:W3CDTF">2021-02-25T14:24:06Z</dcterms:modified>
</cp:coreProperties>
</file>