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jc w:val="center"/>
        <w:ind w:left="4000" w:right="1180" w:hanging="2816"/>
        <w:spacing w:after="0" w:line="399" w:lineRule="auto"/>
        <w:tabs>
          <w:tab w:leader="none" w:pos="1386"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June 30, 2025</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130" w:lineRule="exact"/>
        <w:rPr>
          <w:rFonts w:ascii="MS PGothic" w:cs="MS PGothic" w:eastAsia="MS PGothic" w:hAnsi="MS PGothic"/>
          <w:sz w:val="18"/>
          <w:szCs w:val="18"/>
          <w:color w:val="auto"/>
        </w:rPr>
      </w:pPr>
    </w:p>
    <w:p>
      <w:pPr>
        <w:jc w:val="center"/>
        <w:ind w:left="3860" w:right="1160" w:hanging="2686"/>
        <w:spacing w:after="0" w:line="399" w:lineRule="auto"/>
        <w:tabs>
          <w:tab w:leader="none" w:pos="13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 to ______</w:t>
      </w: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1-11353</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LABCORP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6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99-2588107</w:t>
            </w:r>
          </w:p>
        </w:tc>
        <w:tc>
          <w:tcPr>
            <w:tcW w:w="20" w:type="dxa"/>
            <w:vAlign w:val="bottom"/>
          </w:tcPr>
          <w:p>
            <w:pPr>
              <w:spacing w:after="0"/>
              <w:rPr>
                <w:sz w:val="20"/>
                <w:szCs w:val="20"/>
                <w:color w:val="auto"/>
              </w:rPr>
            </w:pPr>
          </w:p>
        </w:tc>
      </w:tr>
      <w:tr>
        <w:trPr>
          <w:trHeight w:val="228"/>
        </w:trPr>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520" w:type="dxa"/>
            <w:vAlign w:val="bottom"/>
            <w:tcBorders>
              <w:top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324"/>
        </w:trPr>
        <w:tc>
          <w:tcPr>
            <w:tcW w:w="56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566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Burlington , North Carolina</w:t>
            </w:r>
          </w:p>
        </w:tc>
        <w:tc>
          <w:tcPr>
            <w:tcW w:w="556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27215</w:t>
            </w:r>
          </w:p>
        </w:tc>
        <w:tc>
          <w:tcPr>
            <w:tcW w:w="20" w:type="dxa"/>
            <w:vAlign w:val="bottom"/>
          </w:tcPr>
          <w:p>
            <w:pPr>
              <w:spacing w:after="0"/>
              <w:rPr>
                <w:sz w:val="20"/>
                <w:szCs w:val="20"/>
                <w:color w:val="auto"/>
              </w:rPr>
            </w:pPr>
          </w:p>
        </w:tc>
      </w:tr>
      <w:tr>
        <w:trPr>
          <w:trHeight w:val="228"/>
        </w:trPr>
        <w:tc>
          <w:tcPr>
            <w:tcW w:w="5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20" w:type="dxa"/>
            <w:vAlign w:val="bottom"/>
            <w:tcBorders>
              <w:top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Borders>
              <w:top w:val="single" w:sz="8" w:color="auto"/>
            </w:tcBorders>
          </w:tcPr>
          <w:p>
            <w:pPr>
              <w:spacing w:after="0"/>
              <w:rPr>
                <w:sz w:val="19"/>
                <w:szCs w:val="19"/>
                <w:color w:val="auto"/>
              </w:rPr>
            </w:pP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336-229-1127</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38"/>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$0.10 par value</w:t>
            </w:r>
          </w:p>
        </w:tc>
        <w:tc>
          <w:tcPr>
            <w:tcW w:w="10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LH</w:t>
            </w:r>
          </w:p>
        </w:tc>
        <w:tc>
          <w:tcPr>
            <w:tcW w:w="8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208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31, 2025, there were 83.1 million shares of the registrant’s common stock, $0.10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80" w:type="dxa"/>
            <w:vAlign w:val="bottom"/>
            <w:gridSpan w:val="10"/>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7"/>
              </w:rPr>
              <w:t>Part I. Financial Information</w:t>
            </w:r>
          </w:p>
        </w:tc>
        <w:tc>
          <w:tcPr>
            <w:tcW w:w="2420" w:type="dxa"/>
            <w:vAlign w:val="bottom"/>
            <w:gridSpan w:val="4"/>
          </w:tcPr>
          <w:p>
            <w:pPr>
              <w:spacing w:after="0"/>
              <w:rPr>
                <w:sz w:val="24"/>
                <w:szCs w:val="24"/>
                <w:color w:val="auto"/>
              </w:rPr>
            </w:pPr>
          </w:p>
        </w:tc>
        <w:tc>
          <w:tcPr>
            <w:tcW w:w="1920" w:type="dxa"/>
            <w:vAlign w:val="bottom"/>
            <w:tcBorders>
              <w:top w:val="single" w:sz="8" w:color="auto"/>
            </w:tcBorders>
            <w:gridSpan w:val="6"/>
          </w:tcPr>
          <w:p>
            <w:pPr>
              <w:spacing w:after="0"/>
              <w:rPr>
                <w:sz w:val="24"/>
                <w:szCs w:val="24"/>
                <w:color w:val="auto"/>
              </w:rPr>
            </w:pPr>
          </w:p>
        </w:tc>
        <w:tc>
          <w:tcPr>
            <w:tcW w:w="35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700" w:type="dxa"/>
            <w:vAlign w:val="bottom"/>
            <w:gridSpan w:val="13"/>
            <w:vMerge w:val="restart"/>
          </w:tcPr>
          <w:p>
            <w:pPr>
              <w:spacing w:after="0"/>
              <w:rPr>
                <w:sz w:val="24"/>
                <w:szCs w:val="24"/>
                <w:color w:val="auto"/>
              </w:rPr>
            </w:pPr>
          </w:p>
        </w:tc>
        <w:tc>
          <w:tcPr>
            <w:tcW w:w="11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940" w:type="dxa"/>
            <w:vAlign w:val="bottom"/>
            <w:vMerge w:val="continue"/>
          </w:tcPr>
          <w:p>
            <w:pPr>
              <w:spacing w:after="0"/>
              <w:rPr>
                <w:sz w:val="14"/>
                <w:szCs w:val="14"/>
                <w:color w:val="auto"/>
              </w:rPr>
            </w:pPr>
          </w:p>
        </w:tc>
        <w:tc>
          <w:tcPr>
            <w:tcW w:w="1500" w:type="dxa"/>
            <w:vAlign w:val="bottom"/>
            <w:tcBorders>
              <w:bottom w:val="single" w:sz="8" w:color="0000FF"/>
            </w:tcBorders>
            <w:gridSpan w:val="7"/>
            <w:vMerge w:val="continue"/>
          </w:tcPr>
          <w:p>
            <w:pPr>
              <w:spacing w:after="0"/>
              <w:rPr>
                <w:sz w:val="14"/>
                <w:szCs w:val="14"/>
                <w:color w:val="auto"/>
              </w:rPr>
            </w:pPr>
          </w:p>
        </w:tc>
        <w:tc>
          <w:tcPr>
            <w:tcW w:w="7700" w:type="dxa"/>
            <w:vAlign w:val="bottom"/>
            <w:gridSpan w:val="1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(Unaudited)</w:t>
            </w:r>
          </w:p>
        </w:tc>
        <w:tc>
          <w:tcPr>
            <w:tcW w:w="328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 (Unaudited)</w:t>
            </w: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6"/>
          </w:tcPr>
          <w:p>
            <w:pPr>
              <w:spacing w:after="0"/>
              <w:rPr>
                <w:sz w:val="24"/>
                <w:szCs w:val="24"/>
                <w:color w:val="auto"/>
              </w:rPr>
            </w:pPr>
          </w:p>
        </w:tc>
        <w:tc>
          <w:tcPr>
            <w:tcW w:w="2760" w:type="dxa"/>
            <w:vAlign w:val="bottom"/>
            <w:gridSpan w:val="2"/>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4"/>
          </w:tcPr>
          <w:p>
            <w:pPr>
              <w:spacing w:after="0"/>
              <w:rPr>
                <w:sz w:val="24"/>
                <w:szCs w:val="24"/>
                <w:color w:val="auto"/>
              </w:rPr>
            </w:pPr>
          </w:p>
        </w:tc>
        <w:tc>
          <w:tcPr>
            <w:tcW w:w="4900" w:type="dxa"/>
            <w:vAlign w:val="bottom"/>
            <w:gridSpan w:val="8"/>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01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24"/>
                <w:szCs w:val="24"/>
                <w:color w:val="auto"/>
              </w:rPr>
            </w:pPr>
          </w:p>
        </w:tc>
        <w:tc>
          <w:tcPr>
            <w:tcW w:w="7900" w:type="dxa"/>
            <w:vAlign w:val="bottom"/>
            <w:gridSpan w:val="14"/>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60" w:type="dxa"/>
            <w:vAlign w:val="bottom"/>
            <w:gridSpan w:val="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4"/>
          </w:tcPr>
          <w:p>
            <w:pPr>
              <w:spacing w:after="0"/>
              <w:rPr>
                <w:sz w:val="24"/>
                <w:szCs w:val="24"/>
                <w:color w:val="auto"/>
              </w:rPr>
            </w:pPr>
          </w:p>
        </w:tc>
        <w:tc>
          <w:tcPr>
            <w:tcW w:w="4860" w:type="dxa"/>
            <w:vAlign w:val="bottom"/>
            <w:gridSpan w:val="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60" w:type="dxa"/>
            <w:vAlign w:val="bottom"/>
          </w:tcPr>
          <w:p>
            <w:pPr>
              <w:spacing w:after="0"/>
              <w:rPr>
                <w:sz w:val="24"/>
                <w:szCs w:val="24"/>
                <w:color w:val="auto"/>
              </w:rPr>
            </w:pPr>
          </w:p>
        </w:tc>
        <w:tc>
          <w:tcPr>
            <w:tcW w:w="6880" w:type="dxa"/>
            <w:vAlign w:val="bottom"/>
            <w:gridSpan w:val="11"/>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40" w:type="dxa"/>
            <w:vAlign w:val="bottom"/>
            <w:gridSpan w:val="12"/>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4"/>
          </w:tcPr>
          <w:p>
            <w:pPr>
              <w:spacing w:after="0"/>
              <w:rPr>
                <w:sz w:val="24"/>
                <w:szCs w:val="24"/>
                <w:color w:val="auto"/>
              </w:rPr>
            </w:pPr>
          </w:p>
        </w:tc>
        <w:tc>
          <w:tcPr>
            <w:tcW w:w="7900" w:type="dxa"/>
            <w:vAlign w:val="bottom"/>
            <w:gridSpan w:val="14"/>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40" w:type="dxa"/>
            <w:vAlign w:val="bottom"/>
            <w:gridSpan w:val="1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440" w:type="dxa"/>
            <w:vAlign w:val="bottom"/>
            <w:gridSpan w:val="1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0" w:type="dxa"/>
            <w:vAlign w:val="bottom"/>
          </w:tcPr>
          <w:p>
            <w:pPr>
              <w:spacing w:after="0"/>
              <w:rPr>
                <w:sz w:val="1"/>
                <w:szCs w:val="1"/>
                <w:color w:val="auto"/>
              </w:rPr>
            </w:pPr>
          </w:p>
        </w:tc>
      </w:tr>
      <w:tr>
        <w:trPr>
          <w:trHeight w:val="871"/>
        </w:trPr>
        <w:tc>
          <w:tcPr>
            <w:tcW w:w="9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120" w:type="dxa"/>
            <w:vAlign w:val="bottom"/>
            <w:gridSpan w:val="11"/>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1"/>
                <w:szCs w:val="21"/>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9"/>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23"/>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4,806.5</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6,369.7</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3,488.9</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18,059.9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18,379.0</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0" w:type="dxa"/>
            <w:vAlign w:val="bottom"/>
          </w:tcPr>
          <w:p>
            <w:pPr>
              <w:spacing w:after="0"/>
              <w:rPr>
                <w:sz w:val="1"/>
                <w:szCs w:val="1"/>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3,330.2</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10,312.5</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82.9 and 83.4 shares outstanding at June 30, 2025, and December 31, 2024,</w:t>
            </w:r>
          </w:p>
        </w:tc>
        <w:tc>
          <w:tcPr>
            <w:tcW w:w="300" w:type="dxa"/>
            <w:vAlign w:val="bottom"/>
            <w:shd w:val="clear" w:color="auto" w:fill="CCEEFF"/>
          </w:tcPr>
          <w:p>
            <w:pPr>
              <w:spacing w:after="0"/>
              <w:rPr>
                <w:sz w:val="16"/>
                <w:szCs w:val="16"/>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40"/>
        </w:trPr>
        <w:tc>
          <w:tcPr>
            <w:tcW w:w="71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12"/>
                <w:szCs w:val="12"/>
                <w:color w:val="auto"/>
              </w:rPr>
            </w:pPr>
          </w:p>
        </w:tc>
        <w:tc>
          <w:tcPr>
            <w:tcW w:w="17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10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8,052.2</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18,059.9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1840" w:type="dxa"/>
            <w:vAlign w:val="bottom"/>
            <w:tcBorders>
              <w:top w:val="single" w:sz="8" w:color="0000FF"/>
            </w:tcBorders>
          </w:tcPr>
          <w:p>
            <w:pPr>
              <w:spacing w:after="0"/>
              <w:rPr>
                <w:sz w:val="24"/>
                <w:szCs w:val="24"/>
                <w:color w:val="auto"/>
              </w:rPr>
            </w:pPr>
          </w:p>
        </w:tc>
        <w:tc>
          <w:tcPr>
            <w:tcW w:w="5860" w:type="dxa"/>
            <w:vAlign w:val="bottom"/>
            <w:gridSpan w:val="5"/>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LABCORP HOLDINGS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80" w:type="dxa"/>
            <w:vAlign w:val="bottom"/>
            <w:gridSpan w:val="8"/>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860" w:type="dxa"/>
            <w:vAlign w:val="bottom"/>
            <w:gridSpan w:val="5"/>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7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00" w:type="dxa"/>
            <w:vAlign w:val="bottom"/>
          </w:tcPr>
          <w:p>
            <w:pPr>
              <w:spacing w:after="0"/>
              <w:rPr>
                <w:sz w:val="24"/>
                <w:szCs w:val="24"/>
                <w:color w:val="auto"/>
              </w:rPr>
            </w:pPr>
          </w:p>
        </w:tc>
        <w:tc>
          <w:tcPr>
            <w:tcW w:w="2220" w:type="dxa"/>
            <w:vAlign w:val="bottom"/>
            <w:gridSpan w:val="4"/>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6,397.5</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4,573.8</w:t>
            </w:r>
          </w:p>
        </w:tc>
        <w:tc>
          <w:tcPr>
            <w:tcW w:w="0" w:type="dxa"/>
            <w:vAlign w:val="bottom"/>
          </w:tcPr>
          <w:p>
            <w:pPr>
              <w:spacing w:after="0"/>
              <w:rPr>
                <w:sz w:val="1"/>
                <w:szCs w:val="1"/>
                <w:color w:val="auto"/>
              </w:rPr>
            </w:pPr>
          </w:p>
        </w:tc>
      </w:tr>
      <w:tr>
        <w:trPr>
          <w:trHeight w:val="223"/>
        </w:trPr>
        <w:tc>
          <w:tcPr>
            <w:tcW w:w="4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6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method loss, net</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6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6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6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4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4"/>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1840" w:type="dxa"/>
            <w:vAlign w:val="bottom"/>
            <w:tcBorders>
              <w:top w:val="single" w:sz="8" w:color="0000FF"/>
            </w:tcBorders>
          </w:tcPr>
          <w:p>
            <w:pPr>
              <w:spacing w:after="0"/>
              <w:rPr>
                <w:sz w:val="24"/>
                <w:szCs w:val="24"/>
                <w:color w:val="auto"/>
              </w:rPr>
            </w:pPr>
          </w:p>
        </w:tc>
        <w:tc>
          <w:tcPr>
            <w:tcW w:w="5860" w:type="dxa"/>
            <w:vAlign w:val="bottom"/>
            <w:gridSpan w:val="4"/>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LABCORP HOLDINGS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320" w:type="dxa"/>
            <w:vAlign w:val="bottom"/>
            <w:gridSpan w:val="8"/>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EARNINGS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64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464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8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32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tcPr>
          <w:p>
            <w:pPr>
              <w:spacing w:after="0"/>
              <w:rPr>
                <w:sz w:val="20"/>
                <w:szCs w:val="20"/>
                <w:color w:val="auto"/>
              </w:rPr>
            </w:pPr>
          </w:p>
        </w:tc>
        <w:tc>
          <w:tcPr>
            <w:tcW w:w="46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 related to items of comprehensive earnings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2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Labcorp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rPr>
              <w:t>Additional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Accumulated</w:t>
            </w:r>
          </w:p>
        </w:tc>
        <w:tc>
          <w:tcPr>
            <w:tcW w:w="120" w:type="dxa"/>
            <w:vAlign w:val="bottom"/>
          </w:tcPr>
          <w:p>
            <w:pPr>
              <w:spacing w:after="0"/>
              <w:rPr>
                <w:sz w:val="12"/>
                <w:szCs w:val="12"/>
                <w:color w:val="auto"/>
              </w:rPr>
            </w:pPr>
          </w:p>
        </w:tc>
        <w:tc>
          <w:tcPr>
            <w:tcW w:w="980" w:type="dxa"/>
            <w:vAlign w:val="bottom"/>
            <w:vMerge w:val="restart"/>
          </w:tcPr>
          <w:p>
            <w:pPr>
              <w:jc w:val="center"/>
              <w:ind w:right="68"/>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auto"/>
              </w:rPr>
              <w:t>Common</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Retained</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Paid-in</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20" w:type="dxa"/>
            <w:vAlign w:val="bottom"/>
          </w:tcPr>
          <w:p>
            <w:pPr>
              <w:spacing w:after="0"/>
              <w:rPr>
                <w:sz w:val="11"/>
                <w:szCs w:val="11"/>
                <w:color w:val="auto"/>
              </w:rPr>
            </w:pPr>
          </w:p>
        </w:tc>
        <w:tc>
          <w:tcPr>
            <w:tcW w:w="9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color w:val="auto"/>
              </w:rPr>
              <w:t>Shareholders’</w:t>
            </w:r>
          </w:p>
        </w:tc>
        <w:tc>
          <w:tcPr>
            <w:tcW w:w="0" w:type="dxa"/>
            <w:vAlign w:val="bottom"/>
          </w:tcPr>
          <w:p>
            <w:pPr>
              <w:spacing w:after="0"/>
              <w:rPr>
                <w:sz w:val="1"/>
                <w:szCs w:val="1"/>
                <w:color w:val="auto"/>
              </w:rPr>
            </w:pPr>
          </w:p>
        </w:tc>
      </w:tr>
      <w:tr>
        <w:trPr>
          <w:trHeight w:val="182"/>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Stock</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Capital</w:t>
            </w:r>
          </w:p>
        </w:tc>
        <w:tc>
          <w:tcPr>
            <w:tcW w:w="1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Earnings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Earnings (Loss)</w:t>
            </w:r>
          </w:p>
        </w:tc>
        <w:tc>
          <w:tcPr>
            <w:tcW w:w="120" w:type="dxa"/>
            <w:vAlign w:val="bottom"/>
          </w:tcPr>
          <w:p>
            <w:pPr>
              <w:spacing w:after="0"/>
              <w:rPr>
                <w:sz w:val="15"/>
                <w:szCs w:val="15"/>
                <w:color w:val="auto"/>
              </w:rPr>
            </w:pPr>
          </w:p>
        </w:tc>
        <w:tc>
          <w:tcPr>
            <w:tcW w:w="9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auto"/>
              </w:rPr>
              <w:t>Equity</w:t>
            </w: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7,888.2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7,875.0</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89"/>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8,055.3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7,959.6</w:t>
            </w:r>
          </w:p>
        </w:tc>
        <w:tc>
          <w:tcPr>
            <w:tcW w:w="0" w:type="dxa"/>
            <w:vAlign w:val="bottom"/>
          </w:tcPr>
          <w:p>
            <w:pPr>
              <w:spacing w:after="0"/>
              <w:rPr>
                <w:sz w:val="1"/>
                <w:szCs w:val="1"/>
                <w:color w:val="auto"/>
              </w:rPr>
            </w:pPr>
          </w:p>
        </w:tc>
      </w:tr>
      <w:tr>
        <w:trPr>
          <w:trHeight w:val="21"/>
        </w:trPr>
        <w:tc>
          <w:tcPr>
            <w:tcW w:w="5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0"/>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8,052.2</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89"/>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8,455.6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8,307.4</w:t>
            </w:r>
          </w:p>
        </w:tc>
        <w:tc>
          <w:tcPr>
            <w:tcW w:w="0" w:type="dxa"/>
            <w:vAlign w:val="bottom"/>
          </w:tcPr>
          <w:p>
            <w:pPr>
              <w:spacing w:after="0"/>
              <w:rPr>
                <w:sz w:val="1"/>
                <w:szCs w:val="1"/>
                <w:color w:val="auto"/>
              </w:rPr>
            </w:pPr>
          </w:p>
        </w:tc>
      </w:tr>
      <w:tr>
        <w:trPr>
          <w:trHeight w:val="21"/>
        </w:trPr>
        <w:tc>
          <w:tcPr>
            <w:tcW w:w="5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21"/>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8,472.7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37"/>
        </w:trPr>
        <w:tc>
          <w:tcPr>
            <w:tcW w:w="8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30"/>
        </w:trPr>
        <w:tc>
          <w:tcPr>
            <w:tcW w:w="8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Decrease in unbilled services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8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 decrease in supplies inventory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8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Decrease in prepaid expenses and other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8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9"/>
        </w:trPr>
        <w:tc>
          <w:tcPr>
            <w:tcW w:w="8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Decrease in unearned revenue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8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r>
      <w:tr>
        <w:trPr>
          <w:trHeight w:val="221"/>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or distribution of equity affiliates or other investments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equity affiliates or other investments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r>
      <w:tr>
        <w:trPr>
          <w:trHeight w:val="221"/>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on senior notes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accounts receivable securitization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r>
      <w:tr>
        <w:trPr>
          <w:trHeight w:val="20"/>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FINANCIAL STATEMENT PRESENTATION</w:t>
      </w:r>
    </w:p>
    <w:p>
      <w:pPr>
        <w:spacing w:after="0" w:line="145"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Inc. (Labcorp, LHI,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w:t>
      </w:r>
    </w:p>
    <w:p>
      <w:pPr>
        <w:spacing w:after="0" w:line="1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reports its business in two segments, Diagnostics Laboratories (Dx) and Biopharma Laboratory Services (BLS). During each of the three months ended June 30, 2025, and 2024 and each of the six months ended June 30, 2025, and 2024, Dx and BLS contributed approximately 78% and 22%, respectively, of Revenues to the Company.</w:t>
      </w:r>
    </w:p>
    <w:p>
      <w:pPr>
        <w:spacing w:after="0" w:line="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 in the United States (GAAP).</w:t>
      </w:r>
    </w:p>
    <w:p>
      <w:pPr>
        <w:spacing w:after="0" w:line="10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are presented in accordance with the rules and regulations of the Securities and Exchange Commission (SEC) and GAAP for interim reporting. As such, certain notes or other information that are normally required by the SEC or GAAP have been omitted if they substantially duplicate the disclosures contained in the Company’s annual audited Consolidated Financial Statements contained within its Annual Report on Form 10-K for the fiscal year ended December 31, 2024 (Annual Report). Accordingly, these Condensed Consolidated Financial Statements and notes should be read in conjunction with the Consolidated Financial Statements and notes thereto contained in the Company’s Annual Report.</w:t>
      </w:r>
    </w:p>
    <w:p>
      <w:pPr>
        <w:spacing w:after="0" w:line="9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significant variable interest entities or special purpose entities whose financial results are not included in these Condensed Consolidated Financial Statements.</w:t>
      </w:r>
    </w:p>
    <w:p>
      <w:pPr>
        <w:spacing w:after="0" w:line="9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 within the Condensed Consolidated Balance Sheets.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Enactment of the One Big Beautiful Bill Act</w:t>
      </w:r>
    </w:p>
    <w:p>
      <w:pPr>
        <w:spacing w:after="0" w:line="135"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8"/>
          <w:szCs w:val="18"/>
          <w:color w:val="auto"/>
        </w:rPr>
        <w:t>On July 4, 2025, the United States (U.S.) government enacted into law the One Big Beautiful Bill Act (OBBBA), which includes significant changes to federal tax law, including modifications to bonus depreciation, research and development expensing, and international tax regimes. As the legislation was enacted after the end of the Company’s reporting period, the effects are not reflected in these Condensed Consolidated Financial Statements. While the Company continues to evaluate the impact of the legislation on its Condensed Consolidated Financial Statements, it does not currently expect the tax provisions of the OBBBA to have a material impact within its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Revenues by segment and by payers/customer groups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Borders>
              <w:right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940" w:type="dxa"/>
            <w:vAlign w:val="bottom"/>
            <w:tcBorders>
              <w:top w:val="single" w:sz="8" w:color="auto"/>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96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North America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right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North America</w:t>
            </w:r>
          </w:p>
        </w:tc>
        <w:tc>
          <w:tcPr>
            <w:tcW w:w="10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right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5"/>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10"/>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Third party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40" w:type="dxa"/>
            <w:vAlign w:val="bottom"/>
            <w:tcBorders>
              <w:right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840" w:type="dxa"/>
            <w:vAlign w:val="bottom"/>
            <w:tcBorders>
              <w:right w:val="single" w:sz="8" w:color="auto"/>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1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Borders>
              <w:right w:val="single" w:sz="8" w:color="auto"/>
            </w:tcBorders>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03"/>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60" w:type="dxa"/>
            <w:vAlign w:val="bottom"/>
            <w:vMerge w:val="continue"/>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right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Borders>
              <w:right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940" w:type="dxa"/>
            <w:vAlign w:val="bottom"/>
            <w:tcBorders>
              <w:top w:val="single" w:sz="8" w:color="auto"/>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96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North America</w:t>
            </w:r>
          </w:p>
        </w:tc>
        <w:tc>
          <w:tcPr>
            <w:tcW w:w="100" w:type="dxa"/>
            <w:vAlign w:val="bottom"/>
          </w:tcPr>
          <w:p>
            <w:pPr>
              <w:spacing w:after="0"/>
              <w:rPr>
                <w:sz w:val="17"/>
                <w:szCs w:val="17"/>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right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North America</w:t>
            </w:r>
          </w:p>
        </w:tc>
        <w:tc>
          <w:tcPr>
            <w:tcW w:w="10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right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5"/>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10"/>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Third party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40" w:type="dxa"/>
            <w:vAlign w:val="bottom"/>
            <w:tcBorders>
              <w:right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840" w:type="dxa"/>
            <w:vAlign w:val="bottom"/>
            <w:tcBorders>
              <w:right w:val="single" w:sz="8" w:color="auto"/>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Borders>
              <w:right w:val="single" w:sz="8" w:color="auto"/>
            </w:tcBorders>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03"/>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8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right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Revenues in the U.S. were $2,931.6 (83.1%) and $2,698.8 (83.8%) for the three months ended June 30, 2025, and 2024, respectively, and were $5,745.4 (83.6%) and $5,353.4 (83.7%) for the six months ended June 30, 2025, and 2024,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Unbilled Services, and Unearned Revenue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4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accounts receivable</w:t>
            </w:r>
          </w:p>
        </w:tc>
        <w:tc>
          <w:tcPr>
            <w:tcW w:w="1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credit losses</w:t>
            </w:r>
          </w:p>
        </w:tc>
        <w:tc>
          <w:tcPr>
            <w:tcW w:w="17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2,120.6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1,944.1</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unbilled services</w:t>
            </w:r>
          </w:p>
        </w:tc>
        <w:tc>
          <w:tcPr>
            <w:tcW w:w="17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17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0"/>
        </w:trPr>
        <w:tc>
          <w:tcPr>
            <w:tcW w:w="6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243"/>
        <w:spacing w:after="0" w:line="282" w:lineRule="auto"/>
        <w:rPr>
          <w:sz w:val="20"/>
          <w:szCs w:val="20"/>
          <w:color w:val="auto"/>
        </w:rPr>
      </w:pPr>
      <w:r>
        <w:rPr>
          <w:rFonts w:ascii="Times New Roman" w:cs="Times New Roman" w:eastAsia="Times New Roman" w:hAnsi="Times New Roman"/>
          <w:sz w:val="18"/>
          <w:szCs w:val="18"/>
          <w:color w:val="auto"/>
        </w:rPr>
        <w:t>Revenues recognized during the period that were included in the unearned revenue balance at the beginning of the period were $34.4 and $26.8 for the three months ended June 30, 2025, and 2024, respectively, and were $103.3 and $77.8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48"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BLS estimates future expected credit losses on accounts receivable and unbilled services over the remaining collection period of the instrument. The rollforward for the allowance for credit losses was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Accounts</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6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Receivable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Unbilled Services</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7.6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 offs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impact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7"/>
              </w:rPr>
              <w:t>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June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6920" w:firstLine="8"/>
        <w:spacing w:after="0" w:line="401" w:lineRule="auto"/>
        <w:tabs>
          <w:tab w:leader="none" w:pos="31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 AND DISPOSITIONS Acquisitions</w:t>
      </w:r>
    </w:p>
    <w:p>
      <w:pPr>
        <w:spacing w:after="0" w:line="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the Company acquired several businesses and related assets for cash of $63.5. The preliminary purchase considerations for these acquisitions were allocated under the acquisition method of accounting to the estimated fair market value of the net assets acquired, including approximately $46.4 in identifiable intangible assets. The weighted-average amortization periods for the customer relationships and non-compete agreements were 15.0 years and 5.0 years, respectively. A residual amount of tax deductible goodwill, including measurement period adjustments relating to prior acquisitions of $57.9, was recorded as of June 30, 2025.</w:t>
      </w:r>
    </w:p>
    <w:p>
      <w:pPr>
        <w:spacing w:after="0" w:line="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purchase price allocations for these acquisitions were preliminary at June 30, 2025. The valuation of acquired assets and assumed liabilities included the following: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2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Business Acquisitions Closed During</w:t>
            </w:r>
          </w:p>
        </w:tc>
        <w:tc>
          <w:tcPr>
            <w:tcW w:w="2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Measurement Period Adjustments</w:t>
            </w: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4980" w:type="dxa"/>
            <w:vAlign w:val="bottom"/>
            <w:gridSpan w:val="4"/>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Six Months Ended June Amounts Acquired During the Six</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the Six Months Ended June 30, 2025</w:t>
            </w:r>
          </w:p>
        </w:tc>
        <w:tc>
          <w:tcPr>
            <w:tcW w:w="5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Months Ended June 30, 2025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5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40" w:type="dxa"/>
            <w:vAlign w:val="bottom"/>
          </w:tcPr>
          <w:p>
            <w:pPr>
              <w:spacing w:after="0"/>
              <w:rPr>
                <w:sz w:val="18"/>
                <w:szCs w:val="18"/>
                <w:color w:val="auto"/>
              </w:rPr>
            </w:pPr>
          </w:p>
        </w:tc>
        <w:tc>
          <w:tcPr>
            <w:tcW w:w="226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5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4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assets acquired</w:t>
            </w:r>
          </w:p>
        </w:tc>
        <w:tc>
          <w:tcPr>
            <w:tcW w:w="1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5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1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56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liabilities acquired</w:t>
            </w:r>
          </w:p>
        </w:tc>
        <w:tc>
          <w:tcPr>
            <w:tcW w:w="1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5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1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56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07"/>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acquisitions</w:t>
            </w: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5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September 17, 2024, the Company announced that it entered into an agreement with Cinven, Inc. to acquire a 15% minority interest in SYNLAB, a leader in medical diagnostic services and specialty testing in Europe, for approximately $151.6 (€140.4). The transaction closed in March 2025 and is accounted for as an equity method investment within the Company’s Condensed Consolidated Financial Statements.</w:t>
      </w:r>
    </w:p>
    <w:p>
      <w:pPr>
        <w:spacing w:after="0" w:line="9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March 11, 2025, the Company announced that it entered into an agreement with OPKO Health, Inc. to acquire select assets of the laboratory business of BioReference Health, focused on oncology and oncology-related clinical testing services across the U.S. The purchase price for the transaction is up to $225.0, including $192.5 payable at closing and up to $32.5 of additional consideration contingent on performance. The transaction is anticipated to close in the second half of 2025, subject to customary closing conditions for a transaction of this type.</w:t>
      </w:r>
    </w:p>
    <w:p>
      <w:pPr>
        <w:spacing w:after="0" w:line="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July 22, 2025, the Company announced that it entered into an agreement with Community Health Systems, Inc. (CHS) to acquire select assets of the outreach business from CHS across 13 states for a purchase price of approximately $195.0. The transaction is anticipated to close in the fourth quarter of 2025, subject to customary closing conditions and applicable regulatory approvals for a transaction of this type.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4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exited an equity method investment for cash proceeds of $6.0. During the six months ended June 30, 2024, the Company sold the assets of Beacon Laboratory Benefit Solutions, Inc. for cash proceeds of $13.5 and recorded a gain of $4.9 included in Other, net in the Condensed Consolidated Statements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Basic earnings per share (Basic EPS) is computed by dividing Net earnings attributable to Labcorp Holdings Inc. by the weighted-average number of common shares outstanding. Diluted earnings per common share (Diluted EPS) is computed by dividing Net earnings attributable to Labcorp Holdings Inc., and if applicable, including the impact of dilutive adjustments by the weighted-average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units, and performance share awards.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represents a reconciliation of Basic EPS to Diluted EPS:</w:t>
      </w:r>
    </w:p>
    <w:p>
      <w:pPr>
        <w:spacing w:after="0" w:line="16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right="840"/>
        <w:spacing w:after="0" w:line="297" w:lineRule="auto"/>
        <w:rPr>
          <w:sz w:val="20"/>
          <w:szCs w:val="20"/>
          <w:color w:val="auto"/>
        </w:rPr>
      </w:pPr>
      <w:r>
        <w:rPr>
          <w:rFonts w:ascii="Times New Roman" w:cs="Times New Roman" w:eastAsia="Times New Roman" w:hAnsi="Times New Roman"/>
          <w:sz w:val="18"/>
          <w:szCs w:val="18"/>
          <w:color w:val="auto"/>
        </w:rPr>
        <w:t>Net earnings attributable to LHI Weighted-average common shares outstanding Per common share amount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r>
      <w:tr>
        <w:trPr>
          <w:trHeight w:val="176"/>
        </w:trPr>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Dilutive</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Dilutive</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0"/>
        </w:trPr>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EPS</w:t>
            </w:r>
          </w:p>
        </w:tc>
      </w:tr>
      <w:tr>
        <w:trPr>
          <w:trHeight w:val="225"/>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29"/>
        </w:trPr>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34"/>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-479425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-179070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4220" w:space="720"/>
            <w:col w:w="6300"/>
          </w:cols>
          <w:pgMar w:left="320" w:top="121" w:right="339" w:bottom="1440" w:gutter="0" w:footer="0" w:header="0"/>
          <w:type w:val="continuous"/>
        </w:sectPr>
      </w:pPr>
    </w:p>
    <w:p>
      <w:pPr>
        <w:spacing w:after="0" w:line="14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840"/>
        <w:spacing w:after="0" w:line="297" w:lineRule="auto"/>
        <w:rPr>
          <w:sz w:val="20"/>
          <w:szCs w:val="20"/>
          <w:color w:val="auto"/>
        </w:rPr>
      </w:pPr>
      <w:r>
        <w:rPr>
          <w:rFonts w:ascii="Times New Roman" w:cs="Times New Roman" w:eastAsia="Times New Roman" w:hAnsi="Times New Roman"/>
          <w:sz w:val="18"/>
          <w:szCs w:val="18"/>
          <w:color w:val="auto"/>
        </w:rPr>
        <w:t>Net earnings attributable to LHI Weighted-average common shares outstanding Per common share amount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r>
      <w:tr>
        <w:trPr>
          <w:trHeight w:val="176"/>
        </w:trPr>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Dilutive</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Dilutive</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0"/>
        </w:trPr>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EPS</w:t>
            </w:r>
          </w:p>
        </w:tc>
      </w:tr>
      <w:tr>
        <w:trPr>
          <w:trHeight w:val="225"/>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r>
      <w:tr>
        <w:trPr>
          <w:trHeight w:val="230"/>
        </w:trPr>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34"/>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-479425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-179705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220" w:space="720"/>
            <w:col w:w="6300"/>
          </w:cols>
          <w:pgMar w:left="320" w:top="121" w:right="339" w:bottom="1440" w:gutter="0" w:footer="0" w:header="0"/>
          <w:type w:val="continuous"/>
        </w:sect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EPS because their impact would have been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30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60" w:type="dxa"/>
            <w:vAlign w:val="bottom"/>
            <w:tcBorders>
              <w:bottom w:val="single" w:sz="8" w:color="auto"/>
            </w:tcBorders>
          </w:tcPr>
          <w:p>
            <w:pPr>
              <w:spacing w:after="0"/>
              <w:rPr>
                <w:sz w:val="21"/>
                <w:szCs w:val="21"/>
                <w:color w:val="auto"/>
              </w:rPr>
            </w:pPr>
          </w:p>
        </w:tc>
      </w:tr>
      <w:tr>
        <w:trPr>
          <w:trHeight w:val="236"/>
        </w:trPr>
        <w:tc>
          <w:tcPr>
            <w:tcW w:w="43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r>
      <w:tr>
        <w:trPr>
          <w:trHeight w:val="23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11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balances, net of impairment, and changes in the carrying amount of goodwill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Dx</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BLS</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6,369.7</w:t>
            </w: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impact and other adjustments to Goodwill</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6,551.1</w:t>
            </w:r>
          </w:p>
        </w:tc>
      </w:tr>
      <w:tr>
        <w:trPr>
          <w:trHeight w:val="20"/>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six months ended June 30, 2025, the Company did not record a goodwill or intangible asset impairment charge.</w:t>
      </w:r>
    </w:p>
    <w:p>
      <w:pPr>
        <w:spacing w:after="0" w:line="13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cumulative goodwill impairment for the Company as of June 30, 2025, and December 31, 2024, was $648.5 and represents all of the goodwill of the Company’s Early Development Research Laboratories reporting unit within the BLS segment.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identifiable intangible assets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6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Range of Useful Lives</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Gross</w:t>
            </w:r>
          </w:p>
        </w:tc>
        <w:tc>
          <w:tcPr>
            <w:tcW w:w="14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Accumulated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12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Carrying</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Years)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Amount</w:t>
            </w:r>
          </w:p>
        </w:tc>
        <w:tc>
          <w:tcPr>
            <w:tcW w:w="14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9"/>
                <w:szCs w:val="19"/>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9"/>
                <w:szCs w:val="19"/>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4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40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10</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(1,692.1)</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2,574.0</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licenses, and technology</w:t>
            </w:r>
          </w:p>
        </w:tc>
        <w:tc>
          <w:tcPr>
            <w:tcW w:w="40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3</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Non-compete agreements</w:t>
            </w:r>
          </w:p>
        </w:tc>
        <w:tc>
          <w:tcPr>
            <w:tcW w:w="40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1</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5,059.8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(2,134.1)</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2,931.4</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Canadian and other licenses</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0" w:type="dxa"/>
            <w:vAlign w:val="bottom"/>
          </w:tcPr>
          <w:p>
            <w:pPr>
              <w:spacing w:after="0"/>
              <w:rPr>
                <w:sz w:val="1"/>
                <w:szCs w:val="1"/>
                <w:color w:val="auto"/>
              </w:rPr>
            </w:pPr>
          </w:p>
        </w:tc>
      </w:tr>
      <w:tr>
        <w:trPr>
          <w:trHeight w:val="237"/>
        </w:trPr>
        <w:tc>
          <w:tcPr>
            <w:tcW w:w="2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was $68.3 and $62.2 for the three months ended June 30, 2025, and 2024, respectively, and was $137.9 and $122.3 for the six months ended June 30, 2025, and 2024, respectively. The amortization expense of intangible assets is estimated to be $142.2 for the remainder of</w:t>
      </w: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2025, $268.0 in 2026, $255.1 in 2027, $247.4 in 2028, $234.7 in 2029, and $1,778.3 thereafter.</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DEBT</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borrowings and the current portion of long-term debt consisted of the following:</w:t>
            </w: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30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4.35% senior notes due 2030</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4.55% senior notes due 2032</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4.80% senior notes due 2034</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 facility</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6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June 27, 2025. It consists of a five-year revolving facility in the principal amount of up to $1,000.0, with the option of increasing the facility by up to an additional $500.0, subject to certain conditions, including obtaining additional commitments from new or existing lenders. The revolving credit facility also provides for a subfacility of up to $100.0 for swing line borrowings and a subfacility of up to $150.0 for issuances of letters of credit. Borrowings under the revolving credit facility bear interest at a floating rate equal to either (i) a Secured Overnight Financing Rate-based rate plus a margin ranging from 0.805% to 1.300% or (ii) a base rate plus a margin ranging from 0.0% to 0.300%, in each case depending on the Company’s long-term debt ratings. The Company is required to pay a facility fee quarterly on the aggregate amount of commitments under the revolving credit facility, at a per annum rate ranging from 0.070% to 0.200%, depending on the Company’s long-term debt ratings, regardless of usage.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revolving credit facility is permitted to be used for general corporate purposes, including working capital, capital expenditures, funding of share repurchases and certain other payments, acquisitions, and other investments. There were no balances outstanding on the Company’s current revolving credit facility and $103.3 in outstanding letters of credit on the Company’s subfacility as of June 30, 2025. At June 30, 2025, the effective interest rate on the revolving credit facility was 5.42%. The revolving credit facility expires in June 2030.</w:t>
      </w:r>
    </w:p>
    <w:p>
      <w:pPr>
        <w:spacing w:after="0" w:line="8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its term loans and the revolving credit facility at June 30, 2025, and expects that it will remain in compliance with its existing debt covenants for the next 12 months.</w:t>
      </w:r>
    </w:p>
    <w:p>
      <w:pPr>
        <w:spacing w:after="0" w:line="9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August 23, 2024, the Company and a bankruptcy-remote special purpose vehicle (SPV) entered into an accounts receivable securitization facility with a three-year term (AR Facility). The AR Facility allowed the Company to borrow an amount of up to $300.0 through August of 2027 and increase up to $700.0, subject to the satisfaction of certain conditions.</w:t>
      </w:r>
    </w:p>
    <w:p>
      <w:pPr>
        <w:spacing w:after="0" w:line="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On January 31, 2025, the Company amended its AR Facility (AR Facility Amendment). The AR Facility Amendment increased the amount the Company can borrow from $300.0 to $700.0 through August of 2027.</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SPV is a variable interest entity for which the Company is the primary beneficiary. The SPV’s sole business consists of the continuous purchase of receivables from the Company which is used as collateral for the loan. Although the SPV is included in the Company’s Condensed Consolidated Financial Statements, it is a separate legal entity with separate creditors.</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Upon the transfer of ownership and control of the receivables to the SPV, the Company has no retained interests in the receivables sold and they become unavailable to the Company’s creditors should the relevant seller become insolvent. The Company has collection and administrative responsibilities for the receivables sold to the SPV.</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received loan proceeds of $225.0 under the AR Facility, which is included in cash from financing activities in the Condensed Consolidated Statement of Cash Flows.</w:t>
      </w:r>
    </w:p>
    <w:p>
      <w:pPr>
        <w:spacing w:after="0" w:line="6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PREFERRED STOCK AND COMMON SHAREHOLDERS’ EQUITY</w:t>
      </w:r>
    </w:p>
    <w:p>
      <w:pPr>
        <w:spacing w:after="0" w:line="14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265.0 shares of its common stock, par value $0.10 per share (Common Stock). The Company is authorized to issue up to 30.0 shares of preferred stock, par value $0.10 per share. There were no preferred shares outstanding at June 30, 2025, and December 31, 2024.</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changes in the Company’s shares of Common Stock issued and outstanding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0" w:type="dxa"/>
            <w:vAlign w:val="bottom"/>
            <w:tcBorders>
              <w:bottom w:val="single" w:sz="8" w:color="CCEEFF"/>
            </w:tcBorders>
          </w:tcPr>
          <w:p>
            <w:pPr>
              <w:spacing w:after="0"/>
              <w:rPr>
                <w:sz w:val="21"/>
                <w:szCs w:val="21"/>
                <w:color w:val="auto"/>
              </w:rPr>
            </w:pPr>
          </w:p>
        </w:tc>
        <w:tc>
          <w:tcPr>
            <w:tcW w:w="3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0"/>
        </w:trPr>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repurchased</w:t>
            </w:r>
          </w:p>
        </w:tc>
        <w:tc>
          <w:tcPr>
            <w:tcW w:w="3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0"/>
        </w:trPr>
        <w:tc>
          <w:tcPr>
            <w:tcW w:w="760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When the Company repurchases shares of Common Stock, the amount paid to repurchase the shares in excess of the par or stated value is allocated to Additional paid-in-capital within the Condensed Consolidated Balance Sheets unless subject to limitation or the balance in Additional paid-in-capital is exhausted. Remaining amounts are recognized as a reduction in Retained earnings within the Company’s Condensed Consolidated Balance Sheets.</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purchased 0.8 shares of its Common Stock at an average price of $246.18 per share for a total cost of $200.0. During the six months ended June 30, 2024, the Company purchased 0.5 shares of its Common Stock at an average price of $202.66 per share for a total cost of $100.0.</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At June 30, 2025, the Company had outstanding authorization from its board of directors (Board) to purchase up to $1,080.4 maximum value of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3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June 30, 2025, and 2024, and each of the six months ended June 30, 2025, and 2024, a cash dividend of $0.72 and $1.44 per share of Common Stock, respectively, was declared and paid.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July 10, 2025, the Company announced a cash dividend of $0.72 per share of Common Stock, or approximately $60.6 in the aggregate. The dividend will be paid on September 11, 2025, to stockholders of record of all issued and outstanding shares of Common Stock as of the close of business on August 28, 2025. The declaration and payment of any future dividends will be at the discretion of the Board.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Earnings (Loss)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Accumulated other comprehensive earnings (loss)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Net Benefit Plan</w:t>
            </w:r>
          </w:p>
        </w:tc>
        <w:tc>
          <w:tcPr>
            <w:tcW w:w="140" w:type="dxa"/>
            <w:vAlign w:val="bottom"/>
          </w:tcPr>
          <w:p>
            <w:pPr>
              <w:spacing w:after="0"/>
              <w:rPr>
                <w:sz w:val="16"/>
                <w:szCs w:val="16"/>
                <w:color w:val="auto"/>
              </w:rPr>
            </w:pPr>
          </w:p>
        </w:tc>
        <w:tc>
          <w:tcPr>
            <w:tcW w:w="2560" w:type="dxa"/>
            <w:vAlign w:val="bottom"/>
          </w:tcPr>
          <w:p>
            <w:pPr>
              <w:jc w:val="right"/>
              <w:ind w:right="93"/>
              <w:spacing w:after="0"/>
              <w:rPr>
                <w:sz w:val="20"/>
                <w:szCs w:val="20"/>
                <w:color w:val="auto"/>
              </w:rPr>
            </w:pPr>
            <w:r>
              <w:rPr>
                <w:rFonts w:ascii="Times New Roman" w:cs="Times New Roman" w:eastAsia="Times New Roman" w:hAnsi="Times New Roman"/>
                <w:sz w:val="16"/>
                <w:szCs w:val="16"/>
                <w:color w:val="auto"/>
              </w:rPr>
              <w:t>Accumulated Other Comprehensive</w:t>
            </w:r>
          </w:p>
        </w:tc>
      </w:tr>
      <w:tr>
        <w:trPr>
          <w:trHeight w:val="223"/>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9"/>
                <w:szCs w:val="19"/>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9"/>
                <w:szCs w:val="19"/>
                <w:color w:val="auto"/>
              </w:rPr>
            </w:pPr>
          </w:p>
        </w:tc>
        <w:tc>
          <w:tcPr>
            <w:tcW w:w="2560" w:type="dxa"/>
            <w:vAlign w:val="bottom"/>
          </w:tcPr>
          <w:p>
            <w:pPr>
              <w:jc w:val="right"/>
              <w:ind w:right="753"/>
              <w:spacing w:after="0"/>
              <w:rPr>
                <w:sz w:val="20"/>
                <w:szCs w:val="20"/>
                <w:color w:val="auto"/>
              </w:rPr>
            </w:pPr>
            <w:r>
              <w:rPr>
                <w:rFonts w:ascii="Times New Roman" w:cs="Times New Roman" w:eastAsia="Times New Roman" w:hAnsi="Times New Roman"/>
                <w:sz w:val="16"/>
                <w:szCs w:val="16"/>
                <w:color w:val="auto"/>
              </w:rPr>
              <w:t>Earnings (Loss)</w:t>
            </w:r>
          </w:p>
        </w:tc>
      </w:tr>
      <w:tr>
        <w:trPr>
          <w:trHeight w:val="23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center"/>
              <w:ind w:left="1233"/>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29"/>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center"/>
              <w:ind w:left="1233"/>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29"/>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1193"/>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center"/>
              <w:ind w:left="1233"/>
              <w:spacing w:after="0"/>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148"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8"/>
          <w:szCs w:val="18"/>
          <w:color w:val="auto"/>
        </w:rPr>
        <w:t>The Company (and/or its subsidiaries and affiliates)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managed care organizations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8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biopharma laboratory services. These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10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Financial Accounting Standards Board Accounting Standards Codification Topic 450 “Contingencies,” the Company establishes reserves for judicial, regulatory, and arbitration matters outside the aggregate legal reserve if and when those matters present loss contingencies that are both probable and reasonably estimable. When loss contingencies are not both probable and reasonably estimable, the Company does not establish separate reserves.</w:t>
      </w:r>
    </w:p>
    <w:p>
      <w:pPr>
        <w:spacing w:after="0" w:line="9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received various subpoenas and other civil investigative demands related to Medicaid billing. In October 2013, the Company received a Civil Investigative Demand from the State of Texas Office of the Attorney General requesting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had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On December 31, 2024, the Texas Court of Appeals issued a decision reversing the District Court’s order granting the Company’s Motion for Partial Summary Judgement. On February 28, 2025, the Company filed in the Texas Supreme Court a Petition for Review with respect to the Texas Court of Appeals decision. The Company will vigorously defend the lawsuit.</w:t>
      </w:r>
    </w:p>
    <w:p>
      <w:pPr>
        <w:spacing w:after="0" w:line="11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On or about October 31, 2024, Labcorp and the Plaintiff (on behalf of the putative class) entered into a Settlement Agreement, which the court has preliminarily approved.</w:t>
      </w:r>
    </w:p>
    <w:p>
      <w:pPr>
        <w:spacing w:after="0" w:line="9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responded to the DOJ.</w:t>
      </w:r>
    </w:p>
    <w:p>
      <w:pPr>
        <w:spacing w:after="0" w:line="8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10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Twenty-three putative class action lawsuits were filed against the Company related to the AMCA Incident in various U.S. District Courts. Numerous similar lawsuits have been filed against other healthcare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per se,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On November 1, 2024, Plaintiffs served their motion for class certification. The Company will vigorously defend the remaining claims in the multi-district litigation.</w:t>
      </w:r>
    </w:p>
    <w:p>
      <w:pPr>
        <w:spacing w:after="0" w:line="10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asserts 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Company will vigorously defend the lawsuit.</w:t>
      </w:r>
    </w:p>
    <w:p>
      <w:pPr>
        <w:spacing w:after="0" w:line="9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On January 31, 2020, the Company was served with a putative class action lawsuit, </w:t>
      </w:r>
      <w:r>
        <w:rPr>
          <w:rFonts w:ascii="Times New Roman" w:cs="Times New Roman" w:eastAsia="Times New Roman" w:hAnsi="Times New Roman"/>
          <w:sz w:val="18"/>
          <w:szCs w:val="18"/>
          <w:i w:val="1"/>
          <w:iCs w:val="1"/>
          <w:color w:val="auto"/>
        </w:rPr>
        <w:t>Luke Davis and Julian Vargas,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filed in the U.S. District Court for the Central District of California. The lawsuit alleges that visually impaired patients are unable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On February 8, 2024, the Ninth Circuit affirmed the trial court’s decision to certify both a California damages class and a nationwide injunctive class. On March 25, 2024, the Company filed a Petition for Rehearing En Banc with the Ninth Circuit. On April 18, 2024, the Ninth Circuit denied the Petition for Rehearing En Banc. On September 13, 2024, the Company filed a Petition for Writ of Certiorari with the United States Supreme Court, which was granted on January 24, 2025, and then dismissed on June 5, 2025. The Company will vigorously defend the lawsuit.</w:t>
      </w:r>
    </w:p>
    <w:p>
      <w:pPr>
        <w:spacing w:after="0" w:line="10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On October 16, 2020, Ravgen Inc. filed a patent infringement lawsuit, </w:t>
      </w:r>
      <w:r>
        <w:rPr>
          <w:rFonts w:ascii="Times New Roman" w:cs="Times New Roman" w:eastAsia="Times New Roman" w:hAnsi="Times New Roman"/>
          <w:sz w:val="18"/>
          <w:szCs w:val="18"/>
          <w:i w:val="1"/>
          <w:iCs w:val="1"/>
          <w:color w:val="auto"/>
        </w:rPr>
        <w:t>Ravgen Inc. v. Laboratory Corporation of America Holdings</w:t>
      </w:r>
      <w:r>
        <w:rPr>
          <w:rFonts w:ascii="Times New Roman" w:cs="Times New Roman" w:eastAsia="Times New Roman" w:hAnsi="Times New Roman"/>
          <w:sz w:val="18"/>
          <w:szCs w:val="18"/>
          <w:color w:val="auto"/>
        </w:rPr>
        <w:t>, in the U.S. District Court for the Western District of Texas, alleging infringement of two Ravgen-owned U.S. patents. The lawsuit sought monetary damages, enhancement of those damages for willfulness, and recovery of attorney’s fees and costs. On September 28, 2022, a jury rendered a verdict in favor of the Plaintiff on the sole asserted patent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On January 23, 2025, the court issued an order awarding Plaintiff post-verdict supplemental damages of $2.6, an ongoing royalty of one hundred dollars and 00/100 cents per test through the life of the patent at issue, pre- and post-judgment interest, and other relief. In January and February 2025, the trial court entered orders denying the Company’s post-trial motions and the Company has filed an appeal. On March 18, 2025, the Company filed an appeal bond with the Court to stay enforcement of the judgment pending appeal. The Company strongly disagrees with the verdict, based on a number of legal factors, and will vigorously defend the lawsuit through the appeal process.</w:t>
      </w:r>
    </w:p>
    <w:p>
      <w:pPr>
        <w:spacing w:after="0" w:line="91" w:lineRule="exact"/>
        <w:rPr>
          <w:sz w:val="20"/>
          <w:szCs w:val="20"/>
          <w:color w:val="auto"/>
        </w:rPr>
      </w:pPr>
    </w:p>
    <w:p>
      <w:pPr>
        <w:jc w:val="both"/>
        <w:ind w:firstLine="283"/>
        <w:spacing w:after="0" w:line="284" w:lineRule="auto"/>
        <w:rPr>
          <w:sz w:val="20"/>
          <w:szCs w:val="20"/>
          <w:color w:val="auto"/>
        </w:rPr>
      </w:pPr>
      <w:r>
        <w:rPr>
          <w:rFonts w:ascii="Times New Roman" w:cs="Times New Roman" w:eastAsia="Times New Roman" w:hAnsi="Times New Roman"/>
          <w:sz w:val="18"/>
          <w:szCs w:val="18"/>
          <w:color w:val="auto"/>
        </w:rPr>
        <w:t xml:space="preserve">On May 14, 2020, the Company was served with a putative class action lawsuit, </w:t>
      </w:r>
      <w:r>
        <w:rPr>
          <w:rFonts w:ascii="Times New Roman" w:cs="Times New Roman" w:eastAsia="Times New Roman" w:hAnsi="Times New Roman"/>
          <w:sz w:val="18"/>
          <w:szCs w:val="18"/>
          <w:i w:val="1"/>
          <w:iCs w:val="1"/>
          <w:color w:val="auto"/>
        </w:rPr>
        <w:t>Jose Bermejo v. Laboratory Corporation of America (Bermejo I)</w:t>
      </w:r>
      <w:r>
        <w:rPr>
          <w:rFonts w:ascii="Times New Roman" w:cs="Times New Roman" w:eastAsia="Times New Roman" w:hAnsi="Times New Roman"/>
          <w:sz w:val="18"/>
          <w:szCs w:val="18"/>
          <w:color w:val="auto"/>
        </w:rPr>
        <w:t xml:space="preserve"> filed in the Superior Court of California, County of Los Angeles Central District, alleging that certain non-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w:t>
      </w:r>
    </w:p>
    <w:p>
      <w:pPr>
        <w:spacing w:after="0" w:line="9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8"/>
          <w:szCs w:val="18"/>
          <w:color w:val="auto"/>
        </w:rPr>
        <w:t xml:space="preserve">On June 15, 2020, the lawsuit was removed to the U.S. District Court for the Central District of California. On June 16, 2020, the Company was served with a Private Attorney General Act lawsuit by the same plaintiff in </w:t>
      </w:r>
      <w:r>
        <w:rPr>
          <w:rFonts w:ascii="Times New Roman" w:cs="Times New Roman" w:eastAsia="Times New Roman" w:hAnsi="Times New Roman"/>
          <w:sz w:val="18"/>
          <w:szCs w:val="18"/>
          <w:i w:val="1"/>
          <w:iCs w:val="1"/>
          <w:color w:val="auto"/>
        </w:rPr>
        <w:t>Jose Bermejo v. Laboratory Corporation of America (Bermejo II),</w:t>
      </w:r>
      <w:r>
        <w:rPr>
          <w:rFonts w:ascii="Times New Roman" w:cs="Times New Roman" w:eastAsia="Times New Roman" w:hAnsi="Times New Roman"/>
          <w:sz w:val="18"/>
          <w:szCs w:val="18"/>
          <w:color w:val="auto"/>
        </w:rPr>
        <w:t xml:space="preserve"> filed in the Superior Court of California, County of Los Angeles Central District, alleging that certain Company practices violated California Labor Code penalty provisions related to unpaid and minimum wages, unpaid overtime, unpaid meal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pending resolution of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The second lawsuit seeks to recover civil penalties and recovery of attorney’s fees and costs. On February 24, 2022, the parties entered into a Memorandum of Understanding of the terms of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The court granted preliminary approval of the parties’ settlement agreement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lawsuit on March 17, 2023, and of the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 on November 29, 2023. The settlement funds for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Bermejo II </w:t>
      </w:r>
      <w:r>
        <w:rPr>
          <w:rFonts w:ascii="Times New Roman" w:cs="Times New Roman" w:eastAsia="Times New Roman" w:hAnsi="Times New Roman"/>
          <w:sz w:val="18"/>
          <w:szCs w:val="18"/>
          <w:color w:val="auto"/>
        </w:rPr>
        <w:t>settlements have been transferred to a claims administrator for processing. Once the claims administration is completed, the parties will seek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settlement approval from the court.</w:t>
      </w:r>
    </w:p>
    <w:p>
      <w:pPr>
        <w:spacing w:after="0" w:line="9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On June 7, 2023, the Company was served with a putative class action lawsuit, </w:t>
      </w:r>
      <w:r>
        <w:rPr>
          <w:rFonts w:ascii="Times New Roman" w:cs="Times New Roman" w:eastAsia="Times New Roman" w:hAnsi="Times New Roman"/>
          <w:sz w:val="18"/>
          <w:szCs w:val="18"/>
          <w:i w:val="1"/>
          <w:iCs w:val="1"/>
          <w:color w:val="auto"/>
        </w:rPr>
        <w:t>Connie Howard, Yadira Yazmin Hernandez, and Deborah Reynolds,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 v. Laboratory Corporation of America, Laboratory Corporation of America Holdings, and Meta Platforms, Inc.</w:t>
      </w:r>
      <w:r>
        <w:rPr>
          <w:rFonts w:ascii="Times New Roman" w:cs="Times New Roman" w:eastAsia="Times New Roman" w:hAnsi="Times New Roman"/>
          <w:sz w:val="18"/>
          <w:szCs w:val="18"/>
          <w:color w:val="auto"/>
        </w:rPr>
        <w:t>, filed in the U.S. District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On October 11, 2023, the Company filed a Motion to Dismiss the Amended Complaint. On September 27, 2024, the Court denied the Motion to Dismiss the Amended Complaint. The Company will vigorously defend the lawsuit.</w:t>
      </w:r>
    </w:p>
    <w:p>
      <w:pPr>
        <w:spacing w:after="0" w:line="9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August 14, 2020, the Company was served with a Subpoena Duces Tecum issued by the State of Colorado Office of the Attorney General requiring the production of documents related to urine drug testing in all states. The Company has responded to this request.</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February 7, 2022, the Company was served with a Subpoena Duces Tecum issued by the DOJ in Camden, New Jersey requiring the production of documents related to non-invasive prenatal screening tests. The Company responded to the DOJ.</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 MEASUREMENTS AND DERIVATIVE INSTRUMENTS AND HEDGING ACTIVITIES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gridSpan w:val="7"/>
          </w:tcPr>
          <w:p>
            <w:pPr>
              <w:jc w:val="center"/>
              <w:ind w:right="47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w:t>
            </w: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Fair Value at</w:t>
            </w: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center"/>
              <w:ind w:right="5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Balance Sheets Classification</w:t>
            </w: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June 30, 2025</w:t>
            </w:r>
          </w:p>
        </w:tc>
        <w:tc>
          <w:tcPr>
            <w:tcW w:w="14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auto"/>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Accrued expenses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149"/>
        </w:trPr>
        <w:tc>
          <w:tcPr>
            <w:tcW w:w="428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other/Other liabilities</w:t>
            </w:r>
          </w:p>
        </w:tc>
        <w:tc>
          <w:tcPr>
            <w:tcW w:w="12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00"/>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gridSpan w:val="7"/>
          </w:tcPr>
          <w:p>
            <w:pPr>
              <w:jc w:val="center"/>
              <w:ind w:right="47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color w:val="auto"/>
              </w:rPr>
              <w:t>December 31, 2024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Condensed Consolidated</w:t>
            </w: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Fair Value at</w:t>
            </w: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center"/>
              <w:ind w:right="5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Balance Sheets Classification</w:t>
            </w:r>
          </w:p>
        </w:tc>
        <w:tc>
          <w:tcPr>
            <w:tcW w:w="120" w:type="dxa"/>
            <w:vAlign w:val="bottom"/>
          </w:tcPr>
          <w:p>
            <w:pPr>
              <w:spacing w:after="0"/>
              <w:rPr>
                <w:sz w:val="21"/>
                <w:szCs w:val="21"/>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December 31, 2024</w:t>
            </w:r>
          </w:p>
        </w:tc>
        <w:tc>
          <w:tcPr>
            <w:tcW w:w="14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49"/>
        </w:trPr>
        <w:tc>
          <w:tcPr>
            <w:tcW w:w="428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other/Other liabilities</w:t>
            </w:r>
          </w:p>
        </w:tc>
        <w:tc>
          <w:tcPr>
            <w:tcW w:w="12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Measurement of Level 3 Liabilities:</w:t>
            </w:r>
          </w:p>
        </w:tc>
        <w:tc>
          <w:tcPr>
            <w:tcW w:w="20" w:type="dxa"/>
            <w:vAlign w:val="bottom"/>
            <w:tcBorders>
              <w:bottom w:val="single" w:sz="8" w:color="CCEEFF"/>
            </w:tcBorders>
          </w:tcPr>
          <w:p>
            <w:pPr>
              <w:spacing w:after="0"/>
              <w:rPr>
                <w:sz w:val="24"/>
                <w:szCs w:val="24"/>
                <w:color w:val="auto"/>
              </w:rPr>
            </w:pPr>
          </w:p>
        </w:tc>
        <w:tc>
          <w:tcPr>
            <w:tcW w:w="2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44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color w:val="auto"/>
              </w:rPr>
              <w:t>Contingent Consideration</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Additions from business acquisitions</w:t>
            </w:r>
          </w:p>
        </w:tc>
        <w:tc>
          <w:tcPr>
            <w:tcW w:w="2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has a noncontrolling interest put option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derivative financial instruments have been determined based on market value equivalents at the balance sheet date, taking into account the current interest rate environment and therefore were classified as Level 2 measurements in the fair value hierarchy.</w:t>
      </w:r>
    </w:p>
    <w:p>
      <w:pPr>
        <w:spacing w:after="0" w:line="6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offers certain employees the opportunity to participate in an employee-funded deferred compensation plan (DCP). A participant’s deferrals are allocated by the participant to one or more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11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measured the fair value of contingent consideration liabilities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 result from changes in anticipated revenue levels and changes in assumed discount periods and rates. As the fair value measure is based on significant inputs that are not observable in the market, they are categorized as Level 3.</w:t>
      </w:r>
    </w:p>
    <w:p>
      <w:pPr>
        <w:spacing w:after="0" w:line="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Although recorded at amortized cost on the Company’s Condensed Consolidated Balance Sheets, the fair market value of the Company’s senior notes was $4,899.7 and $5,762.6 as of June 30, 2025, and December 31, 2024, respectively. The Company’s senior notes are considered Level 2 instruments, as the fair market values of these instruments are based on observable market pricing.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fixed-to-variable interest rate swap agreements for its 2.70% senior notes due 2031 with an aggregate notional amount of $500.0 and variable interest rates based initially on the three-month London Interbank Offered Rate and later changed to the Secured Overnight Financing Rate in 2023, plus 1.7060%.</w:t>
      </w:r>
    </w:p>
    <w:p>
      <w:pPr>
        <w:spacing w:after="0" w:line="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Interest rate swap agreements, which have been used by the Company from time to time in the management of interest rate exposure, are accounted for at fair value. These derivative financial instruments are accounted for as fair value hedges that increase or decrease the value of the Company’s senior notes with the offset being recorded as a component of other long-term assets or liabilities, as applicable. As the specific terms and notional amounts of the derivative financial instruments match those of the fixed-rate debt being hedged, the derivative instruments are assumed to be perfectly effective hedges and accordingly, there is no impact to the Company’s Condensed Consolidated Statements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 Currency Swaps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terminated its 2024 and 2025 USD to Swiss Franc cross currency swaps and entered into two new swaps, each with a notional value of $300.0 and maturity dates of 2031 and 2034, respectively.</w:t>
      </w:r>
    </w:p>
    <w:p>
      <w:pPr>
        <w:spacing w:after="0" w:line="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the Company entered into five new USD to Swiss Franc cross currency swaps, with an aggregate notional value of $600.0, of which $300.0 matures in 2029 and $300.0 matures in 2034.</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above instruments are designated as a hedge against the impact of foreign exchange movements on its net investment in a Swiss subsidiary. Changes in the fair value of the cross-currency swaps are charged or credited through Accumulated other comprehensive income in the Condensed Consolidated Balance Sheet until the hedged item is recognized in earnings. The cumulative amount of the fair value hedging adjustments is recognized as currency translation within the Condensed Consolidated Statement of Comprehensive Earnings.</w:t>
      </w:r>
    </w:p>
    <w:p>
      <w:pPr>
        <w:spacing w:after="0" w:line="8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regarding the location and amount of pretax (losses) gains of derivatives designated in fair value hedging relationships: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color w:val="auto"/>
              </w:rPr>
              <w:t>Amounts included in other comprehensive income</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37"/>
        </w:trPr>
        <w:tc>
          <w:tcPr>
            <w:tcW w:w="4200" w:type="dxa"/>
            <w:vAlign w:val="bottom"/>
          </w:tcPr>
          <w:p>
            <w:pPr>
              <w:spacing w:after="0"/>
              <w:rPr>
                <w:sz w:val="20"/>
                <w:szCs w:val="20"/>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9"/>
                <w:szCs w:val="19"/>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SUPPLEMENTAL CASH FLOW INFORMATION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4"/>
        </w:trPr>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29"/>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904"/>
        </w:trPr>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4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three and six months ended June 30, 2025 and 2024.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CODM uses segment operating income to evaluate segment performance and to allocate resources. This segment performance measure excludes the amortization of intangibles and other assets, restructuring and other charges, goodwill and other asset impairments, and certain corporate charges for items such as transaction costs, and other special items. Other operating expenses are comprised primarily of rent, maintenance, sendout testing, utilities, travel and entertainment, and other segment expenses, including shipping costs for Dx. Segment asset information is not presented because it is not used by the CODM.</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84"/>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Intercompany eliminations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1"/>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2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0"/>
                <w:szCs w:val="20"/>
                <w:color w:val="auto"/>
              </w:rPr>
            </w:pPr>
          </w:p>
        </w:tc>
        <w:tc>
          <w:tcPr>
            <w:tcW w:w="1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and other</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3,527.3</w:t>
            </w:r>
          </w:p>
        </w:tc>
      </w:t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75"/>
        </w:trPr>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Intercompany eliminations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24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and other</w:t>
            </w: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3,220.9</w:t>
            </w:r>
          </w:p>
        </w:tc>
      </w:t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75"/>
        </w:trPr>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Intercompany eliminations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1"/>
                <w:szCs w:val="21"/>
                <w:color w:val="auto"/>
              </w:rPr>
            </w:pPr>
          </w:p>
        </w:tc>
        <w:tc>
          <w:tcPr>
            <w:tcW w:w="15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and other</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3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6,872.4</w:t>
            </w:r>
          </w:p>
        </w:tc>
      </w:t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75"/>
        </w:trPr>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Intercompany eliminations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1"/>
                <w:szCs w:val="21"/>
                <w:color w:val="auto"/>
              </w:rPr>
            </w:pPr>
          </w:p>
        </w:tc>
        <w:tc>
          <w:tcPr>
            <w:tcW w:w="15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and other</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3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6,397.5</w:t>
            </w:r>
          </w:p>
        </w:tc>
      </w:t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w:t>
            </w:r>
          </w:p>
        </w:tc>
      </w:tr>
      <w:tr>
        <w:trPr>
          <w:trHeight w:val="20"/>
        </w:trPr>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1220"/>
        <w:spacing w:after="0" w:line="399"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firstLine="283"/>
        <w:spacing w:after="0" w:line="246" w:lineRule="auto"/>
        <w:rPr>
          <w:sz w:val="20"/>
          <w:szCs w:val="20"/>
          <w:color w:val="auto"/>
        </w:rPr>
      </w:pPr>
      <w:r>
        <w:rPr>
          <w:rFonts w:ascii="Times New Roman" w:cs="Times New Roman" w:eastAsia="Times New Roman" w:hAnsi="Times New Roman"/>
          <w:sz w:val="18"/>
          <w:szCs w:val="18"/>
          <w:color w:val="auto"/>
        </w:rPr>
        <w:t>In this Quarterly Report on Form 10-Q (Quarterly Report), 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Inc. together with its subsidiaries (Labcorp or the Company) has made,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“Risk Factors” section of the Annual Report on Form 10-K, and in the Company’s other public filings, press releases, and discussions with Company management, including:</w:t>
      </w:r>
    </w:p>
    <w:p>
      <w:pPr>
        <w:spacing w:after="0" w:line="199" w:lineRule="exact"/>
        <w:rPr>
          <w:sz w:val="20"/>
          <w:szCs w:val="20"/>
          <w:color w:val="auto"/>
        </w:rPr>
      </w:pPr>
    </w:p>
    <w:p>
      <w:pPr>
        <w:jc w:val="both"/>
        <w:ind w:left="660" w:hanging="571"/>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United States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applicable licensing laws or regulations regarding the operation of clinical laboratories, the development and commercialization of laboratory-developed tests (LDTs), and the delivery of clinical laboratory test results, including, but not limited to, the U.S. Clinical Laboratory Improvement Act of 1967, the U.S. Clinical Laboratory Improvement Amendments of 1988, the European Union In Vitro Diagnostics Regulation, and similar laws and regulations in jurisdictions in which the Company conducts business;</w:t>
      </w:r>
    </w:p>
    <w:p>
      <w:pPr>
        <w:spacing w:after="0" w:line="75"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67" w:lineRule="exact"/>
        <w:rPr>
          <w:rFonts w:ascii="Times New Roman" w:cs="Times New Roman" w:eastAsia="Times New Roman" w:hAnsi="Times New Roman"/>
          <w:sz w:val="18"/>
          <w:szCs w:val="18"/>
          <w:color w:val="auto"/>
        </w:rPr>
      </w:pPr>
    </w:p>
    <w:p>
      <w:pPr>
        <w:ind w:left="660" w:hanging="57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development, validation, approval, clearance, commercialization, or utilization of laboratory tests;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failure to comply with the applicable regulations of pharmaceutical and medical device regulators affecting the approval, availability of, and the selling and marketing of diagnostic tests, including LDTs, drug development, or the conduct of drug development and medical device and diagnostic studies and trials, including regulations and policies of the U.S. Food and Drug Administration, the U.S. Department of Agriculture, the Medicine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and Healthcare products Regulatory Agency in the United Kingdom, the National Medical Products Administration in China, the Pharmaceutical and Medical Devices Agency in Japan, the European Union, the European Medicines Agency, and similar regulations and policies of agencies in other jurisdictions in which the Company conducts business;</w:t>
      </w:r>
    </w:p>
    <w:p>
      <w:pPr>
        <w:spacing w:after="0" w:line="68" w:lineRule="exact"/>
        <w:rPr>
          <w:sz w:val="20"/>
          <w:szCs w:val="20"/>
          <w:color w:val="auto"/>
        </w:rPr>
      </w:pPr>
    </w:p>
    <w:p>
      <w:pPr>
        <w:jc w:val="both"/>
        <w:ind w:left="660" w:hanging="571"/>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67" w:lineRule="exact"/>
        <w:rPr>
          <w:rFonts w:ascii="Times New Roman" w:cs="Times New Roman" w:eastAsia="Times New Roman" w:hAnsi="Times New Roman"/>
          <w:sz w:val="18"/>
          <w:szCs w:val="18"/>
          <w:color w:val="auto"/>
        </w:rPr>
      </w:pPr>
    </w:p>
    <w:p>
      <w:pPr>
        <w:ind w:left="640" w:hanging="55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117" w:lineRule="exact"/>
        <w:rPr>
          <w:rFonts w:ascii="Times New Roman" w:cs="Times New Roman" w:eastAsia="Times New Roman" w:hAnsi="Times New Roman"/>
          <w:sz w:val="18"/>
          <w:szCs w:val="18"/>
          <w:color w:val="auto"/>
        </w:rPr>
      </w:pPr>
    </w:p>
    <w:p>
      <w:pPr>
        <w:jc w:val="both"/>
        <w:ind w:left="660" w:right="20" w:hanging="571"/>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5"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business from managed care organizations (MCOs) as a result of changes in business models, including risk based or network approaches, out-sourced laboratory network management or utilization management companies, or other changes in strategy or business models by MCOs;</w:t>
      </w:r>
    </w:p>
    <w:p>
      <w:pPr>
        <w:spacing w:after="0" w:line="6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invest in or effectively develop and deploy new systems, system modifications or enhancements required in response to evolving market, business, and customer trends and needs;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 acquired businesses, including due to items not discovered in the due diligence process, and the impact on the Company’s cash position, levels of indebtedness, and stock price;</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 including large contracts and multiple contracts;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and other services or other contractual arrangements;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loss of business, or other harm from acts of animal rights activists or potential harm and/or liability arising from animal research activities;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retain, and develop experienced and qualified personnel or the loss of significant personnel as a result of illness, increased competition for talent, wage growth, or other market factors beyond the Company’s control;</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53" w:lineRule="exact"/>
        <w:rPr>
          <w:rFonts w:ascii="Times New Roman" w:cs="Times New Roman" w:eastAsia="Times New Roman" w:hAnsi="Times New Roman"/>
          <w:sz w:val="18"/>
          <w:szCs w:val="18"/>
          <w:color w:val="auto"/>
        </w:rPr>
      </w:pPr>
    </w:p>
    <w:p>
      <w:pPr>
        <w:ind w:left="660" w:right="2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offerings and defend against challenges to those rights;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offerings or operate its business;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geopolitical crises, including terrorism and war; public health crises and disease epidemics and pandemics, including, but not limited to the continued impact of COVID-19; and other events beyond the Company’s control;</w:t>
      </w:r>
    </w:p>
    <w:p>
      <w:pPr>
        <w:spacing w:after="0" w:line="71"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products used in the performance of testing;</w:t>
      </w:r>
    </w:p>
    <w:p>
      <w:pPr>
        <w:spacing w:after="0" w:line="117" w:lineRule="exact"/>
        <w:rPr>
          <w:rFonts w:ascii="Times New Roman" w:cs="Times New Roman" w:eastAsia="Times New Roman" w:hAnsi="Times New Roman"/>
          <w:sz w:val="18"/>
          <w:szCs w:val="18"/>
          <w:color w:val="auto"/>
        </w:rPr>
      </w:pPr>
    </w:p>
    <w:p>
      <w:pPr>
        <w:jc w:val="both"/>
        <w:ind w:left="660" w:hanging="571"/>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Company’s information technology systems, including with respect to testing turnaround time and billing processes, the failure of the Company or its third-party suppliers and vendors to maintain the security of business information or systems or to protect against cybersecurity incidents such as denial of service attacks, malware, ransomware, and computer viruses, delays or failures in the development and implementation of the Company’s automation platforms, or adverse effects from the use of or regulation of artificial intelligence (AI) and machine learning tools, any of which could result in a negative effect on the Company’s performance of services, a loss of business or increased costs, delays in cash collections,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80"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6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the U.K. Bribery Act, other applicable anti-corruption laws and regulations, trade sanction laws and regulations, and economic, political, legal, and other operational risks associated with foreign jurisdictions;</w:t>
      </w:r>
    </w:p>
    <w:p>
      <w:pPr>
        <w:spacing w:after="0" w:line="6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benefits, and savings in connection with the Company’s business process improvement initiatives;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 and government and regulatory changes; and</w:t>
      </w:r>
    </w:p>
    <w:p>
      <w:pPr>
        <w:spacing w:after="0" w:line="117"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impacts and expected benefits and costs of the completed spin-off of the Company’s former clinical development and commercialization services business (Spin-off) Fortrea Holdings Inc. (Fortrea), including but not limited to factors that could adversely affect the Company’s ability to realize the expected benefits of the Spin-off or the failure of the Spin-off to qualify as a tax-free transaction for U.S. federal income tax purposes.</w:t>
      </w:r>
    </w:p>
    <w:p>
      <w:pPr>
        <w:spacing w:after="0" w:line="7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(dollars in millions)</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the Company’s revenues were $3,527.3, an increase of 9.5% from $3,220.9 for the corresponding period in 2024. The 9.5% increase for the three months ended June 30, 2025, as compared to the corresponding period in 2024 was due to organic revenue of 5.4%, acquisitions, net of divestitures, of 3.5%, and favorable foreign currency translation of 0.6%.</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Company’s revenues were $6,872.4, an increase of 7.4% from $6,397.5 for the corresponding period in 2024. The 7.4% increase for the six months ended June 30, 2025, as compared to the corresponding period in 2024 was due to organic revenue of 3.7%, acquisitions, net of divestitures, of 3.6%, and favorable foreign currency translation of 0.1%.</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defines organic growth as the change in revenue excluding the year-over-year impact of acquisitions, divestitures, and currency.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divestiture impact is considered for a 12-month period following the closing of each transaction.</w:t>
      </w:r>
    </w:p>
    <w:p>
      <w:pPr>
        <w:spacing w:after="0" w:line="11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June 30, 2023, the Company completed the Spin-off. The Transition Services Agreement (TSA) dated June 29, 2023 between Fortrea and Laboratory Corporation of America Holdings (LCAH) expired on June 30, 2025 and all services provided under the TSA terminated on or before the expiration date.</w:t>
      </w:r>
    </w:p>
    <w:p>
      <w:pPr>
        <w:spacing w:after="0" w:line="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July 4, 2025, the U.S. government enacted in law the One Big Beautiful Bill Act (OBBBA), which includes provisions addressing regulations and federal funding affecting healthcare. These provisions include, but are not limited to, changes to Medicaid and the Affordable Care Act and could lead to revised regulatory requirements and reduced federal funding. The provisions of the OBBBA have different implementation timelines, with some effective in 2025 and others in succeeding years. The Company is currently evaluating the impact of the OBBBA provisions that address such regulations and federal funding to determine the full scope of the legislation’s potential impact on the Company’s business and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(dollars in millions)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212529"/>
        </w:rPr>
        <w:t>The following tables present the financial measures that management considers to be the most significant indicators of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performance.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74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33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6"/>
        </w:trPr>
        <w:tc>
          <w:tcPr>
            <w:tcW w:w="740" w:type="dxa"/>
            <w:vAlign w:val="bottom"/>
            <w:tcBorders>
              <w:bottom w:val="single" w:sz="8" w:color="CCEEFF"/>
            </w:tcBorders>
          </w:tcPr>
          <w:p>
            <w:pPr>
              <w:spacing w:after="0"/>
              <w:rPr>
                <w:sz w:val="20"/>
                <w:szCs w:val="20"/>
                <w:color w:val="auto"/>
              </w:rPr>
            </w:pPr>
          </w:p>
        </w:tc>
        <w:tc>
          <w:tcPr>
            <w:tcW w:w="54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2,748.8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3,527.3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7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Dx revenues for the three months ended June 30, 2025 were $2,748.8, an increase of 8.9% over $2,524.9 in the second quarter of 2024. The increase was due to organic revenue of 4.5% and acquisitions, net of divestitures, of 4.5%, partially offset by unfavorable foreign currency translation of 0.1%.</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Dx total volume, measured by requisitions, increased by 4.9% as organic volume increased by 3.4% and acquisition volume, net of divestitures, contributed 1.5%. Price/mix increased by 4.0% due to acquisitions, net of divestitures, of 3.0% and organic growth of 1.1%, partially offset by unfavorable foreign currency translation of 0.1%.</w:t>
      </w:r>
    </w:p>
    <w:p>
      <w:pPr>
        <w:spacing w:after="0" w:line="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BLS revenues for the three months ended June 30, 2025, were $784.8, an increase of 11.0% over $707.0 in the second quarter of 2024. The increase was due to organic growth of 7.8% and favorable foreign currency translation of 3.2%.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4"/>
        </w:trPr>
        <w:tc>
          <w:tcPr>
            <w:tcW w:w="132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540" w:type="dxa"/>
            <w:vAlign w:val="bottom"/>
          </w:tcPr>
          <w:p>
            <w:pPr>
              <w:spacing w:after="0"/>
              <w:rPr>
                <w:sz w:val="24"/>
                <w:szCs w:val="24"/>
                <w:color w:val="auto"/>
              </w:rPr>
            </w:pPr>
          </w:p>
        </w:tc>
      </w:tr>
      <w:tr>
        <w:trPr>
          <w:trHeight w:val="237"/>
        </w:trPr>
        <w:tc>
          <w:tcPr>
            <w:tcW w:w="1320" w:type="dxa"/>
            <w:vAlign w:val="bottom"/>
            <w:tcBorders>
              <w:bottom w:val="single" w:sz="8" w:color="CCEEFF"/>
            </w:tcBorders>
          </w:tcPr>
          <w:p>
            <w:pPr>
              <w:spacing w:after="0"/>
              <w:rPr>
                <w:sz w:val="20"/>
                <w:szCs w:val="20"/>
                <w:color w:val="auto"/>
              </w:rPr>
            </w:pPr>
          </w:p>
        </w:tc>
        <w:tc>
          <w:tcPr>
            <w:tcW w:w="468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2,294.5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Cost of revenues increased 8.1% during the three months ended June 30, 2025, as compared with the corresponding period in 2024. Cost of revenues as a percentage of revenues during the three months ended June 30, 2025, decreased to 70.3% as compared to 71.2% in the corresponding period in 2024. This decrease was primarily due to increased demand as the Company leveraged the growth of its revenues.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418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71"/>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18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18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579.3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557.8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4"/>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were 16.4% and 17.3% during the three months ended June 30, 2025, and 2024, respectively. The decrease was primarily due to increased demand as the Company leveraged the growth of its revenues and a decrease in costs related to the Spin-off of Fortrea, partially offset by higher personnel costs and the impact from Invitae.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3500" w:type="dxa"/>
            <w:vAlign w:val="bottom"/>
            <w:tcBorders>
              <w:top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560" w:type="dxa"/>
            <w:vAlign w:val="bottom"/>
          </w:tcPr>
          <w:p>
            <w:pPr>
              <w:spacing w:after="0"/>
              <w:rPr>
                <w:sz w:val="24"/>
                <w:szCs w:val="24"/>
                <w:color w:val="auto"/>
              </w:rPr>
            </w:pPr>
          </w:p>
        </w:tc>
      </w:tr>
      <w:tr>
        <w:trPr>
          <w:trHeight w:val="237"/>
        </w:trPr>
        <w:tc>
          <w:tcPr>
            <w:tcW w:w="350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bl>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June 30,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26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560" w:type="dxa"/>
            <w:vAlign w:val="bottom"/>
          </w:tcPr>
          <w:p>
            <w:pPr>
              <w:spacing w:after="0"/>
              <w:rPr>
                <w:sz w:val="24"/>
                <w:szCs w:val="24"/>
                <w:color w:val="auto"/>
              </w:rPr>
            </w:pPr>
          </w:p>
        </w:tc>
      </w:tr>
      <w:tr>
        <w:trPr>
          <w:trHeight w:val="237"/>
        </w:trPr>
        <w:tc>
          <w:tcPr>
            <w:tcW w:w="2620" w:type="dxa"/>
            <w:vAlign w:val="bottom"/>
            <w:tcBorders>
              <w:bottom w:val="single" w:sz="8" w:color="CCEEFF"/>
            </w:tcBorders>
          </w:tcPr>
          <w:p>
            <w:pPr>
              <w:spacing w:after="0"/>
              <w:rPr>
                <w:sz w:val="20"/>
                <w:szCs w:val="20"/>
                <w:color w:val="auto"/>
              </w:rPr>
            </w:pPr>
          </w:p>
        </w:tc>
        <w:tc>
          <w:tcPr>
            <w:tcW w:w="36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bl>
    <w:p>
      <w:pPr>
        <w:spacing w:after="0" w:line="19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Company recorded net restructuring and other charges of $4.1. The charges were comprised of $15.1 in contract termination costs, $9.4 related to severance and other personnel costs, and $7.3 in facility-related costs. The charges were adjusted by the reversal of a previously established liability of $26.4 in unused facility-related costs and $1.3 in unused severance-related costs.</w:t>
      </w:r>
    </w:p>
    <w:p>
      <w:pPr>
        <w:spacing w:after="0" w:line="9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Company recorded net restructuring and other charges of $11.6. The charges were comprised of $9.2 related to severance and other personnel costs and $2.7 in facility-related costs. The charges were adjusted by the reversal of a previously established liability of $0.3 in unused facility-related costs.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1280" w:type="dxa"/>
            <w:vAlign w:val="bottom"/>
            <w:tcBorders>
              <w:top w:val="single" w:sz="8" w:color="auto"/>
            </w:tcBorders>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560" w:type="dxa"/>
            <w:vAlign w:val="bottom"/>
          </w:tcPr>
          <w:p>
            <w:pPr>
              <w:spacing w:after="0"/>
              <w:rPr>
                <w:sz w:val="24"/>
                <w:szCs w:val="24"/>
                <w:color w:val="auto"/>
              </w:rPr>
            </w:pPr>
          </w:p>
        </w:tc>
      </w:tr>
      <w:tr>
        <w:trPr>
          <w:trHeight w:val="237"/>
        </w:trPr>
        <w:tc>
          <w:tcPr>
            <w:tcW w:w="1280" w:type="dxa"/>
            <w:vAlign w:val="bottom"/>
            <w:tcBorders>
              <w:bottom w:val="single" w:sz="8" w:color="CCEEFF"/>
            </w:tcBorders>
          </w:tcPr>
          <w:p>
            <w:pPr>
              <w:spacing w:after="0"/>
              <w:rPr>
                <w:sz w:val="20"/>
                <w:szCs w:val="20"/>
                <w:color w:val="auto"/>
              </w:rPr>
            </w:pPr>
          </w:p>
        </w:tc>
        <w:tc>
          <w:tcPr>
            <w:tcW w:w="494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bl>
    <w:p>
      <w:pPr>
        <w:spacing w:after="0" w:line="130"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interest expense increased 20.0% as compared with the corresponding period in 2024. The increase was primarily due to a higher average amount of total debt outstanding during the three months ended June 30, 2025, when compared to the three months ended June 30,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Loss, Net</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06"/>
        </w:trPr>
        <w:tc>
          <w:tcPr>
            <w:tcW w:w="19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560" w:type="dxa"/>
            <w:vAlign w:val="bottom"/>
          </w:tcPr>
          <w:p>
            <w:pPr>
              <w:spacing w:after="0"/>
              <w:rPr>
                <w:sz w:val="24"/>
                <w:szCs w:val="24"/>
                <w:color w:val="auto"/>
              </w:rPr>
            </w:pPr>
          </w:p>
        </w:tc>
      </w:tr>
      <w:tr>
        <w:trPr>
          <w:trHeight w:val="236"/>
        </w:trPr>
        <w:tc>
          <w:tcPr>
            <w:tcW w:w="1920" w:type="dxa"/>
            <w:vAlign w:val="bottom"/>
            <w:tcBorders>
              <w:bottom w:val="single" w:sz="8" w:color="CCEEFF"/>
            </w:tcBorders>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r>
    </w:tbl>
    <w:p>
      <w:pPr>
        <w:spacing w:after="0" w:line="130"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Equity method loss, net represents the Company’s ownership share in joint venture partnerships along with equity investments in other companies in the healthcare industry. The increase in equity method loss for the three months ended June 30, 2025, as compared with the corresponding period in 2024, was due to incremental losses from investments.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Other, Net</w:t>
            </w:r>
          </w:p>
        </w:tc>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8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560" w:type="dxa"/>
            <w:vAlign w:val="bottom"/>
          </w:tcPr>
          <w:p>
            <w:pPr>
              <w:spacing w:after="0"/>
              <w:rPr>
                <w:sz w:val="24"/>
                <w:szCs w:val="24"/>
                <w:color w:val="auto"/>
              </w:rPr>
            </w:pPr>
          </w:p>
        </w:tc>
      </w:tr>
      <w:tr>
        <w:trPr>
          <w:trHeight w:val="236"/>
        </w:trPr>
        <w:tc>
          <w:tcPr>
            <w:tcW w:w="820" w:type="dxa"/>
            <w:vAlign w:val="bottom"/>
            <w:tcBorders>
              <w:bottom w:val="single" w:sz="8" w:color="CCEEFF"/>
            </w:tcBorders>
          </w:tcPr>
          <w:p>
            <w:pPr>
              <w:spacing w:after="0"/>
              <w:rPr>
                <w:sz w:val="20"/>
                <w:szCs w:val="20"/>
                <w:color w:val="auto"/>
              </w:rPr>
            </w:pPr>
          </w:p>
        </w:tc>
        <w:tc>
          <w:tcPr>
            <w:tcW w:w="54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54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r>
    </w:tbl>
    <w:p>
      <w:pPr>
        <w:spacing w:after="0" w:line="130" w:lineRule="exact"/>
        <w:rPr>
          <w:sz w:val="20"/>
          <w:szCs w:val="20"/>
          <w:color w:val="auto"/>
        </w:rPr>
      </w:pPr>
    </w:p>
    <w:p>
      <w:pPr>
        <w:jc w:val="both"/>
        <w:ind w:firstLine="314"/>
        <w:spacing w:after="0" w:line="258" w:lineRule="auto"/>
        <w:rPr>
          <w:sz w:val="20"/>
          <w:szCs w:val="20"/>
          <w:color w:val="auto"/>
        </w:rPr>
      </w:pPr>
      <w:r>
        <w:rPr>
          <w:rFonts w:ascii="Times New Roman" w:cs="Times New Roman" w:eastAsia="Times New Roman" w:hAnsi="Times New Roman"/>
          <w:sz w:val="18"/>
          <w:szCs w:val="18"/>
          <w:color w:val="auto"/>
        </w:rPr>
        <w:t>The change in Other, net for the three months ended June 30, 2025, as compared to the three months ended June 30, 2024, is primarily due to investment losses of $31.3 recorded during the three months ended June 30, 2025, compared to investment losses of $1.5 for the corresponding period of 2024. In addition, there was a $22.4 decrease of transition services fees charged to Fortrea for the three months ended June 30, 2025, as compared with the corresponding period in 2024, related to administrative and information technology systems support. The costs to provide these transition services are included in operating income, but the service fees are included in other income.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418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71"/>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18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18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4"/>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Provision for income taxes as a % of earnings before taxes</w:t>
            </w:r>
          </w:p>
        </w:tc>
        <w:tc>
          <w:tcPr>
            <w:tcW w:w="1120" w:type="dxa"/>
            <w:vAlign w:val="bottom"/>
          </w:tcPr>
          <w:p>
            <w:pPr>
              <w:spacing w:after="0"/>
              <w:rPr>
                <w:sz w:val="20"/>
                <w:szCs w:val="20"/>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for the three months ended June 30, 2025, as compared to the three months ended June 30, 2024, was primarily attributable to incremental tax benefits on the vesting of employee stock plan awards and the recognition of previously reserved uncertain tax benefits.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19"/>
        </w:trPr>
        <w:tc>
          <w:tcPr>
            <w:tcW w:w="234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540" w:type="dxa"/>
            <w:vAlign w:val="bottom"/>
          </w:tcPr>
          <w:p>
            <w:pPr>
              <w:spacing w:after="0"/>
              <w:rPr>
                <w:sz w:val="24"/>
                <w:szCs w:val="24"/>
                <w:color w:val="auto"/>
              </w:rPr>
            </w:pPr>
          </w:p>
        </w:tc>
      </w:tr>
      <w:tr>
        <w:trPr>
          <w:trHeight w:val="236"/>
        </w:trPr>
        <w:tc>
          <w:tcPr>
            <w:tcW w:w="2340" w:type="dxa"/>
            <w:vAlign w:val="bottom"/>
            <w:tcBorders>
              <w:bottom w:val="single" w:sz="8" w:color="CCEEFF"/>
            </w:tcBorders>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17.6 %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29"/>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15.7 %</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15.2 %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6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0"/>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Dx operating income was $482.8 for the three months ended June 30, 2025, an increase of $41.3 over operating income of $441.5 in the corresponding period of 2024, and Dx operating margin increased 10 basis points year-over-year. The increase in operating margin was primarily due to an increase in organic demand, partially offset by the impact of Invitae.</w:t>
      </w:r>
    </w:p>
    <w:p>
      <w:pPr>
        <w:spacing w:after="0" w:line="9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BLS operating income was $123.3 for the three months ended June 30, 2025, an increase of $15.9 over operating income of $107.4 in the corresponding period of 2024, and BLS operating margin increased 50 basis points year-over-year. The increase was primarily due to an increase in organic demand and operating efficiencies.</w:t>
      </w:r>
    </w:p>
    <w:p>
      <w:pPr>
        <w:spacing w:after="0" w:line="8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General corporate and unallocated expenses are comprised primarily of administrative services such as executive management, human resources, legal, finance, corporate affairs, and information technology. General corporate and unallocated expenses were $139.2 for the three months ended June 30, 2025, a decrease of $41.1 compared to corporate expenses of $180.3 in the corresponding period of 2024, primarily due to costs related to the Spin-off of Fortrea that were incurred during the three months ended June 30, 2024, but did not reoccur in the corresponding period of 2025.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19"/>
        </w:trPr>
        <w:tc>
          <w:tcPr>
            <w:tcW w:w="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5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9"/>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Dx</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5,378.4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5,004.6</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4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1,506.1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1,417.9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23"/>
        </w:trPr>
        <w:tc>
          <w:tcPr>
            <w:tcW w:w="4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6,872.4</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6,397.5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Dx revenues for the six months ended June 30, 2025, were $5,378.4, an increase of 7.5% over $5,004.6 during the six months ended June 30, 2024. The increase was due to acquisitions, net of divestitures, of 4.7% and organic revenue of 3.0%, partially offset by unfavorable foreign currency translation of 0.2%.</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Dx total volume, measured by requisitions, increased by 4.0% as organic volume increased by 2.2% and acquisition volume, net of divestitures, contributed 1.8%. Price/mix increased by 3.5% due to acquisitions, net of divestitures, of 2.8% and organic growth of 0.9%, partially offset by unfavorable foreign currency translation of 0.2%.</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BLS revenues for the six months ended June 30, 2025, were $1,506.1, an increase of 6.2% over $1,417.9 during the six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due to organic growth of 5.2% and favorable foreign currency translation of 1.0%.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4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71"/>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13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540" w:type="dxa"/>
            <w:vAlign w:val="bottom"/>
          </w:tcPr>
          <w:p>
            <w:pPr>
              <w:spacing w:after="0"/>
              <w:rPr>
                <w:sz w:val="24"/>
                <w:szCs w:val="24"/>
                <w:color w:val="auto"/>
              </w:rPr>
            </w:pPr>
          </w:p>
        </w:tc>
      </w:tr>
      <w:tr>
        <w:trPr>
          <w:trHeight w:val="237"/>
        </w:trPr>
        <w:tc>
          <w:tcPr>
            <w:tcW w:w="13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412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0"/>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4,878.2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4,573.8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4"/>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Cost of revenues increased 6.7% during the six months ended June 30, 2025, as compared with the corresponding period in 2024. Cost of revenues as a percentage of revenues during the six months ended June 30, 2025, decreased to 71.0% as compared to 71.5% in the corresponding period in 2024. This decrease was primarily due to increased demand as the Company leveraged the growth of its revenues.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4"/>
        </w:trPr>
        <w:tc>
          <w:tcPr>
            <w:tcW w:w="35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540" w:type="dxa"/>
            <w:vAlign w:val="bottom"/>
          </w:tcPr>
          <w:p>
            <w:pPr>
              <w:spacing w:after="0"/>
              <w:rPr>
                <w:sz w:val="24"/>
                <w:szCs w:val="24"/>
                <w:color w:val="auto"/>
              </w:rPr>
            </w:pPr>
          </w:p>
        </w:tc>
      </w:tr>
      <w:tr>
        <w:trPr>
          <w:trHeight w:val="237"/>
        </w:trPr>
        <w:tc>
          <w:tcPr>
            <w:tcW w:w="3580" w:type="dxa"/>
            <w:vAlign w:val="bottom"/>
            <w:tcBorders>
              <w:bottom w:val="single" w:sz="8" w:color="CCEEFF"/>
            </w:tcBorders>
          </w:tcPr>
          <w:p>
            <w:pPr>
              <w:spacing w:after="0"/>
              <w:rPr>
                <w:sz w:val="20"/>
                <w:szCs w:val="20"/>
                <w:color w:val="auto"/>
              </w:rPr>
            </w:pPr>
          </w:p>
        </w:tc>
        <w:tc>
          <w:tcPr>
            <w:tcW w:w="238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9"/>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1,066.2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4"/>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were 16.4% and 16.7% during the six months ended June 30, 2025, and 2024, respectively. The decrease was primarily due to increased demand as the Company leveraged the growth of its revenues and a decrease in costs related to the Spin-off of Fortrea, partially offset by higher personnel costs and the impact from Invitae.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350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560" w:type="dxa"/>
            <w:vAlign w:val="bottom"/>
          </w:tcPr>
          <w:p>
            <w:pPr>
              <w:spacing w:after="0"/>
              <w:rPr>
                <w:sz w:val="24"/>
                <w:szCs w:val="24"/>
                <w:color w:val="auto"/>
              </w:rPr>
            </w:pPr>
          </w:p>
        </w:tc>
      </w:tr>
      <w:tr>
        <w:trPr>
          <w:trHeight w:val="237"/>
        </w:trPr>
        <w:tc>
          <w:tcPr>
            <w:tcW w:w="3500" w:type="dxa"/>
            <w:vAlign w:val="bottom"/>
            <w:tcBorders>
              <w:bottom w:val="single" w:sz="8" w:color="CCEEFF"/>
            </w:tcBorders>
          </w:tcPr>
          <w:p>
            <w:pPr>
              <w:spacing w:after="0"/>
              <w:rPr>
                <w:sz w:val="20"/>
                <w:szCs w:val="20"/>
                <w:color w:val="auto"/>
              </w:rPr>
            </w:pPr>
          </w:p>
        </w:tc>
        <w:tc>
          <w:tcPr>
            <w:tcW w:w="26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9"/>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bl>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June 30,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9"/>
        </w:trPr>
        <w:tc>
          <w:tcPr>
            <w:tcW w:w="304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560" w:type="dxa"/>
            <w:vAlign w:val="bottom"/>
          </w:tcPr>
          <w:p>
            <w:pPr>
              <w:spacing w:after="0"/>
              <w:rPr>
                <w:sz w:val="24"/>
                <w:szCs w:val="24"/>
                <w:color w:val="auto"/>
              </w:rPr>
            </w:pPr>
          </w:p>
        </w:tc>
      </w:tr>
      <w:tr>
        <w:trPr>
          <w:trHeight w:val="236"/>
        </w:trPr>
        <w:tc>
          <w:tcPr>
            <w:tcW w:w="3040" w:type="dxa"/>
            <w:vAlign w:val="bottom"/>
            <w:tcBorders>
              <w:bottom w:val="single" w:sz="8" w:color="CCEEFF"/>
            </w:tcBorders>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impairment charges for the six months ended June 30, 2024, were primarily due to the decommissioning of a robotic asset.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4"/>
        </w:trPr>
        <w:tc>
          <w:tcPr>
            <w:tcW w:w="262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40" w:type="dxa"/>
            <w:vAlign w:val="bottom"/>
          </w:tcPr>
          <w:p>
            <w:pPr>
              <w:spacing w:after="0"/>
              <w:rPr>
                <w:sz w:val="24"/>
                <w:szCs w:val="24"/>
                <w:color w:val="auto"/>
              </w:rPr>
            </w:pPr>
          </w:p>
        </w:tc>
      </w:tr>
      <w:tr>
        <w:trPr>
          <w:trHeight w:val="237"/>
        </w:trPr>
        <w:tc>
          <w:tcPr>
            <w:tcW w:w="2620" w:type="dxa"/>
            <w:vAlign w:val="bottom"/>
            <w:tcBorders>
              <w:bottom w:val="single" w:sz="8" w:color="CCEEFF"/>
            </w:tcBorders>
          </w:tcPr>
          <w:p>
            <w:pPr>
              <w:spacing w:after="0"/>
              <w:rPr>
                <w:sz w:val="20"/>
                <w:szCs w:val="20"/>
                <w:color w:val="auto"/>
              </w:rPr>
            </w:pPr>
          </w:p>
        </w:tc>
        <w:tc>
          <w:tcPr>
            <w:tcW w:w="36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(37.6)%</w:t>
            </w:r>
          </w:p>
        </w:tc>
      </w:tr>
    </w:tbl>
    <w:p>
      <w:pPr>
        <w:spacing w:after="0" w:line="184"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recorded net restructuring and other charges of $10.5. The charges were comprised of $17.0 related to severance and other personnel costs, $15.1 in contract termination costs, and $7.3 in facility-related costs. The charges were adjusted by the reversal of a previously established liability of $27.5 in unused facility-related costs and $1.4 in unused severance-related costs.</w:t>
      </w:r>
    </w:p>
    <w:p>
      <w:pPr>
        <w:spacing w:after="0" w:line="81"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recorded net restructuring and other charges of $16.6. The charges were comprised of $15.1 related to severance and other personnel costs and $1.8 in facility-related costs. The charges were adjusted by the reversal of a previously established liability of $0.3 in unused facility-related costs.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128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560" w:type="dxa"/>
            <w:vAlign w:val="bottom"/>
          </w:tcPr>
          <w:p>
            <w:pPr>
              <w:spacing w:after="0"/>
              <w:rPr>
                <w:sz w:val="24"/>
                <w:szCs w:val="24"/>
                <w:color w:val="auto"/>
              </w:rPr>
            </w:pPr>
          </w:p>
        </w:tc>
      </w:tr>
      <w:tr>
        <w:trPr>
          <w:trHeight w:val="237"/>
        </w:trPr>
        <w:tc>
          <w:tcPr>
            <w:tcW w:w="128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9"/>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r>
    </w:tbl>
    <w:p>
      <w:pPr>
        <w:spacing w:after="0" w:line="130"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interest expense increased 19.8% as compared with the corresponding period in 2024. The increase was primarily due to a higher average amount of total debt outstanding during the six months ended June 30, 2025, when compared to the six months ended June 30, 2024.</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434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71"/>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Method Loss, Net</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4"/>
        </w:trPr>
        <w:tc>
          <w:tcPr>
            <w:tcW w:w="1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560" w:type="dxa"/>
            <w:vAlign w:val="bottom"/>
          </w:tcPr>
          <w:p>
            <w:pPr>
              <w:spacing w:after="0"/>
              <w:rPr>
                <w:sz w:val="24"/>
                <w:szCs w:val="24"/>
                <w:color w:val="auto"/>
              </w:rPr>
            </w:pPr>
          </w:p>
        </w:tc>
      </w:tr>
      <w:tr>
        <w:trPr>
          <w:trHeight w:val="237"/>
        </w:trPr>
        <w:tc>
          <w:tcPr>
            <w:tcW w:w="18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0"/>
        </w:trPr>
        <w:tc>
          <w:tcPr>
            <w:tcW w:w="6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r>
    </w:tbl>
    <w:p>
      <w:pPr>
        <w:spacing w:after="0" w:line="1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Equity method loss, net represents the Company’s ownership share in joint venture partnerships along with equity investments in other companies in the health care industry. The increase in equity method loss for the six months ended June 30, 2025, as compared with the corresponding period in 2024, was due to incremental losses from investments.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780" w:type="dxa"/>
            <w:vAlign w:val="bottom"/>
            <w:tcBorders>
              <w:top w:val="single" w:sz="8" w:color="auto"/>
            </w:tcBorders>
          </w:tcPr>
          <w:p>
            <w:pPr>
              <w:spacing w:after="0"/>
              <w:rPr>
                <w:sz w:val="24"/>
                <w:szCs w:val="24"/>
                <w:color w:val="auto"/>
              </w:rPr>
            </w:pPr>
          </w:p>
        </w:tc>
        <w:tc>
          <w:tcPr>
            <w:tcW w:w="5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560" w:type="dxa"/>
            <w:vAlign w:val="bottom"/>
          </w:tcPr>
          <w:p>
            <w:pPr>
              <w:spacing w:after="0"/>
              <w:rPr>
                <w:sz w:val="24"/>
                <w:szCs w:val="24"/>
                <w:color w:val="auto"/>
              </w:rPr>
            </w:pPr>
          </w:p>
        </w:tc>
      </w:tr>
      <w:tr>
        <w:trPr>
          <w:trHeight w:val="237"/>
        </w:trPr>
        <w:tc>
          <w:tcPr>
            <w:tcW w:w="780" w:type="dxa"/>
            <w:vAlign w:val="bottom"/>
            <w:tcBorders>
              <w:bottom w:val="single" w:sz="8" w:color="CCEEFF"/>
            </w:tcBorders>
          </w:tcPr>
          <w:p>
            <w:pPr>
              <w:spacing w:after="0"/>
              <w:rPr>
                <w:sz w:val="20"/>
                <w:szCs w:val="20"/>
                <w:color w:val="auto"/>
              </w:rPr>
            </w:pPr>
          </w:p>
        </w:tc>
        <w:tc>
          <w:tcPr>
            <w:tcW w:w="538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r>
    </w:tbl>
    <w:p>
      <w:pPr>
        <w:spacing w:after="0" w:line="117" w:lineRule="exact"/>
        <w:rPr>
          <w:sz w:val="20"/>
          <w:szCs w:val="20"/>
          <w:color w:val="auto"/>
        </w:rPr>
      </w:pPr>
    </w:p>
    <w:p>
      <w:pPr>
        <w:jc w:val="both"/>
        <w:ind w:firstLine="302"/>
        <w:spacing w:after="0" w:line="258" w:lineRule="auto"/>
        <w:rPr>
          <w:sz w:val="20"/>
          <w:szCs w:val="20"/>
          <w:color w:val="auto"/>
        </w:rPr>
      </w:pPr>
      <w:r>
        <w:rPr>
          <w:rFonts w:ascii="Times New Roman" w:cs="Times New Roman" w:eastAsia="Times New Roman" w:hAnsi="Times New Roman"/>
          <w:sz w:val="18"/>
          <w:szCs w:val="18"/>
          <w:color w:val="auto"/>
        </w:rPr>
        <w:t>The change in Other, net for the six months ended June 30, 2025, as compared to the six months ended June 30, 2024, is primarily due to a $41.5 decrease of transition services fees charged to Fortrea for the six months ended June 30, 2025, as compared with the corresponding period in 2024, related to administrative and information technology systems support. The costs to provide these transition services are included in operating income, but the service fees are included in other income. In addition, investment losses of $34.7 were recorded during the six months ended June 30, 2025, compared to investment losses of $5.7 for the corresponding period of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4"/>
        </w:trPr>
        <w:tc>
          <w:tcPr>
            <w:tcW w:w="210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29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2100" w:type="dxa"/>
            <w:vAlign w:val="bottom"/>
            <w:tcBorders>
              <w:bottom w:val="single" w:sz="8" w:color="CCEEFF"/>
            </w:tcBorders>
          </w:tcPr>
          <w:p>
            <w:pPr>
              <w:spacing w:after="0"/>
              <w:rPr>
                <w:sz w:val="20"/>
                <w:szCs w:val="20"/>
                <w:color w:val="auto"/>
              </w:rPr>
            </w:pPr>
          </w:p>
        </w:tc>
        <w:tc>
          <w:tcPr>
            <w:tcW w:w="38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0"/>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 as a % of earnings before taxes</w:t>
            </w: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12"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for the six months ended June 30, 2025, as compared to the six months ended June 30, 2024, was primarily attributable to incremental tax benefits on the vesting of employee stock plan awards.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5"/>
        </w:trPr>
        <w:tc>
          <w:tcPr>
            <w:tcW w:w="236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540" w:type="dxa"/>
            <w:vAlign w:val="bottom"/>
          </w:tcPr>
          <w:p>
            <w:pPr>
              <w:spacing w:after="0"/>
              <w:rPr>
                <w:sz w:val="24"/>
                <w:szCs w:val="24"/>
                <w:color w:val="auto"/>
              </w:rPr>
            </w:pPr>
          </w:p>
        </w:tc>
      </w:tr>
      <w:tr>
        <w:trPr>
          <w:trHeight w:val="237"/>
        </w:trPr>
        <w:tc>
          <w:tcPr>
            <w:tcW w:w="2360" w:type="dxa"/>
            <w:vAlign w:val="bottom"/>
            <w:tcBorders>
              <w:bottom w:val="single" w:sz="8" w:color="CCEEFF"/>
            </w:tcBorders>
          </w:tcPr>
          <w:p>
            <w:pPr>
              <w:spacing w:after="0"/>
              <w:rPr>
                <w:sz w:val="20"/>
                <w:szCs w:val="20"/>
                <w:color w:val="auto"/>
              </w:rPr>
            </w:pPr>
          </w:p>
        </w:tc>
        <w:tc>
          <w:tcPr>
            <w:tcW w:w="364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9"/>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859.4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0"/>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r>
      <w:tr>
        <w:trPr>
          <w:trHeight w:val="230"/>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30"/>
        </w:trPr>
        <w:tc>
          <w:tcPr>
            <w:tcW w:w="6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15.3 %</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0.7 %</w:t>
            </w:r>
          </w:p>
        </w:tc>
      </w:tr>
      <w:tr>
        <w:trPr>
          <w:trHeight w:val="223"/>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30"/>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40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720.5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2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Dx operating income was $910.3 for the six months ended June 30, 2025, an increase of $50.9 over operating income of $859.4 in the corresponding period of 2024, and Dx operating margin decreased 30 basis points year-over-year. The decrease in operating margin was primarily due to the impact from Invitae, partially offset by increased organic demand.</w:t>
      </w:r>
    </w:p>
    <w:p>
      <w:pPr>
        <w:spacing w:after="0" w:line="81"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BLS operating income was $230.2 for the six months ended June 30, 2025, an increase of $22.9 over operating income of $207.3 in the corresponding period of 2024, and BLS operating margin increased 70 basis points year-over-year. The increase was primarily due to organic demand and operating efficiencies.</w:t>
      </w:r>
    </w:p>
    <w:p>
      <w:pPr>
        <w:spacing w:after="0" w:line="8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General corporate expenses are comprised primarily of administrative services such as executive management, human resources, legal, finance, corporate affairs, and information technology. Corporate expenses were $271.6 for the six months ended June 30, 2025, a decrease of $37.6 over corporate expenses of $309.2 in the corresponding period of 2024, primarily due to costs related to the Spin-off of Fortrea that were incurred during the six months ended June 30, 2024, but did not reoccur in the corresponding period of 2025.</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(dollars in millions, except per share data)</w:t>
      </w:r>
    </w:p>
    <w:p>
      <w:pPr>
        <w:spacing w:after="0" w:line="14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 Company’s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Condensed Consolidated Financial Statements.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Company’s cash flows were as follows: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8"/>
        </w:trPr>
        <w:tc>
          <w:tcPr>
            <w:tcW w:w="7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78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Cash and cash equivalents at June 30, 2025, and 2024, totaled $647.3 and $265.1, respectively. Cash and cash equivalents consist of highly liquid instruments, such as time deposits, and other money market investments, which have original maturities of three months or less.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3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Company’s operations provided $639.1 of cash as compared to $531.3 of cash provided during the same period in 2024. The $107.8 increase in cash provided by operations in 2025 as compared with the corresponding 2024 period was primarily due to higher earnings.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3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for the six months ended June 30, 2025, was $430.1 as compared to $578.1 for the six months ended June 30, 2024. The decrease in cash used for investing activities for the six months ended June 30, 2025, as compared to the corresponding period in 2024, was primarily due to a decrease in business acquisitions and lower capital expenditures, partially offset by an equity method investment in SYNLAB during the six months ended June 30, 2025.</w:t>
      </w:r>
    </w:p>
    <w:p>
      <w:pPr>
        <w:spacing w:after="0" w:line="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Capital expenditures were $203.9 and $262.0 for the six months ended June 30, 2025, and 2024, respectively. Capital expenditures for the six months ended June 30, 2025, were 3.0% of revenues, primarily in connection with projects to support growth in the Company’s core businesses, facility expansion and updates, and further acquisition integration activities.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3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for the six months ended June 30, 2025, was $1,107.1 as compared to $221.7 for the six months ended June 30, 2024. The change in cash flows from financing activities for the six months ended June 30, 2025, as compared to the six months ended June 30, 2024, was primarily due to the Company’s $1,000.0 payment of the 3.60% senior notes due February 2025 and a $100.0 increase in common stock repurchases, partially offset by proceeds of $225.0 from the Company’s accounts receivable securitization facility.</w:t>
      </w:r>
    </w:p>
    <w:p>
      <w:pPr>
        <w:spacing w:after="0" w:line="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Cash and cash equivalents, at June 30, 2025, the Company had $1,000.0 of available borrowings under its revolving credit facility, which, as amended on June 27, 2025, does not expire until 2030. Under the Company’s credit facilities and indentures relating to the Company’s senior notes, the Company is subject to negative covenants limiting subsidiary indebtedness and certain other covenants typical for investment grade-rated borrowers, and with respect to the credit facilities, the Company is required to maintain certain leverage ratios. The Company was in compliance with all covenants under the credit facilities and the indentures related to the Company’s outstanding senior notes as of June 30, 2025. The Company expects that it will remain in compliance with all covenants associated with its existing debt obligations for the next 12 months.</w:t>
      </w:r>
    </w:p>
    <w:p>
      <w:pPr>
        <w:spacing w:after="0" w:line="10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At June 30, 2025, the Company had outstanding authorization from its board of directors (Board) to purchase up to $1,080.4 maximum value of Company common stock, par value $0.10 per share (Common Stock). The repurchase authorization has no expiration date.</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Company paid $121.5 in Common Stock dividends. On July 10, 2025, the Company announced a cash dividend of $0.72 per share of Common Stock, or approximately $60.6 in the aggregate. The dividend will be payable on September 11, 2025, to stockholders of record of all issued and outstanding shares of Common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20"/>
        <w:spacing w:after="0" w:line="399" w:lineRule="auto"/>
        <w:rPr>
          <w:sz w:val="20"/>
          <w:szCs w:val="20"/>
          <w:color w:val="auto"/>
        </w:rPr>
      </w:pPr>
      <w:r>
        <w:rPr>
          <w:rFonts w:ascii="Times New Roman" w:cs="Times New Roman" w:eastAsia="Times New Roman" w:hAnsi="Times New Roman"/>
          <w:sz w:val="18"/>
          <w:szCs w:val="18"/>
          <w:color w:val="auto"/>
        </w:rPr>
        <w:t xml:space="preserve">Stock at the close of business on August 28, 2025. The declaration and payment of any future dividends will be at the discretion of the Board. </w:t>
      </w:r>
      <w:r>
        <w:rPr>
          <w:rFonts w:ascii="Times New Roman" w:cs="Times New Roman" w:eastAsia="Times New Roman" w:hAnsi="Times New Roman"/>
          <w:sz w:val="18"/>
          <w:szCs w:val="18"/>
          <w:b w:val="1"/>
          <w:bCs w:val="1"/>
          <w:i w:val="1"/>
          <w:iCs w:val="1"/>
          <w:color w:val="auto"/>
        </w:rPr>
        <w:t>Guarantor Information</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2024, the Company, LCAH and U.S. Bank Trust Company, National Association (the Trustee) entered into a seventeenth supplemental indenture (the Seventeenth Supplemental Indenture) to the indenture, dated as of November 19, 2010, between LCAH and the Trustee (2010 Indenture). In addition, the Company, LCAH and the Trustee entered into the 2024 Indenture on September 23, 2024 (the 2024 Indenture, together with the 2010 Indenture, the Indentures). The Seventeenth Supplemental Indenture, among other things, provides for the full and unconditional guarantee by the Company of LCAH’s obligations under the 2010 Indenture, and each series of senior unsecured notes issued and outstanding thereunder, and the 2024 Indenture provides for the full and unconditional guarantee by the Company of LCAH’s obligations, and each series of senior unsecured notes issued and outstanding, thereunder (collectively, the Labcorp Holdings Guarantees). Also, the Indentures permit the Company to satisfy LCAH’s reporting obligations so long as the Labcorp Holdings Guarantees remain in place and the Company’s Condensed Consolidated Financial Statements and other information comply with the requirements of Rule 3-10 of Regulation S-X.</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June 30, 2025, there was $3,092.7 and $2,000.0 aggregate principal amount of issued and outstanding senior notes of LCAH, issued under the 2010 Indenture and the 2024 Indenture, respectively, that are fully and unconditionally guaranteed by the Company. Accordingly, pursuant to Rule 3-10 of Regulation S-X, separate consolidated financial statements of LCAH have not been presented. As permitted under Rule 13-01(a)(4)(vi) of Regulation S-X, the Company has excluded the summarized financial information for LCAH because the assets, liabilities, and results of operations of LCAH are not materially different than the corresponding amounts in the Company’s Condensed Consolidated Financial Statements and management believes such summarized financial information would be repetitive and would not provide incremental value to investors.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investment grade debt ratings from Moody’s and S&amp;P Global Ratings contribute to the Company’s ability to access capital markets.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does not have any variable interest entities or special purpose entities whose financial results are not included in the Company’s Condensed Consolidated Financial Statements and the Company does not have any off-balance sheet financing other than normal, short-term leases and letters of credit.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outstanding debt instruments. At June 30, 2025, the Company had total future payments of $5,618.2, with $500.4 of payments due within 12 months.</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has leases for patient service centers, laboratories and testing facilities, clinical facilities, general office spaces, vehicles, and office and laboratory equipment. At June 30, 2025, the Company had total future payments for short-term and long-term leases of $1,166.0, with payments of $225.9 due within 12 months.</w:t>
      </w:r>
    </w:p>
    <w:p>
      <w:pPr>
        <w:spacing w:after="0" w:line="9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connection with the pending acquisitions of select assets of the laboratory business of BioReference Health and select assets of the outreach business from Community Health Systems, Inc., the Company expects to pay up to $420.0, which includes $32.5 of consideration contingent on performance. The Company expects both transactions to close in 2025, subject to customary closing conditions and applicable regulatory approvals. See Note 3 Business Acquisitions and Dispositions to the Company’s Condensed Consolidated Financial Statements for additional information.</w:t>
      </w:r>
    </w:p>
    <w:p>
      <w:pPr>
        <w:spacing w:after="0" w:line="8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At June 30, 2025, the Company had provided letters of credit aggregating approximately $103.3, primarily in connection with certain insurance programs which are renewed annually.</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Based on current and projected levels of cash flows from operations, coupled with availability under its revolving credit facility, the Company believes it has sufficient liquidity to meet both its anticipated short-term and long-term cash needs for the next 12 months and the reasonably foreseeable future; however, the Company continually reassesses its liquidity position in light of market conditions and other relevant factors.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529"/>
        </w:rPr>
        <w:t>CRITICAL ACCOUNTING ESTIMATES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estimates that appear in Part II - Item 7 of the Company's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(dollars in millions)</w:t>
      </w:r>
    </w:p>
    <w:p>
      <w:pPr>
        <w:spacing w:after="0" w:line="14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The Company does not hold or issue derivative financial instruments for trading purposes.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3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Approximately 13.4% and 13.7% of the Company’s revenues for the six months ended June 30, 2025, and 2024, respectively, were denominated in currencies other than the U.S. dollar (USD). The Company’s Condensed Consolidated Financial Statements are reported in USD and, accordingly, fluctuations in exchange rates will affect the translation of revenues and expenses denominated in foreign currencies into USD for the purpose of reporting the Company’s consolidated financial results. In the second quarter of 2025 and the year ended December 31, 2024,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six months ended June 30, 2025, by approximately $14.1. Accumulated currency translation adjustments recorded as a separate component of Shareholders’ equity were $156.6 and $(7.2) for the quarter ended June 30, 2025, and 2024, respectively. The Company does not have significant operations in countries in which the economy is considered to be highly inflationary.</w:t>
      </w:r>
    </w:p>
    <w:p>
      <w:pPr>
        <w:spacing w:after="0" w:line="10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June 30, 2025, the Company had 17 open foreign exchange forward contracts with various amounts maturing monthly through July 2025 with a notional value totaling approximately $670.0. At December 31, 2024, the Company had 12 open foreign exchange forward contracts with various amounts maturing monthly through January 2025 with a notional value totaling approximately $302.4.</w:t>
      </w:r>
    </w:p>
    <w:p>
      <w:pPr>
        <w:spacing w:after="0" w:line="9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party to USD to Swiss Franc cross-currency swap agreements with an aggregate notional amount of $1,200.0, $300.0 maturing in 2029, $300.0 maturing in 2031, and $600.0 maturing in 2034, as a hedge against the impact of foreign exchange movements on its net investment in a Swiss Franc functional currency subsidiary.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4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Borrowings under the Company’s term loan credit facilities, and revolving credit facility are subject to variable interest rates, unless fixed through interest rate swaps or other agreements.</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initially on the three-month London Interbank Offered Rate and later changed to the Secured Overnight Financing Rate in 2023, plus 1.0706%.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 and 15d-15(e) under the Securities Exchange Act of 1934, as amended). Based upon this evaluation, the Company’s principal executive officer and principal financial officer concluded that the Company’s disclosure controls and procedures were effective as of June 30, 2025.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Rules13a-15(f) and 15d-15(f) under the Securities Exchange Act of 1934, as amended) that occurred during the quarter ended June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8 Commitments and Contingencies to the Company’s Condensed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risk factors that appear in Part I - Item 1A of the Company's Annual Report on Form 10-K for the year ended December 31, 2024.</w:t>
      </w:r>
    </w:p>
    <w:p>
      <w:pPr>
        <w:spacing w:after="0" w:line="63" w:lineRule="exact"/>
        <w:rPr>
          <w:sz w:val="20"/>
          <w:szCs w:val="20"/>
          <w:color w:val="auto"/>
        </w:rPr>
      </w:pPr>
    </w:p>
    <w:p>
      <w:pPr>
        <w:ind w:left="660" w:right="44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(dollars and shares in millions, except per share data)</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three months ended June 30, 2025, the Company repurchased the following shares of its common stock:</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Maximum Dollar Value of</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Repurchased as Part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122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Average Price</w:t>
            </w:r>
          </w:p>
        </w:tc>
        <w:tc>
          <w:tcPr>
            <w:tcW w:w="1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Publicly Announced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Repurchased Under the</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Repurchased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Program</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Program</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May 31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246.18</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At June 30, 2025, the Company had outstanding authorization from its Board to purchase up to $1,080.4 maximum value of Common Stock. The repurchase authorization has no expiration date.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Adoption or Termination of Trading Arrangements:</w:t>
      </w:r>
    </w:p>
    <w:p>
      <w:pPr>
        <w:spacing w:after="0" w:line="13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30, 2025, none of the Company’s directors or officers informed it of the adoption, modification or termination of a “Rule 10b5-1 trading arrangement” or “non-Rule 10b5-1 trading arrangement,” as those terms are defined in Regulation S-K, Item 408, except as described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 Shares of</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1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Date Adopted</w:t>
            </w:r>
          </w:p>
        </w:tc>
        <w:tc>
          <w:tcPr>
            <w:tcW w:w="2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Character of Trading Agreement</w:t>
            </w:r>
          </w:p>
        </w:tc>
        <w:tc>
          <w:tcPr>
            <w:tcW w:w="31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Common Stock to be (Sold) Purchased</w:t>
            </w:r>
          </w:p>
        </w:tc>
        <w:tc>
          <w:tcPr>
            <w:tcW w:w="164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Duration</w:t>
            </w:r>
          </w:p>
        </w:tc>
        <w:tc>
          <w:tcPr>
            <w:tcW w:w="0" w:type="dxa"/>
            <w:vAlign w:val="bottom"/>
          </w:tcPr>
          <w:p>
            <w:pPr>
              <w:spacing w:after="0"/>
              <w:rPr>
                <w:sz w:val="1"/>
                <w:szCs w:val="1"/>
                <w:color w:val="auto"/>
              </w:rPr>
            </w:pPr>
          </w:p>
        </w:tc>
      </w:tr>
      <w:tr>
        <w:trPr>
          <w:trHeight w:val="230"/>
        </w:trPr>
        <w:tc>
          <w:tcPr>
            <w:tcW w:w="2120" w:type="dxa"/>
            <w:vAlign w:val="bottom"/>
            <w:gridSpan w:val="2"/>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720" w:type="dxa"/>
            <w:vAlign w:val="bottom"/>
            <w:gridSpan w:val="2"/>
            <w:vMerge w:val="continue"/>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Pursuant to Trading Agreement</w:t>
            </w: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H. Schechter</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8, 2025</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 Trading Arrangement</w:t>
            </w:r>
          </w:p>
        </w:tc>
        <w:tc>
          <w:tcPr>
            <w:tcW w:w="100" w:type="dxa"/>
            <w:vAlign w:val="bottom"/>
            <w:tcBorders>
              <w:top w:val="single" w:sz="8" w:color="CCEEFF"/>
            </w:tcBorders>
            <w:shd w:val="clear" w:color="auto" w:fill="CCEEFF"/>
          </w:tcPr>
          <w:p>
            <w:pPr>
              <w:spacing w:after="0"/>
              <w:rPr>
                <w:sz w:val="19"/>
                <w:szCs w:val="19"/>
                <w:color w:val="auto"/>
              </w:rPr>
            </w:pPr>
          </w:p>
        </w:tc>
        <w:tc>
          <w:tcPr>
            <w:tcW w:w="3180" w:type="dxa"/>
            <w:vAlign w:val="bottom"/>
            <w:tcBorders>
              <w:top w:val="single" w:sz="8" w:color="CCEEFF"/>
            </w:tcBorders>
            <w:shd w:val="clear" w:color="auto" w:fill="CCEEFF"/>
          </w:tcPr>
          <w:p>
            <w:pPr>
              <w:ind w:left="1300"/>
              <w:spacing w:after="0" w:line="223" w:lineRule="exact"/>
              <w:rPr>
                <w:sz w:val="20"/>
                <w:szCs w:val="20"/>
                <w:color w:val="auto"/>
              </w:rPr>
            </w:pPr>
            <w:r>
              <w:rPr>
                <w:rFonts w:ascii="Times New Roman" w:cs="Times New Roman" w:eastAsia="Times New Roman" w:hAnsi="Times New Roman"/>
                <w:sz w:val="18"/>
                <w:szCs w:val="18"/>
                <w:color w:val="auto"/>
              </w:rPr>
              <w:t xml:space="preserve">Up to  (27,273) </w:t>
            </w:r>
            <w:r>
              <w:rPr>
                <w:rFonts w:ascii="Times New Roman" w:cs="Times New Roman" w:eastAsia="Times New Roman" w:hAnsi="Times New Roman"/>
                <w:sz w:val="23"/>
                <w:szCs w:val="23"/>
                <w:color w:val="auto"/>
                <w:vertAlign w:val="superscript"/>
              </w:rPr>
              <w:t>(1)</w:t>
            </w:r>
          </w:p>
        </w:tc>
        <w:tc>
          <w:tcPr>
            <w:tcW w:w="1640" w:type="dxa"/>
            <w:vAlign w:val="bottom"/>
            <w:tcBorders>
              <w:top w:val="single" w:sz="8" w:color="CCEEFF"/>
            </w:tcBorders>
            <w:shd w:val="clear" w:color="auto" w:fill="CCEEFF"/>
          </w:tcPr>
          <w:p>
            <w:pPr>
              <w:jc w:val="right"/>
              <w:ind w:right="90"/>
              <w:spacing w:after="0" w:line="223" w:lineRule="exact"/>
              <w:rPr>
                <w:sz w:val="20"/>
                <w:szCs w:val="20"/>
                <w:color w:val="auto"/>
              </w:rPr>
            </w:pPr>
            <w:r>
              <w:rPr>
                <w:rFonts w:ascii="Times New Roman" w:cs="Times New Roman" w:eastAsia="Times New Roman" w:hAnsi="Times New Roman"/>
                <w:sz w:val="18"/>
                <w:szCs w:val="18"/>
                <w:color w:val="auto"/>
              </w:rPr>
              <w:t xml:space="preserve">11/20/2026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80"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figure presented represents shares of Common Stock previously acquired from equity award vesting events.</w:t>
      </w:r>
    </w:p>
    <w:p>
      <w:pPr>
        <w:spacing w:after="0" w:line="1" w:lineRule="exact"/>
        <w:rPr>
          <w:rFonts w:ascii="Times New Roman" w:cs="Times New Roman" w:eastAsia="Times New Roman" w:hAnsi="Times New Roman"/>
          <w:sz w:val="22"/>
          <w:szCs w:val="22"/>
          <w:color w:val="auto"/>
          <w:vertAlign w:val="superscript"/>
        </w:rPr>
      </w:pPr>
    </w:p>
    <w:p>
      <w:pPr>
        <w:ind w:left="260" w:hanging="252"/>
        <w:spacing w:after="0" w:line="230" w:lineRule="auto"/>
        <w:tabs>
          <w:tab w:leader="none" w:pos="182"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trading arrangement permits transactions through and including the earlier to occur of (a) the completion of all sales on the respective order entry date or (b) the date listed in the table.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1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680" w:type="dxa"/>
            <w:vAlign w:val="bottom"/>
            <w:gridSpan w:val="13"/>
          </w:tcPr>
          <w:p>
            <w:pPr>
              <w:spacing w:after="0" w:line="194"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Fourth Amended and Restated Credit Agreement dated as of June 27, 2025, (originally dated as of April 30, 2021), among the</w:t>
              </w:r>
            </w:hyperlink>
          </w:p>
        </w:tc>
      </w:tr>
      <w:tr>
        <w:trPr>
          <w:trHeight w:val="156"/>
        </w:trPr>
        <w:tc>
          <w:tcPr>
            <w:tcW w:w="156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Company, Bank of America, N.A., as administrative agent, and lenders party thereto (incorporated by reference to Exhibit 10.1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9660" w:type="dxa"/>
            <w:vAlign w:val="bottom"/>
            <w:gridSpan w:val="12"/>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Company’s Current Report on Form 8-K filed on June 27, 2025).</w:t>
              </w:r>
            </w:hyperlink>
          </w:p>
        </w:tc>
        <w:tc>
          <w:tcPr>
            <w:tcW w:w="2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680" w:type="dxa"/>
            <w:vAlign w:val="bottom"/>
            <w:gridSpan w:val="13"/>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Labcorp Holdings Inc 2025 Omnibus Incentive Plan (incorporated by reference herein to Exhibit 10.1 to the Company’s Current</w:t>
              </w:r>
            </w:hyperlink>
          </w:p>
        </w:tc>
      </w:tr>
      <w:tr>
        <w:trPr>
          <w:trHeight w:val="156"/>
        </w:trPr>
        <w:tc>
          <w:tcPr>
            <w:tcW w:w="1560" w:type="dxa"/>
            <w:vAlign w:val="bottom"/>
          </w:tcPr>
          <w:p>
            <w:pPr>
              <w:spacing w:after="0"/>
              <w:rPr>
                <w:sz w:val="13"/>
                <w:szCs w:val="13"/>
                <w:color w:val="auto"/>
              </w:rPr>
            </w:pPr>
          </w:p>
        </w:tc>
        <w:tc>
          <w:tcPr>
            <w:tcW w:w="96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Report on Form 8-K filed on May 15, 2025).</w:t>
              </w:r>
            </w:hyperlink>
          </w:p>
        </w:tc>
        <w:tc>
          <w:tcPr>
            <w:tcW w:w="60" w:type="dxa"/>
            <w:vAlign w:val="bottom"/>
            <w:gridSpan w:val="3"/>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680" w:type="dxa"/>
            <w:vAlign w:val="bottom"/>
            <w:gridSpan w:val="13"/>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Labcorp Holdings Inc. 2025 Employee Stock Purchase Plan (incorporated by reference herein to Exhibit 10.2 to the Company’s</w:t>
              </w:r>
            </w:hyperlink>
          </w:p>
        </w:tc>
      </w:tr>
      <w:tr>
        <w:trPr>
          <w:trHeight w:val="169"/>
        </w:trPr>
        <w:tc>
          <w:tcPr>
            <w:tcW w:w="1560" w:type="dxa"/>
            <w:vAlign w:val="bottom"/>
          </w:tcPr>
          <w:p>
            <w:pPr>
              <w:spacing w:after="0"/>
              <w:rPr>
                <w:sz w:val="14"/>
                <w:szCs w:val="14"/>
                <w:color w:val="auto"/>
              </w:rPr>
            </w:pPr>
          </w:p>
        </w:tc>
        <w:tc>
          <w:tcPr>
            <w:tcW w:w="92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Current Report on Form 8-K filed on May 15, 2025).</w:t>
              </w:r>
            </w:hyperlink>
          </w:p>
        </w:tc>
        <w:tc>
          <w:tcPr>
            <w:tcW w:w="40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22.1*</w:t>
            </w:r>
          </w:p>
        </w:tc>
        <w:tc>
          <w:tcPr>
            <w:tcW w:w="31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Subsidiary Issuers of Guaranteed Securities</w:t>
            </w:r>
          </w:p>
        </w:tc>
        <w:tc>
          <w:tcPr>
            <w:tcW w:w="680" w:type="dxa"/>
            <w:vAlign w:val="bottom"/>
            <w:tcBorders>
              <w:top w:val="single" w:sz="8" w:color="0000FF"/>
            </w:tcBorders>
            <w:gridSpan w:val="2"/>
          </w:tcPr>
          <w:p>
            <w:pPr>
              <w:spacing w:after="0"/>
              <w:rPr>
                <w:sz w:val="20"/>
                <w:szCs w:val="20"/>
                <w:color w:val="auto"/>
              </w:rPr>
            </w:pPr>
          </w:p>
        </w:tc>
        <w:tc>
          <w:tcPr>
            <w:tcW w:w="5860" w:type="dxa"/>
            <w:vAlign w:val="bottom"/>
            <w:gridSpan w:val="9"/>
          </w:tcPr>
          <w:p>
            <w:pPr>
              <w:spacing w:after="0"/>
              <w:rPr>
                <w:sz w:val="20"/>
                <w:szCs w:val="20"/>
                <w:color w:val="auto"/>
              </w:rPr>
            </w:pP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Rule 13a-14(a) or Rule 15d-14(a)</w:t>
            </w: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4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by the Chief Financial Officer pursuant to Rule 13a-14(a) or Rule 15d-14(a)</w:t>
            </w:r>
          </w:p>
        </w:tc>
        <w:tc>
          <w:tcPr>
            <w:tcW w:w="40" w:type="dxa"/>
            <w:vAlign w:val="bottom"/>
            <w:tcBorders>
              <w:top w:val="single" w:sz="8" w:color="0000FF"/>
            </w:tcBorders>
          </w:tcPr>
          <w:p>
            <w:pPr>
              <w:spacing w:after="0"/>
              <w:rPr>
                <w:sz w:val="19"/>
                <w:szCs w:val="19"/>
                <w:color w:val="auto"/>
              </w:rPr>
            </w:pPr>
          </w:p>
        </w:tc>
        <w:tc>
          <w:tcPr>
            <w:tcW w:w="3200" w:type="dxa"/>
            <w:vAlign w:val="bottom"/>
            <w:gridSpan w:val="6"/>
          </w:tcPr>
          <w:p>
            <w:pPr>
              <w:spacing w:after="0"/>
              <w:rPr>
                <w:sz w:val="19"/>
                <w:szCs w:val="19"/>
                <w:color w:val="auto"/>
              </w:rPr>
            </w:pPr>
          </w:p>
        </w:tc>
      </w:tr>
      <w:tr>
        <w:trPr>
          <w:trHeight w:val="35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Written Statement of Chief Executive Officer and Chief Financial Officer pursuant to Section 906 of the Sarbanes-Oxley Act of 2002</w:t>
            </w:r>
          </w:p>
        </w:tc>
      </w:tr>
      <w:tr>
        <w:trPr>
          <w:trHeight w:val="156"/>
        </w:trPr>
        <w:tc>
          <w:tcPr>
            <w:tcW w:w="1560" w:type="dxa"/>
            <w:vAlign w:val="bottom"/>
          </w:tcPr>
          <w:p>
            <w:pPr>
              <w:spacing w:after="0"/>
              <w:rPr>
                <w:sz w:val="13"/>
                <w:szCs w:val="13"/>
                <w:color w:val="auto"/>
              </w:rPr>
            </w:pPr>
          </w:p>
        </w:tc>
        <w:tc>
          <w:tcPr>
            <w:tcW w:w="18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(18 U.S.C. Section 1350)</w:t>
            </w:r>
          </w:p>
        </w:tc>
        <w:tc>
          <w:tcPr>
            <w:tcW w:w="7780" w:type="dxa"/>
            <w:vAlign w:val="bottom"/>
            <w:tcBorders>
              <w:top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560" w:type="dxa"/>
            <w:vAlign w:val="bottom"/>
          </w:tcPr>
          <w:p>
            <w:pPr>
              <w:spacing w:after="0"/>
              <w:rPr>
                <w:sz w:val="20"/>
                <w:szCs w:val="20"/>
                <w:color w:val="auto"/>
              </w:rPr>
            </w:pP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103" w:lineRule="exact"/>
        <w:rPr>
          <w:sz w:val="20"/>
          <w:szCs w:val="20"/>
          <w:color w:val="auto"/>
        </w:rPr>
      </w:pPr>
    </w:p>
    <w:p>
      <w:pPr>
        <w:ind w:left="1120" w:hanging="1094"/>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20" w:hanging="1094"/>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1120" w:hanging="1094"/>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compensatory plans or arrangements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Registrant</w:t>
      </w:r>
    </w:p>
    <w:p>
      <w:pPr>
        <w:spacing w:after="0" w:line="153"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7"/>
                <w:szCs w:val="17"/>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ADAM H. SCHECHTER</w:t>
            </w:r>
          </w:p>
        </w:tc>
        <w:tc>
          <w:tcPr>
            <w:tcW w:w="1740" w:type="dxa"/>
            <w:vAlign w:val="bottom"/>
          </w:tcPr>
          <w:p>
            <w:pPr>
              <w:spacing w:after="0"/>
              <w:rPr>
                <w:sz w:val="17"/>
                <w:szCs w:val="17"/>
                <w:color w:val="auto"/>
              </w:rPr>
            </w:pPr>
          </w:p>
        </w:tc>
      </w:tr>
      <w:tr>
        <w:trPr>
          <w:trHeight w:val="245"/>
        </w:trPr>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0"/>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JULIA A. WANG</w:t>
            </w:r>
          </w:p>
        </w:tc>
      </w:tr>
      <w:tr>
        <w:trPr>
          <w:trHeight w:val="245"/>
        </w:trPr>
        <w:tc>
          <w:tcPr>
            <w:tcW w:w="760" w:type="dxa"/>
            <w:vAlign w:val="bottom"/>
          </w:tcPr>
          <w:p>
            <w:pPr>
              <w:spacing w:after="0"/>
              <w:rPr>
                <w:sz w:val="21"/>
                <w:szCs w:val="21"/>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Julia A. Wang</w:t>
            </w:r>
          </w:p>
        </w:tc>
        <w:tc>
          <w:tcPr>
            <w:tcW w:w="2320" w:type="dxa"/>
            <w:vAlign w:val="bottom"/>
            <w:gridSpan w:val="2"/>
          </w:tcPr>
          <w:p>
            <w:pPr>
              <w:spacing w:after="0"/>
              <w:rPr>
                <w:sz w:val="21"/>
                <w:szCs w:val="21"/>
                <w:color w:val="auto"/>
              </w:rPr>
            </w:pPr>
          </w:p>
        </w:tc>
      </w:tr>
      <w:tr>
        <w:trPr>
          <w:trHeight w:val="230"/>
        </w:trPr>
        <w:tc>
          <w:tcPr>
            <w:tcW w:w="760" w:type="dxa"/>
            <w:vAlign w:val="bottom"/>
          </w:tcPr>
          <w:p>
            <w:pPr>
              <w:spacing w:after="0"/>
              <w:rPr>
                <w:sz w:val="19"/>
                <w:szCs w:val="19"/>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760" w:type="dxa"/>
            <w:vAlign w:val="bottom"/>
          </w:tcPr>
          <w:p>
            <w:pPr>
              <w:spacing w:after="0"/>
              <w:rPr>
                <w:sz w:val="20"/>
                <w:szCs w:val="20"/>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 2025</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280"/>
          </w:cols>
          <w:pgMar w:left="320" w:top="121" w:right="12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Issuers of Guaranteed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securities (collectively referred to in this exhibit as the “Senior Notes”) issued by Laboratory Corporation of America Holdings (“LCAH”), a Delaware corporation and wholly-owned subsidiary of Labcorp Holdings Inc. (“LHI”), a Delaware corporation, were outstanding as of June 30, 2025.</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Senior Notes</w:t>
      </w:r>
    </w:p>
    <w:p>
      <w:pPr>
        <w:spacing w:after="0" w:line="54" w:lineRule="exact"/>
        <w:rPr>
          <w:sz w:val="20"/>
          <w:szCs w:val="20"/>
          <w:color w:val="auto"/>
        </w:rPr>
      </w:pPr>
    </w:p>
    <w:p>
      <w:pPr>
        <w:ind w:left="20" w:right="580"/>
        <w:spacing w:after="0" w:line="266" w:lineRule="auto"/>
        <w:rPr>
          <w:sz w:val="20"/>
          <w:szCs w:val="20"/>
          <w:color w:val="auto"/>
        </w:rPr>
      </w:pPr>
      <w:r>
        <w:rPr>
          <w:rFonts w:ascii="Times New Roman" w:cs="Times New Roman" w:eastAsia="Times New Roman" w:hAnsi="Times New Roman"/>
          <w:sz w:val="18"/>
          <w:szCs w:val="18"/>
          <w:color w:val="auto"/>
        </w:rPr>
        <w:t>1.55% Senior Notes due 2026 (issued under the Fifteenth Supplemental Indenture to the Indenture, dated as of November 19, 2010, by and between LCAH and U.S. Bank Trust Company, National Association, as trustee (the “2010 Indenture”))</w:t>
      </w:r>
    </w:p>
    <w:p>
      <w:pPr>
        <w:ind w:left="20"/>
        <w:spacing w:after="0"/>
        <w:rPr>
          <w:sz w:val="20"/>
          <w:szCs w:val="20"/>
          <w:color w:val="auto"/>
        </w:rPr>
      </w:pPr>
      <w:r>
        <w:rPr>
          <w:rFonts w:ascii="Times New Roman" w:cs="Times New Roman" w:eastAsia="Times New Roman" w:hAnsi="Times New Roman"/>
          <w:sz w:val="18"/>
          <w:szCs w:val="18"/>
          <w:color w:val="auto"/>
        </w:rPr>
        <w:t>3.60% Senior Notes due 2027 (issued under the Twelfth Supplemental Indenture to the 2010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2.95% Senior Notes due 2029 (issued under the Fourteenth Supplemental Indenture to the 2010 Indenture)</w:t>
      </w:r>
    </w:p>
    <w:p>
      <w:pPr>
        <w:spacing w:after="0" w:line="50" w:lineRule="exact"/>
        <w:rPr>
          <w:sz w:val="20"/>
          <w:szCs w:val="20"/>
          <w:color w:val="auto"/>
        </w:rPr>
      </w:pPr>
    </w:p>
    <w:p>
      <w:pPr>
        <w:ind w:left="20" w:right="880"/>
        <w:spacing w:after="0" w:line="266" w:lineRule="auto"/>
        <w:rPr>
          <w:sz w:val="20"/>
          <w:szCs w:val="20"/>
          <w:color w:val="auto"/>
        </w:rPr>
      </w:pPr>
      <w:r>
        <w:rPr>
          <w:rFonts w:ascii="Times New Roman" w:cs="Times New Roman" w:eastAsia="Times New Roman" w:hAnsi="Times New Roman"/>
          <w:sz w:val="18"/>
          <w:szCs w:val="18"/>
          <w:color w:val="auto"/>
        </w:rPr>
        <w:t>4.35% Senior Notes due 2030 (issued under the First Supplemental Indenture to the Indenture, dated as of September 23, 2024, by and between LCAH and U.S. Bank Trust Company, National Association, as trustee (the “2024 Indenture”))</w:t>
      </w:r>
    </w:p>
    <w:p>
      <w:pPr>
        <w:ind w:left="20"/>
        <w:spacing w:after="0"/>
        <w:rPr>
          <w:sz w:val="20"/>
          <w:szCs w:val="20"/>
          <w:color w:val="auto"/>
        </w:rPr>
      </w:pPr>
      <w:r>
        <w:rPr>
          <w:rFonts w:ascii="Times New Roman" w:cs="Times New Roman" w:eastAsia="Times New Roman" w:hAnsi="Times New Roman"/>
          <w:sz w:val="18"/>
          <w:szCs w:val="18"/>
          <w:color w:val="auto"/>
        </w:rPr>
        <w:t>2.70% Senior Notes due 2031 (issued under the Sixteenth Supplemental Indenture to the 2010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4.55% Senior Notes due 2032 (issued under the Second Supplemental Indenture to the 2024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4.80% Senior Notes due 2034 (issued under the Third Supplemental Indenture to the 2024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4.70% Senior Notes due 2045 (issued under the Tenth Supplemental Indenture to the 2010 Indenture)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obligors under the Senior Notes consisted of LHI, as guarantor, and LCAH, as issuer.</w:t>
      </w:r>
    </w:p>
    <w:p>
      <w:pPr>
        <w:sectPr>
          <w:pgSz w:w="11900" w:h="16838" w:orient="portrait"/>
          <w:cols w:equalWidth="0" w:num="1">
            <w:col w:w="11240"/>
          </w:cols>
          <w:pgMar w:left="320" w:top="14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52"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1, 2025</w:t>
      </w:r>
    </w:p>
    <w:p>
      <w:pPr>
        <w:spacing w:after="0" w:line="27"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420"/>
          </w:cols>
          <w:pgMar w:left="320" w:top="887" w:right="11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Julia A. Wang, certify that:</w:t>
      </w:r>
    </w:p>
    <w:p>
      <w:pPr>
        <w:spacing w:after="0" w:line="252"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1, 2025</w:t>
      </w:r>
    </w:p>
    <w:p>
      <w:pPr>
        <w:spacing w:after="0" w:line="27"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JULIA A. WANG</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Julia A. Wang</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420"/>
          </w:cols>
          <w:pgMar w:left="320" w:top="887" w:right="11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Labcorp Holdings Inc. (the “Company”), each hereby certifies that, to his knowledge on the date hereof:</w:t>
      </w:r>
    </w:p>
    <w:p>
      <w:pPr>
        <w:spacing w:after="0" w:line="189" w:lineRule="exact"/>
        <w:rPr>
          <w:sz w:val="20"/>
          <w:szCs w:val="20"/>
          <w:color w:val="auto"/>
        </w:rPr>
      </w:pPr>
    </w:p>
    <w:p>
      <w:pPr>
        <w:ind w:firstLine="8"/>
        <w:spacing w:after="0" w:line="282" w:lineRule="auto"/>
        <w:tabs>
          <w:tab w:leader="none" w:pos="2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of the Company for the Period Ended June 30, 2025, filed on the date hereof with the Securities and Exchange Commission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60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ADAM H. SCHECHTER</w:t>
            </w:r>
          </w:p>
        </w:tc>
      </w:tr>
      <w:tr>
        <w:trPr>
          <w:trHeight w:val="245"/>
        </w:trPr>
        <w:tc>
          <w:tcPr>
            <w:tcW w:w="58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0"/>
        </w:trPr>
        <w:tc>
          <w:tcPr>
            <w:tcW w:w="58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2025</w:t>
            </w:r>
          </w:p>
        </w:tc>
      </w:tr>
      <w:tr>
        <w:trPr>
          <w:trHeight w:val="79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JULIA A. WANG</w:t>
            </w:r>
          </w:p>
        </w:tc>
      </w:tr>
      <w:tr>
        <w:trPr>
          <w:trHeight w:val="245"/>
        </w:trPr>
        <w:tc>
          <w:tcPr>
            <w:tcW w:w="580" w:type="dxa"/>
            <w:vAlign w:val="bottom"/>
          </w:tcPr>
          <w:p>
            <w:pPr>
              <w:spacing w:after="0"/>
              <w:rPr>
                <w:sz w:val="21"/>
                <w:szCs w:val="21"/>
                <w:color w:val="auto"/>
              </w:rPr>
            </w:pP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Julia A. Wang</w:t>
            </w: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2025</w:t>
            </w:r>
          </w:p>
        </w:tc>
      </w:tr>
    </w:tbl>
    <w:p>
      <w:pPr>
        <w:sectPr>
          <w:pgSz w:w="11900" w:h="16838" w:orient="portrait"/>
          <w:cols w:equalWidth="0" w:num="1">
            <w:col w:w="10420"/>
          </w:cols>
          <w:pgMar w:left="320" w:top="887" w:right="115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Labcorp Holdings Inc. and will be retained by Labcorp Holdings Inc. and furnished to the Securities and Exchange Commission or its staff upon request.</w:t>
      </w:r>
    </w:p>
    <w:sectPr>
      <w:pgSz w:w="11900" w:h="16838" w:orient="portrait"/>
      <w:cols w:equalWidth="0" w:num="1">
        <w:col w:w="11120"/>
      </w:cols>
      <w:pgMar w:left="320" w:top="89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decimal"/>
      <w:start w:val="3"/>
    </w:lvl>
  </w:abstractNum>
  <w:abstractNum w:abstractNumId="2">
    <w:nsid w:val="7545E146"/>
    <w:multiLevelType w:val="hybridMultilevel"/>
    <w:lvl w:ilvl="0">
      <w:lvlJc w:val="left"/>
      <w:lvlText w:val="%1."/>
      <w:numFmt w:val="decimal"/>
      <w:start w:val="1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29"/>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0" Type="http://schemas.openxmlformats.org/officeDocument/2006/relationships/hyperlink" Target="https://www.sec.gov/Archives/edgar/data/920148/000119312525151281/d84939dex101.htm" TargetMode="External"/><Relationship Id="rId51" Type="http://schemas.openxmlformats.org/officeDocument/2006/relationships/hyperlink" Target="https://www.sec.gov/Archives/edgar/data/920148/000092014825000069/ex101-labcorpholdingsinc20.htm" TargetMode="External"/><Relationship Id="rId52" Type="http://schemas.openxmlformats.org/officeDocument/2006/relationships/hyperlink" Target="https://www.sec.gov/Archives/edgar/data/920148/000092014825000069/ex102-labcorpholdingsinc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2025-08-01T12:29:09Z</dcterms:created>
  <dcterms:modified xsi:type="dcterms:W3CDTF">2025-08-01T12:29:09Z</dcterms:modified>
</cp:coreProperties>
</file>