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82" w:lineRule="exact"/>
        <w:rPr>
          <w:sz w:val="24"/>
          <w:szCs w:val="24"/>
          <w:color w:val="auto"/>
        </w:rPr>
      </w:pPr>
    </w:p>
    <w:p>
      <w:pPr>
        <w:ind w:left="3320" w:hanging="210"/>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w:t>
      </w:r>
    </w:p>
    <w:p>
      <w:pPr>
        <w:spacing w:after="0" w:line="29"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3300" w:hanging="199"/>
        <w:spacing w:after="0"/>
        <w:tabs>
          <w:tab w:leader="none" w:pos="3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w:t>
      </w:r>
    </w:p>
    <w:p>
      <w:pPr>
        <w:spacing w:after="0" w:line="15"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9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LABORATORY CORPORATION OF AMERICA HOLDINGS</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378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13-3757370</w:t>
            </w:r>
          </w:p>
        </w:tc>
        <w:tc>
          <w:tcPr>
            <w:tcW w:w="20" w:type="dxa"/>
            <w:vAlign w:val="bottom"/>
          </w:tcPr>
          <w:p>
            <w:pPr>
              <w:spacing w:after="0"/>
              <w:rPr>
                <w:sz w:val="21"/>
                <w:szCs w:val="21"/>
                <w:color w:val="auto"/>
              </w:rPr>
            </w:pPr>
          </w:p>
        </w:tc>
      </w:tr>
      <w:tr>
        <w:trPr>
          <w:trHeight w:val="234"/>
        </w:trPr>
        <w:tc>
          <w:tcPr>
            <w:tcW w:w="5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0" w:type="dxa"/>
            <w:vAlign w:val="bottom"/>
          </w:tcPr>
          <w:p>
            <w:pPr>
              <w:spacing w:after="0"/>
              <w:rPr>
                <w:sz w:val="20"/>
                <w:szCs w:val="20"/>
                <w:color w:val="auto"/>
              </w:rPr>
            </w:pPr>
          </w:p>
        </w:tc>
        <w:tc>
          <w:tcPr>
            <w:tcW w:w="55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7"/>
        </w:trPr>
        <w:tc>
          <w:tcPr>
            <w:tcW w:w="1880" w:type="dxa"/>
            <w:vAlign w:val="bottom"/>
          </w:tcPr>
          <w:p>
            <w:pPr>
              <w:spacing w:after="0"/>
              <w:rPr>
                <w:sz w:val="24"/>
                <w:szCs w:val="24"/>
                <w:color w:val="auto"/>
              </w:rPr>
            </w:pPr>
          </w:p>
        </w:tc>
        <w:tc>
          <w:tcPr>
            <w:tcW w:w="378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37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Pr>
          <w:p>
            <w:pPr>
              <w:spacing w:after="0"/>
              <w:rPr>
                <w:sz w:val="21"/>
                <w:szCs w:val="21"/>
                <w:color w:val="auto"/>
              </w:rPr>
            </w:pPr>
          </w:p>
        </w:tc>
      </w:tr>
      <w:tr>
        <w:trPr>
          <w:trHeight w:val="234"/>
        </w:trPr>
        <w:tc>
          <w:tcPr>
            <w:tcW w:w="5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20"/>
                <w:szCs w:val="20"/>
                <w:color w:val="auto"/>
              </w:rPr>
            </w:pPr>
          </w:p>
        </w:tc>
      </w:tr>
    </w:tbl>
    <w:p>
      <w:pPr>
        <w:spacing w:after="0" w:line="310" w:lineRule="exact"/>
        <w:rPr>
          <w:sz w:val="24"/>
          <w:szCs w:val="24"/>
          <w:color w:val="auto"/>
        </w:rPr>
      </w:pPr>
    </w:p>
    <w:p>
      <w:pPr>
        <w:ind w:right="3200" w:firstLine="3193"/>
        <w:spacing w:after="0" w:line="412" w:lineRule="auto"/>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r>
        <w:rPr>
          <w:rFonts w:ascii="Times New Roman" w:cs="Times New Roman" w:eastAsia="Times New Roman" w:hAnsi="Times New Roman"/>
          <w:sz w:val="18"/>
          <w:szCs w:val="18"/>
          <w:color w:val="auto"/>
        </w:rPr>
        <w:t xml:space="preserve"> Securities registered pursuant to Section 12(b) of the Exchange Act.</w:t>
      </w:r>
    </w:p>
    <w:p>
      <w:pPr>
        <w:sectPr>
          <w:pgSz w:w="11900" w:h="16838" w:orient="portrait"/>
          <w:cols w:equalWidth="0" w:num="1">
            <w:col w:w="11240"/>
          </w:cols>
          <w:pgMar w:left="320" w:top="983" w:right="339" w:bottom="1440" w:gutter="0" w:footer="0" w:header="0"/>
        </w:sectPr>
      </w:pPr>
    </w:p>
    <w:p>
      <w:pPr>
        <w:spacing w:after="0" w:line="72" w:lineRule="exact"/>
        <w:rPr>
          <w:sz w:val="24"/>
          <w:szCs w:val="24"/>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p>
    <w:p>
      <w:pPr>
        <w:spacing w:after="0" w:line="31" w:lineRule="exact"/>
        <w:rPr>
          <w:sz w:val="24"/>
          <w:szCs w:val="24"/>
          <w:color w:val="auto"/>
        </w:rPr>
      </w:pPr>
    </w:p>
    <w:p>
      <w:pPr>
        <w:spacing w:after="0"/>
        <w:tabs>
          <w:tab w:leader="none" w:pos="2680" w:val="left"/>
        </w:tabs>
        <w:rPr>
          <w:sz w:val="20"/>
          <w:szCs w:val="20"/>
          <w:color w:val="auto"/>
        </w:rPr>
      </w:pPr>
      <w:r>
        <w:rPr>
          <w:rFonts w:ascii="Times New Roman" w:cs="Times New Roman" w:eastAsia="Times New Roman" w:hAnsi="Times New Roman"/>
          <w:sz w:val="18"/>
          <w:szCs w:val="18"/>
          <w:color w:val="auto"/>
        </w:rPr>
        <w:t>Common Stock, $0.10 par value</w:t>
      </w:r>
      <w:r>
        <w:rPr>
          <w:sz w:val="20"/>
          <w:szCs w:val="20"/>
          <w:color w:val="auto"/>
        </w:rPr>
        <w:tab/>
      </w:r>
      <w:r>
        <w:rPr>
          <w:rFonts w:ascii="Times New Roman" w:cs="Times New Roman" w:eastAsia="Times New Roman" w:hAnsi="Times New Roman"/>
          <w:sz w:val="18"/>
          <w:szCs w:val="18"/>
          <w:color w:val="auto"/>
        </w:rPr>
        <w:t>LH</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2">
            <w:col w:w="3220" w:space="440"/>
            <w:col w:w="7580"/>
          </w:cols>
          <w:pgMar w:left="320" w:top="983" w:right="339" w:bottom="1440" w:gutter="0" w:footer="0" w:header="0"/>
          <w:type w:val="continuous"/>
        </w:sectPr>
      </w:pPr>
    </w:p>
    <w:p>
      <w:pPr>
        <w:spacing w:after="0" w:line="3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16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is 88.6 million shares as of May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33"/>
        </w:trPr>
        <w:tc>
          <w:tcPr>
            <w:tcW w:w="5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5"/>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0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4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714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24"/>
                <w:szCs w:val="24"/>
                <w:color w:val="auto"/>
              </w:rPr>
            </w:pPr>
          </w:p>
        </w:tc>
      </w:tr>
      <w:tr>
        <w:trPr>
          <w:trHeight w:val="250"/>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March 31, 2023 and December 31, 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50"/>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Three Months Ended March 31, 2023 and 2022</w:t>
            </w:r>
          </w:p>
        </w:tc>
        <w:tc>
          <w:tcPr>
            <w:tcW w:w="642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50"/>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Three Months Ended March 31, 2023 and 2022</w:t>
            </w:r>
          </w:p>
        </w:tc>
        <w:tc>
          <w:tcPr>
            <w:tcW w:w="540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45"/>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50"/>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auto"/>
              </w:rPr>
              <w:t>Three Months Ended March 31, 2023 and 2022</w:t>
            </w:r>
          </w:p>
        </w:tc>
        <w:tc>
          <w:tcPr>
            <w:tcW w:w="48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63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4"/>
                <w:szCs w:val="24"/>
                <w:color w:val="auto"/>
              </w:rPr>
            </w:pPr>
          </w:p>
        </w:tc>
      </w:tr>
      <w:tr>
        <w:trPr>
          <w:trHeight w:val="250"/>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Three Months Ended March 31, 2023 and 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52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24"/>
                <w:szCs w:val="24"/>
                <w:color w:val="auto"/>
              </w:rPr>
            </w:pPr>
          </w:p>
        </w:tc>
      </w:tr>
      <w:tr>
        <w:trPr>
          <w:trHeight w:val="43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40" w:type="dxa"/>
            <w:vAlign w:val="bottom"/>
          </w:tcPr>
          <w:p>
            <w:pPr>
              <w:spacing w:after="0"/>
              <w:rPr>
                <w:sz w:val="24"/>
                <w:szCs w:val="24"/>
                <w:color w:val="auto"/>
              </w:rPr>
            </w:pPr>
          </w:p>
        </w:tc>
      </w:tr>
      <w:tr>
        <w:trPr>
          <w:trHeight w:val="43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5"/>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24"/>
                <w:szCs w:val="24"/>
                <w:color w:val="auto"/>
              </w:rPr>
            </w:pPr>
          </w:p>
        </w:tc>
      </w:tr>
      <w:tr>
        <w:trPr>
          <w:trHeight w:val="43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40" w:type="dxa"/>
            <w:vAlign w:val="bottom"/>
          </w:tcPr>
          <w:p>
            <w:pPr>
              <w:spacing w:after="0"/>
              <w:rPr>
                <w:sz w:val="24"/>
                <w:szCs w:val="24"/>
                <w:color w:val="auto"/>
              </w:rPr>
            </w:pPr>
          </w:p>
        </w:tc>
      </w:tr>
      <w:tr>
        <w:trPr>
          <w:trHeight w:val="57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4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74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24"/>
                <w:szCs w:val="24"/>
                <w:color w:val="auto"/>
              </w:rPr>
            </w:pPr>
          </w:p>
        </w:tc>
      </w:tr>
      <w:tr>
        <w:trPr>
          <w:trHeight w:val="43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2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24"/>
                <w:szCs w:val="24"/>
                <w:color w:val="auto"/>
              </w:rPr>
            </w:pPr>
          </w:p>
        </w:tc>
      </w:tr>
      <w:tr>
        <w:trPr>
          <w:trHeight w:val="46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760" w:type="dxa"/>
            <w:vAlign w:val="bottom"/>
            <w:gridSpan w:val="13"/>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24"/>
                <w:szCs w:val="24"/>
                <w:color w:val="auto"/>
              </w:rPr>
            </w:pPr>
          </w:p>
        </w:tc>
      </w:tr>
      <w:tr>
        <w:trPr>
          <w:trHeight w:val="43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24"/>
                <w:szCs w:val="24"/>
                <w:color w:val="auto"/>
              </w:rPr>
            </w:pPr>
          </w:p>
        </w:tc>
      </w:tr>
      <w:tr>
        <w:trPr>
          <w:trHeight w:val="871"/>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00" w:type="dxa"/>
            <w:vAlign w:val="bottom"/>
            <w:gridSpan w:val="12"/>
          </w:tcPr>
          <w:p>
            <w:pPr>
              <w:jc w:val="center"/>
              <w:ind w:left="3870"/>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5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88.6 and 88.2 shares outstanding at March 31, 2023, and December 31, 2022, respectively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10,581.7</w:t>
            </w: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10,096.6</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20,155.1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768"/>
        </w:trPr>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93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1"/>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6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120" w:type="dxa"/>
            <w:vAlign w:val="bottom"/>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20" w:type="dxa"/>
            <w:vAlign w:val="bottom"/>
          </w:tcPr>
          <w:p>
            <w:pPr>
              <w:spacing w:after="0"/>
              <w:rPr>
                <w:sz w:val="19"/>
                <w:szCs w:val="19"/>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3,899.6</w:t>
            </w:r>
          </w:p>
        </w:tc>
      </w:tr>
      <w:tr>
        <w:trPr>
          <w:trHeight w:val="229"/>
        </w:trPr>
        <w:tc>
          <w:tcPr>
            <w:tcW w:w="120" w:type="dxa"/>
            <w:vAlign w:val="bottom"/>
          </w:tcPr>
          <w:p>
            <w:pPr>
              <w:spacing w:after="0"/>
              <w:rPr>
                <w:sz w:val="19"/>
                <w:szCs w:val="19"/>
                <w:color w:val="auto"/>
              </w:rPr>
            </w:pPr>
          </w:p>
        </w:tc>
        <w:tc>
          <w:tcPr>
            <w:tcW w:w="8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2,666.7</w:t>
            </w:r>
          </w:p>
        </w:tc>
      </w:tr>
      <w:tr>
        <w:trPr>
          <w:trHeight w:val="223"/>
        </w:trPr>
        <w:tc>
          <w:tcPr>
            <w:tcW w:w="120" w:type="dxa"/>
            <w:vAlign w:val="bottom"/>
          </w:tcPr>
          <w:p>
            <w:pPr>
              <w:spacing w:after="0"/>
              <w:rPr>
                <w:sz w:val="19"/>
                <w:szCs w:val="19"/>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w:t>
            </w:r>
          </w:p>
        </w:tc>
      </w:tr>
      <w:tr>
        <w:trPr>
          <w:trHeight w:val="229"/>
        </w:trPr>
        <w:tc>
          <w:tcPr>
            <w:tcW w:w="1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29"/>
        </w:trPr>
        <w:tc>
          <w:tcPr>
            <w:tcW w:w="120" w:type="dxa"/>
            <w:vAlign w:val="bottom"/>
          </w:tcPr>
          <w:p>
            <w:pPr>
              <w:spacing w:after="0"/>
              <w:rPr>
                <w:sz w:val="19"/>
                <w:szCs w:val="19"/>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1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120" w:type="dxa"/>
            <w:vAlign w:val="bottom"/>
          </w:tcPr>
          <w:p>
            <w:pPr>
              <w:spacing w:after="0"/>
              <w:rPr>
                <w:sz w:val="21"/>
                <w:szCs w:val="21"/>
                <w:color w:val="auto"/>
              </w:rPr>
            </w:pPr>
          </w:p>
        </w:tc>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7"/>
        </w:trPr>
        <w:tc>
          <w:tcPr>
            <w:tcW w:w="1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r>
      <w:tr>
        <w:trPr>
          <w:trHeight w:val="229"/>
        </w:trPr>
        <w:tc>
          <w:tcPr>
            <w:tcW w:w="120" w:type="dxa"/>
            <w:vAlign w:val="bottom"/>
          </w:tcPr>
          <w:p>
            <w:pPr>
              <w:spacing w:after="0"/>
              <w:rPr>
                <w:sz w:val="19"/>
                <w:szCs w:val="19"/>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8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120" w:type="dxa"/>
            <w:vAlign w:val="bottom"/>
          </w:tcPr>
          <w:p>
            <w:pPr>
              <w:spacing w:after="0"/>
              <w:rPr>
                <w:sz w:val="19"/>
                <w:szCs w:val="19"/>
                <w:color w:val="auto"/>
              </w:rPr>
            </w:pPr>
          </w:p>
        </w:tc>
        <w:tc>
          <w:tcPr>
            <w:tcW w:w="8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120" w:type="dxa"/>
            <w:vAlign w:val="bottom"/>
          </w:tcPr>
          <w:p>
            <w:pPr>
              <w:spacing w:after="0"/>
              <w:rPr>
                <w:sz w:val="19"/>
                <w:szCs w:val="19"/>
                <w:color w:val="auto"/>
              </w:rPr>
            </w:pPr>
          </w:p>
        </w:tc>
        <w:tc>
          <w:tcPr>
            <w:tcW w:w="8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9"/>
        </w:trPr>
        <w:tc>
          <w:tcPr>
            <w:tcW w:w="120" w:type="dxa"/>
            <w:vAlign w:val="bottom"/>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7"/>
        </w:trPr>
        <w:tc>
          <w:tcPr>
            <w:tcW w:w="1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49"/>
        </w:trPr>
        <w:tc>
          <w:tcPr>
            <w:tcW w:w="120" w:type="dxa"/>
            <w:vAlign w:val="bottom"/>
          </w:tcPr>
          <w:p>
            <w:pPr>
              <w:spacing w:after="0"/>
              <w:rPr>
                <w:sz w:val="21"/>
                <w:szCs w:val="21"/>
                <w:color w:val="auto"/>
              </w:rPr>
            </w:pPr>
          </w:p>
        </w:tc>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17"/>
        </w:trPr>
        <w:tc>
          <w:tcPr>
            <w:tcW w:w="1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r>
      <w:tr>
        <w:trPr>
          <w:trHeight w:val="237"/>
        </w:trPr>
        <w:tc>
          <w:tcPr>
            <w:tcW w:w="120" w:type="dxa"/>
            <w:vAlign w:val="bottom"/>
          </w:tcPr>
          <w:p>
            <w:pPr>
              <w:spacing w:after="0"/>
              <w:rPr>
                <w:sz w:val="20"/>
                <w:szCs w:val="20"/>
                <w:color w:val="auto"/>
              </w:rPr>
            </w:pPr>
          </w:p>
        </w:tc>
        <w:tc>
          <w:tcPr>
            <w:tcW w:w="83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1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0"/>
        </w:trPr>
        <w:tc>
          <w:tcPr>
            <w:tcW w:w="12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1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120" w:type="dxa"/>
            <w:vAlign w:val="bottom"/>
          </w:tcPr>
          <w:p>
            <w:pPr>
              <w:spacing w:after="0"/>
              <w:rPr>
                <w:sz w:val="19"/>
                <w:szCs w:val="19"/>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232"/>
        </w:trPr>
        <w:tc>
          <w:tcPr>
            <w:tcW w:w="7820" w:type="dxa"/>
            <w:vAlign w:val="bottom"/>
          </w:tcPr>
          <w:p>
            <w:pPr>
              <w:spacing w:after="0"/>
              <w:rPr>
                <w:sz w:val="20"/>
                <w:szCs w:val="20"/>
                <w:color w:val="auto"/>
              </w:rPr>
            </w:pPr>
          </w:p>
        </w:tc>
        <w:tc>
          <w:tcPr>
            <w:tcW w:w="27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78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earnings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37"/>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Laboratory Corporation of America Holdings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2"/>
                <w:szCs w:val="12"/>
                <w:color w:val="auto"/>
              </w:rPr>
            </w:pP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Common</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Capital</w:t>
            </w:r>
          </w:p>
        </w:tc>
        <w:tc>
          <w:tcPr>
            <w:tcW w:w="1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Earnings (Loss)</w:t>
            </w:r>
          </w:p>
        </w:tc>
        <w:tc>
          <w:tcPr>
            <w:tcW w:w="120" w:type="dxa"/>
            <w:vAlign w:val="bottom"/>
          </w:tcPr>
          <w:p>
            <w:pPr>
              <w:spacing w:after="0"/>
              <w:rPr>
                <w:sz w:val="15"/>
                <w:szCs w:val="15"/>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10,273.4</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0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attributable to Laboratory Corporation of America Holdings</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93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7"/>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unbilled services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supplies inventory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unearned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40" w:type="dxa"/>
            <w:vAlign w:val="bottom"/>
          </w:tcPr>
          <w:p>
            <w:pPr>
              <w:spacing w:after="0"/>
              <w:rPr>
                <w:sz w:val="20"/>
                <w:szCs w:val="20"/>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36"/>
        </w:trPr>
        <w:tc>
          <w:tcPr>
            <w:tcW w:w="40" w:type="dxa"/>
            <w:vAlign w:val="bottom"/>
          </w:tcPr>
          <w:p>
            <w:pPr>
              <w:spacing w:after="0"/>
              <w:rPr>
                <w:sz w:val="20"/>
                <w:szCs w:val="20"/>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or distribution of investments</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40" w:type="dxa"/>
            <w:vAlign w:val="bottom"/>
          </w:tcPr>
          <w:p>
            <w:pPr>
              <w:spacing w:after="0"/>
              <w:rPr>
                <w:sz w:val="20"/>
                <w:szCs w:val="20"/>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49"/>
        </w:trPr>
        <w:tc>
          <w:tcPr>
            <w:tcW w:w="4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17"/>
        </w:trPr>
        <w:tc>
          <w:tcPr>
            <w:tcW w:w="4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 w:type="dxa"/>
            <w:vAlign w:val="bottom"/>
          </w:tcPr>
          <w:p>
            <w:pPr>
              <w:spacing w:after="0"/>
              <w:rPr>
                <w:sz w:val="20"/>
                <w:szCs w:val="20"/>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7"/>
        </w:trPr>
        <w:tc>
          <w:tcPr>
            <w:tcW w:w="40" w:type="dxa"/>
            <w:vAlign w:val="bottom"/>
          </w:tcPr>
          <w:p>
            <w:pPr>
              <w:spacing w:after="0"/>
              <w:rPr>
                <w:sz w:val="20"/>
                <w:szCs w:val="20"/>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48"/>
        </w:trPr>
        <w:tc>
          <w:tcPr>
            <w:tcW w:w="4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35" w:lineRule="exact"/>
        <w:rPr>
          <w:sz w:val="20"/>
          <w:szCs w:val="20"/>
          <w:color w:val="auto"/>
        </w:rPr>
      </w:pPr>
    </w:p>
    <w:p>
      <w:pPr>
        <w:jc w:val="both"/>
        <w:ind w:firstLine="283"/>
        <w:spacing w:after="0" w:line="235" w:lineRule="auto"/>
        <w:rPr>
          <w:sz w:val="20"/>
          <w:szCs w:val="20"/>
          <w:color w:val="auto"/>
        </w:rPr>
      </w:pPr>
      <w:r>
        <w:rPr>
          <w:rFonts w:ascii="Times New Roman" w:cs="Times New Roman" w:eastAsia="Times New Roman" w:hAnsi="Times New Roman"/>
          <w:sz w:val="18"/>
          <w:szCs w:val="18"/>
          <w:color w:val="auto"/>
        </w:rPr>
        <w:t>Laboratory Corporation of America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the Company) is a leading global life sciences company that provides vital information to help doctors, hospitals, pharmaceutical companies, researchers, and patients make clear and confident decisions. By leveraging its strong diagnostics and drug development capabilities, the Company provides insights and accelerates innovations to improve health and improve lives.</w:t>
      </w:r>
    </w:p>
    <w:p>
      <w:pPr>
        <w:spacing w:after="0" w:line="119"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 reports its business in two segments, Labcorp Diagnostics (Dx) and Labcorp Drug Development (DD). For further financial information about these segments, see Note 11 (Business Segment Information) to the Condensed Consolidated Financial Statements. During the three months ended March 31, 2023, Dx and DD contributed approximately 63% and 37%, respectively, of revenues to the Company.</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28, 2022, the Company announced that its board of directors authorized the Company to pursue a spin-off of its wholly owned Clinical Development and Commercialization Services business, which includes parts of its DD segment focused on providing Phase I-IV clinical trial management, market access, and technology solutions to pharmaceutical and biotechnology organizations. The planned spin-off will result in two independent, publicly traded companies. The spin-off is intended to be a tax-free transaction to the Company and its stockholders for United States (U.S.) federal income tax purposes and is expected to be effected through a dividend of the Clinical Development business’ shares to the Company's shareholders. The Company anticipates that, consistent with any applicable legal and tax requirements, there will be ongoing transitional and commercial arrangements to provide for a seamless delivery of services to the customers and other stakeholders of the independent companies following the spin-off. The Company is targeting completion of the spin-off with an accelerated timeframe of mid-2023. The spin-off will be subject to the satisfaction of certain customary conditions, including, among others, the receipt of final approval by the Company's board of directors, the receipt of appropriate assurances regarding the tax-free nature of the separation, and the effectiveness of any required filings with the U.S. Securities and Exchange Commission (SEC).</w:t>
      </w:r>
    </w:p>
    <w:p>
      <w:pPr>
        <w:spacing w:after="0" w:line="100" w:lineRule="exact"/>
        <w:rPr>
          <w:sz w:val="20"/>
          <w:szCs w:val="20"/>
          <w:color w:val="auto"/>
        </w:rPr>
      </w:pPr>
    </w:p>
    <w:p>
      <w:pPr>
        <w:jc w:val="both"/>
        <w:ind w:firstLine="283"/>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10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8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and notes are presented in accordance with the rules and regulations of the SEC and do not contain certain information included in the Company’s fiscal year 2022 Annual Report on Form 10-K (Annual Report). Therefore, these interim statements should be read in conjunction with the consolidated financial statements and notes thereto contained in the Company’s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3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revenues by segment and by payers/customer groups for the three months ended March 31, 2023, and 2022,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3480" w:type="dxa"/>
            <w:vAlign w:val="bottom"/>
            <w:tcBorders>
              <w:top w:val="single" w:sz="8" w:color="auto"/>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66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60" w:type="dxa"/>
            <w:vAlign w:val="bottom"/>
            <w:tcBorders>
              <w:top w:val="single" w:sz="8" w:color="auto"/>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tc>
        <w:tc>
          <w:tcPr>
            <w:tcW w:w="6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right w:val="single" w:sz="8" w:color="auto"/>
            </w:tcBorders>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7"/>
                <w:szCs w:val="17"/>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40" w:type="dxa"/>
            <w:vAlign w:val="bottom"/>
            <w:tcBorders>
              <w:right w:val="single" w:sz="8" w:color="auto"/>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Revenues in the U.S. were $2,959.2 (78.3%) and $3,000.5 (76.9%) for the three months ended March 31, 2023, and 2022, respectively.</w:t>
      </w:r>
    </w:p>
    <w:p>
      <w:pPr>
        <w:spacing w:after="0" w:line="4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costs</w:t>
      </w:r>
    </w:p>
    <w:p>
      <w:pPr>
        <w:spacing w:after="0" w:line="134" w:lineRule="exact"/>
        <w:rPr>
          <w:rFonts w:ascii="Times New Roman" w:cs="Times New Roman" w:eastAsia="Times New Roman" w:hAnsi="Times New Roman"/>
          <w:sz w:val="18"/>
          <w:szCs w:val="18"/>
          <w:b w:val="1"/>
          <w:bCs w:val="1"/>
          <w:i w:val="1"/>
          <w:iCs w:val="1"/>
          <w:color w:val="auto"/>
        </w:rPr>
      </w:pPr>
    </w:p>
    <w:p>
      <w:pPr>
        <w:ind w:right="20" w:firstLine="243"/>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DD incurs costs to fulfill contracts with customers. Contract fulfillment costs include software implementation costs and setup costs for certain market access solutions.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 assets</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Amortization related to sales commission assets and associated payroll taxes for the three months ended March 31, 2023, and 2022, was $8.4 and $7.2, respectively. Amortization related to deferred contract fulfillment costs for the three months ended March 31, 2023, and 2022, was $2.4 and $3.1,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DD accounts receivable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DD allowance for doubtful accounts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2,222.0</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$165.3 and $163.8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estimates future expected losses on accounts receivable, unbilled services and notes receivable over the remaining collection period of the instrument. The rollforward for the allowance for credit losses for the three months ended March 31, 2023,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6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Note and Other</w:t>
            </w:r>
          </w:p>
        </w:tc>
        <w:tc>
          <w:tcPr>
            <w:tcW w:w="240" w:type="dxa"/>
            <w:vAlign w:val="bottom"/>
          </w:tcPr>
          <w:p>
            <w:pPr>
              <w:spacing w:after="0"/>
              <w:rPr>
                <w:sz w:val="17"/>
                <w:szCs w:val="17"/>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2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credit loss expense</w:t>
            </w:r>
          </w:p>
        </w:tc>
        <w:tc>
          <w:tcPr>
            <w:tcW w:w="140" w:type="dxa"/>
            <w:vAlign w:val="bottom"/>
          </w:tcPr>
          <w:p>
            <w:pPr>
              <w:spacing w:after="0"/>
              <w:rPr>
                <w:sz w:val="19"/>
                <w:szCs w:val="19"/>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write 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0" w:right="1920"/>
        <w:spacing w:after="0" w:line="313" w:lineRule="auto"/>
        <w:rPr>
          <w:sz w:val="20"/>
          <w:szCs w:val="20"/>
          <w:color w:val="auto"/>
        </w:rPr>
      </w:pPr>
      <w:r>
        <w:rPr>
          <w:rFonts w:ascii="Times New Roman" w:cs="Times New Roman" w:eastAsia="Times New Roman" w:hAnsi="Times New Roman"/>
          <w:sz w:val="18"/>
          <w:szCs w:val="18"/>
          <w:color w:val="auto"/>
        </w:rPr>
        <w:t xml:space="preserve">The credit loss expense in the first quarter primarily related to the the collection risk from several biotech receivable balances. </w:t>
      </w:r>
      <w:r>
        <w:rPr>
          <w:rFonts w:ascii="Times New Roman" w:cs="Times New Roman" w:eastAsia="Times New Roman" w:hAnsi="Times New Roman"/>
          <w:sz w:val="18"/>
          <w:szCs w:val="18"/>
          <w:b w:val="1"/>
          <w:bCs w:val="1"/>
          <w:i w:val="1"/>
          <w:iCs w:val="1"/>
          <w:color w:val="auto"/>
        </w:rPr>
        <w:t>Performance Obligations Under Long-Term Contracts</w:t>
      </w: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Long-term contracts at the Company consist primarily of fully managed clinical studies within DD. The amount of existing performance obligations unsatisfied under such long-term contracts were $4,720.0 as of March 31, 2023. DD expects to recognize approximately 30.0% of the remaining performance obligations as of March 31, 2023, as revenue over the next 12 months. DD's long-term contracts generally range from 1 to 8 years.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Within DD, revenues of $10.4 and $31.7 were recognized during the three months ended March 31, 2023 and 2022, respectively, from performance obligations that were satisfied in previous periods. This revenue primarily relates to adjustments related to changes in scope in full service clinical studies, and to a lesser extent, changes in estimates.</w:t>
      </w:r>
    </w:p>
    <w:p>
      <w:pPr>
        <w:spacing w:after="0" w:line="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BUSINESS ACQUISITIONS</w:t>
      </w:r>
    </w:p>
    <w:p>
      <w:pPr>
        <w:spacing w:after="0" w:line="135" w:lineRule="exact"/>
        <w:rPr>
          <w:sz w:val="20"/>
          <w:szCs w:val="20"/>
          <w:color w:val="auto"/>
        </w:rPr>
      </w:pPr>
    </w:p>
    <w:p>
      <w:pPr>
        <w:jc w:val="both"/>
        <w:ind w:firstLine="243"/>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several measurement period adjustments for 2022 acquisitions, relating to final valuations and deferred tax true-ups. The adjustments include the following:</w:t>
      </w:r>
    </w:p>
    <w:tbl>
      <w:tblPr>
        <w:tblLayout w:type="fixed"/>
        <w:tblInd w:w="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jc w:val="right"/>
              <w:ind w:right="72"/>
              <w:spacing w:after="0" w:line="165" w:lineRule="exact"/>
              <w:rPr>
                <w:sz w:val="20"/>
                <w:szCs w:val="20"/>
                <w:color w:val="auto"/>
              </w:rPr>
            </w:pPr>
            <w:r>
              <w:rPr>
                <w:rFonts w:ascii="Times New Roman" w:cs="Times New Roman" w:eastAsia="Times New Roman" w:hAnsi="Times New Roman"/>
                <w:sz w:val="16"/>
                <w:szCs w:val="16"/>
                <w:b w:val="1"/>
                <w:bCs w:val="1"/>
                <w:color w:val="auto"/>
              </w:rPr>
              <w:t>Measurement Period Adjustments During Three</w:t>
            </w:r>
          </w:p>
        </w:tc>
      </w:tr>
      <w:tr>
        <w:trPr>
          <w:trHeight w:val="223"/>
        </w:trPr>
        <w:tc>
          <w:tcPr>
            <w:tcW w:w="7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Months Ended March 31, 2023</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140" w:type="dxa"/>
            <w:vAlign w:val="bottom"/>
            <w:tcBorders>
              <w:bottom w:val="single" w:sz="8" w:color="auto"/>
            </w:tcBorders>
            <w:shd w:val="clear" w:color="auto" w:fill="CCEEFF"/>
          </w:tcPr>
          <w:p>
            <w:pPr>
              <w:spacing w:after="0"/>
              <w:rPr>
                <w:sz w:val="19"/>
                <w:szCs w:val="19"/>
                <w:color w:val="auto"/>
              </w:rPr>
            </w:pP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2022, the Company closed its acquisition of Personal Genome Diagnostics Inc. (PGDx), a leader in cancer genomics with a portfolio of comprehensive liquid biopsy and tissue-based products, for approximately $455.1 in cash. The preliminary purchase considerations for this acquisition were allocated under the acquisition method of accounting to the estimated fair market value of the net assets acquired, including approximately $270.0 in identifiable intangible assets and a residual amount of non-tax deductible goodwill of approximately $286.2. Inclusive of measurement period adjustments, approximately $136.6 in identifiable intangible assets and a residual amount of non-tax deductible goodwill of approximately $346.8 were recorded as of March 31, 2023. The amortization period for technology intangible assets acquired from this business is 15 years. The acquisition was made primarily to complement and accelerate the Company’s existing liquid biopsy capabilities and expand the Company’s leading oncology portfolio of next-generation sequencing (NGS)-based genomic profiling capabilities. The transaction includes two milestone earnout payments, with one based on the successful development of the in-process testing and the other based on revenue. The excess of the fair value of the consideration conveyed over the fair value of the net assets acquired was recorded as goodwill. The Company has several other acquisitions for which the purchase price allocation have not been finalized as of March 31,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Had the Company's total 2022 acquisitions been completed as of January 1, 2022, the Company's pro forma results would have been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0"/>
        </w:trPr>
        <w:tc>
          <w:tcPr>
            <w:tcW w:w="8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r>
    </w:tbl>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48"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Earnings</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Per 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options and awards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 including impact of dilutive adjustments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The following table summarizes the potential common shares not included in the computation of diluted earnings per share because their impact would have been antidilutive:</w:t>
      </w:r>
    </w:p>
    <w:p>
      <w:pPr>
        <w:spacing w:after="0" w:line="9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auto"/>
              <w:bottom w:val="single" w:sz="8" w:color="auto"/>
            </w:tcBorders>
          </w:tcPr>
          <w:p>
            <w:pPr>
              <w:spacing w:after="0"/>
              <w:rPr>
                <w:sz w:val="21"/>
                <w:szCs w:val="2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9"/>
                <w:szCs w:val="19"/>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3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2023, are as follows: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7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Dx</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DD</w:t>
            </w:r>
          </w:p>
        </w:tc>
        <w:tc>
          <w:tcPr>
            <w:tcW w:w="2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37"/>
        </w:trPr>
        <w:tc>
          <w:tcPr>
            <w:tcW w:w="702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Borders>
              <w:bottom w:val="single" w:sz="8" w:color="CCEEFF"/>
            </w:tcBorders>
          </w:tcPr>
          <w:p>
            <w:pPr>
              <w:spacing w:after="0"/>
              <w:rPr>
                <w:sz w:val="20"/>
                <w:szCs w:val="20"/>
                <w:color w:val="auto"/>
              </w:rPr>
            </w:pPr>
          </w:p>
        </w:tc>
        <w:tc>
          <w:tcPr>
            <w:tcW w:w="13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March 31, 2023</w:t>
            </w:r>
          </w:p>
        </w:tc>
        <w:tc>
          <w:tcPr>
            <w:tcW w:w="20" w:type="dxa"/>
            <w:vAlign w:val="bottom"/>
          </w:tcPr>
          <w:p>
            <w:pPr>
              <w:spacing w:after="0"/>
              <w:rPr>
                <w:sz w:val="20"/>
                <w:szCs w:val="20"/>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8,121.0</w:t>
            </w:r>
          </w:p>
        </w:tc>
        <w:tc>
          <w:tcPr>
            <w:tcW w:w="20" w:type="dxa"/>
            <w:vAlign w:val="bottom"/>
          </w:tcPr>
          <w:p>
            <w:pPr>
              <w:spacing w:after="0"/>
              <w:rPr>
                <w:sz w:val="19"/>
                <w:szCs w:val="19"/>
                <w:color w:val="auto"/>
              </w:rPr>
            </w:pPr>
          </w:p>
        </w:tc>
      </w:tr>
      <w:tr>
        <w:trPr>
          <w:trHeight w:val="23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w:t>
            </w:r>
          </w:p>
        </w:tc>
        <w:tc>
          <w:tcPr>
            <w:tcW w:w="20" w:type="dxa"/>
            <w:vAlign w:val="bottom"/>
          </w:tcPr>
          <w:p>
            <w:pPr>
              <w:spacing w:after="0"/>
              <w:rPr>
                <w:sz w:val="21"/>
                <w:szCs w:val="2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the estimates and assumptions made for the purposes of the goodwill impairment analysis will prove to be accurate predictions of future performance.</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31, 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6"/>
        </w:trPr>
        <w:tc>
          <w:tcPr>
            <w:tcW w:w="3360" w:type="dxa"/>
            <w:vAlign w:val="bottom"/>
          </w:tcPr>
          <w:p>
            <w:pPr>
              <w:spacing w:after="0"/>
              <w:rPr>
                <w:sz w:val="15"/>
                <w:szCs w:val="15"/>
                <w:color w:val="auto"/>
              </w:rPr>
            </w:pPr>
          </w:p>
        </w:tc>
        <w:tc>
          <w:tcPr>
            <w:tcW w:w="12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w w:val="99"/>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50"/>
        </w:trPr>
        <w:tc>
          <w:tcPr>
            <w:tcW w:w="3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w:t>
            </w: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3,946.9</w:t>
            </w: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March 31, 2023, and 2022, was $69.3 and $67.1, respectively. The amortization expense for the net carrying amount of intangible assets is estimated to be $206.2 for the remainder of fiscal 2023, $267.5 in fiscal 2024, $255.3 in fiscal 2025, $245.5 in fiscal 2026, $233.9 in fiscal 2027, and $2,141.3 thereafter.</w:t>
      </w:r>
    </w:p>
    <w:p>
      <w:pPr>
        <w:spacing w:after="0" w:line="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at March 31, 2023, and December 31, 2022,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senior notes due 2023</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1"/>
        </w:trPr>
        <w:tc>
          <w:tcPr>
            <w:tcW w:w="7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Long-term debt at March 31, 2023, and December 31, 2022, consisted of the following:</w:t>
            </w: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3.25% senior notes due 2024</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on three-month LIBOR plus 1.0706% to hedge against changes in the fair value of a portion of the Company's long-term debt. These interest rate swaps are included in other long-term liabilities and deducted from the value of the senior notes with an aggregate fair value of $67.3 at March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April 30, 2021.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 under the facility. There were no balances outstanding on the Company's current revolving credit facility as of March 31, 2023 and December 31, 2022. As of March 31, 2023, the effective interest rate on the revolving credit facility was 5.63%. The credit facility expires on April 30, 2026.</w:t>
      </w:r>
    </w:p>
    <w:p>
      <w:pPr>
        <w:spacing w:after="0" w:line="1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March 31, 2023, and expects that it will remain in compliance with its existing debt covenants for the next twelve months.</w:t>
      </w: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were $84.5 in outstanding letters of credit as of March 31, 2023.</w:t>
      </w:r>
    </w:p>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PREFERRED STOCK AND COMMON SHAREHOLDERS’ EQUITY</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as of March 31, 2023, and December 31, 2022.</w:t>
      </w:r>
    </w:p>
    <w:p>
      <w:pPr>
        <w:sectPr>
          <w:pgSz w:w="11900" w:h="16838" w:orient="portrait"/>
          <w:cols w:equalWidth="0" w:num="1">
            <w:col w:w="11240"/>
          </w:cols>
          <w:pgMar w:left="320" w:top="121" w:right="339" w:bottom="1440" w:gutter="0" w:footer="0" w:header="0"/>
        </w:sectPr>
      </w:pP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changes in common shares issued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December 31,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March 31,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88.2</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0.4</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43180</wp:posOffset>
            </wp:positionV>
            <wp:extent cx="16973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8340" w:space="720"/>
            <w:col w:w="2180"/>
          </w:cols>
          <w:pgMar w:left="320" w:top="121" w:right="339" w:bottom="1440" w:gutter="0" w:footer="0" w:header="0"/>
          <w:type w:val="continuous"/>
        </w:sect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March 31, 2023, the Company had outstanding authorization from the board of directors to purchase up to $1,531.5 of the Company's common stock. The repurchase authorization has no expiration.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the Company paid $64.4 in common stock dividends. On April 6, 2023, the Company announced a cash dividend of $0.72 per share of common stock for the second quarter, or approximately $64.7 in the aggregate. The dividend will be payable on June 8, 2023, to stockholders of record of all issued and outstanding shares of common stock as of the close of business on May 18, 2023. The declaration and payment of any future dividends will be at the discretion of the Company's board of directors.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 (Loss)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Foreign Currency</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Net Benefit Plan</w:t>
            </w:r>
          </w:p>
        </w:tc>
        <w:tc>
          <w:tcPr>
            <w:tcW w:w="160" w:type="dxa"/>
            <w:vAlign w:val="bottom"/>
          </w:tcPr>
          <w:p>
            <w:pPr>
              <w:spacing w:after="0"/>
              <w:rPr>
                <w:sz w:val="16"/>
                <w:szCs w:val="16"/>
                <w:color w:val="auto"/>
              </w:rPr>
            </w:pPr>
          </w:p>
        </w:tc>
        <w:tc>
          <w:tcPr>
            <w:tcW w:w="1560" w:type="dxa"/>
            <w:vAlign w:val="bottom"/>
          </w:tcPr>
          <w:p>
            <w:pPr>
              <w:jc w:val="center"/>
              <w:ind w:right="72"/>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280" w:type="dxa"/>
            <w:vAlign w:val="bottom"/>
            <w:gridSpan w:val="3"/>
            <w:vMerge w:val="continue"/>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Comprehensive Earnings</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560" w:type="dxa"/>
            <w:vAlign w:val="bottom"/>
          </w:tcPr>
          <w:p>
            <w:pPr>
              <w:jc w:val="center"/>
              <w:ind w:right="72"/>
              <w:spacing w:after="0"/>
              <w:rPr>
                <w:sz w:val="20"/>
                <w:szCs w:val="20"/>
                <w:color w:val="auto"/>
              </w:rPr>
            </w:pPr>
            <w:r>
              <w:rPr>
                <w:rFonts w:ascii="Times New Roman" w:cs="Times New Roman" w:eastAsia="Times New Roman" w:hAnsi="Times New Roman"/>
                <w:sz w:val="16"/>
                <w:szCs w:val="16"/>
                <w:color w:val="auto"/>
                <w:w w:val="97"/>
              </w:rPr>
              <w:t>(Loss)</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7"/>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8"/>
        </w:trPr>
        <w:tc>
          <w:tcPr>
            <w:tcW w:w="52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48"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9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estimable, and it does not believe they will have a material adverse effect on the Company's financial statements.</w:t>
      </w:r>
    </w:p>
    <w:p>
      <w:pPr>
        <w:spacing w:after="0" w:line="8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has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November 11, 2022, the court entered a Judgment. Plaintiffs filed a Notice of Appeal with respect to the court's order granting the Company's Motion for Partial Summary Judgment, referenced above. The Company will vigorously defend the lawsuit.</w:t>
      </w:r>
    </w:p>
    <w:p>
      <w:pPr>
        <w:spacing w:after="0" w:line="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94"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On March 10, 2017, the Company was served with a putative class action lawsuit, </w:t>
      </w:r>
      <w:r>
        <w:rPr>
          <w:rFonts w:ascii="Times New Roman" w:cs="Times New Roman" w:eastAsia="Times New Roman" w:hAnsi="Times New Roman"/>
          <w:sz w:val="18"/>
          <w:szCs w:val="18"/>
          <w:i w:val="1"/>
          <w:iCs w:val="1"/>
          <w:color w:val="auto"/>
        </w:rPr>
        <w:t>Victoria Bouffard, et al.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filed in the U.S. District Court for the Middle District of North Carolina. The complaint alleges that the Company's patient list prices unlawfully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Times New Roman" w:cs="Times New Roman" w:eastAsia="Times New Roman" w:hAnsi="Times New Roman"/>
          <w:sz w:val="18"/>
          <w:szCs w:val="18"/>
          <w:i w:val="1"/>
          <w:iCs w:val="1"/>
          <w:color w:val="auto"/>
        </w:rPr>
        <w:t>Sheryl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Anderson, et al. v. Laboratory Corporation of America Holdings</w:t>
      </w:r>
      <w:r>
        <w:rPr>
          <w:rFonts w:ascii="Times New Roman" w:cs="Times New Roman" w:eastAsia="Times New Roman" w:hAnsi="Times New Roman"/>
          <w:sz w:val="18"/>
          <w:szCs w:val="18"/>
          <w:color w:val="auto"/>
        </w:rPr>
        <w:t>, was filed in the U.S. District Court for the Middle District of North Carolina.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complaint contained similar allegations and sought similar relief to the Bouffard complaint, and added additional counts regarding state consumer protection laws. On August 10, 2018, the Plaintiffs filed an Amended Complaint, which consolidated the </w:t>
      </w:r>
      <w:r>
        <w:rPr>
          <w:rFonts w:ascii="Times New Roman" w:cs="Times New Roman" w:eastAsia="Times New Roman" w:hAnsi="Times New Roman"/>
          <w:sz w:val="18"/>
          <w:szCs w:val="18"/>
          <w:i w:val="1"/>
          <w:iCs w:val="1"/>
          <w:color w:val="auto"/>
        </w:rPr>
        <w:t>Bouffard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actions. On September 10, 2018, the Company filed a Motion to Dismiss Plaintiffs' Amended Complaint and Strike Class Allegations. On August 16, 2019, the court entered an order granting in part and denying in part the Motion to Dismiss the Amended Complaint, and denying the Motion to Strike the Class Allegations. On August 26, 2021, Plaintiffs filed a Motion for Class Certification. On February 13, 2023, the court entered an order denying Plaintiffs' Motion for Class Certification. On February 27, 2023, Plaintiffs filed a Petition for Permission to Appeal the court’s order with the U.S. Court of Appeals for the Fourth Circuit. On April 5, 2023, the Fourth Circuit denied Plaintiffs’ Petition.On December 29, 2021, a related lawsuit, </w:t>
      </w:r>
      <w:r>
        <w:rPr>
          <w:rFonts w:ascii="Times New Roman" w:cs="Times New Roman" w:eastAsia="Times New Roman" w:hAnsi="Times New Roman"/>
          <w:sz w:val="18"/>
          <w:szCs w:val="18"/>
          <w:i w:val="1"/>
          <w:iCs w:val="1"/>
          <w:color w:val="auto"/>
        </w:rPr>
        <w:t>Nathaniel J. Nolan,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was filed in the U.S. District Court for the Middle District of North Carolina. The complaint alleges that the Company's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acknowledgement of 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The Company will vigorously defend the lawsuits.</w:t>
      </w:r>
    </w:p>
    <w:p>
      <w:pPr>
        <w:spacing w:after="0" w:line="9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9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9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On January 22, 2020, the Company filed Motions to Dismiss all claims.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December 16, 2021, the court granted in part and denied in part the Company's Motion to Dismiss. On March 31, 2022, the Plaintiffs filed an Amended Complaint alleging claims for negligence, negligence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breach of confidence, invasion of privacy, and various state statutory claims, including a claim under the California Confidentiality of Medical Information Act. The Company filed a Motion to Dismiss certain claims of the Amended Complaint. The Company will vigorously defend the remaining claims in the multi-district litigation.</w:t>
      </w:r>
    </w:p>
    <w:p>
      <w:pPr>
        <w:spacing w:after="0" w:line="9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asserts 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9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9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The Company will vigorously defend the lawsuit.</w:t>
      </w:r>
    </w:p>
    <w:p>
      <w:pPr>
        <w:spacing w:after="0" w:line="9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has filed post-trial motions seeking enhanced damages of up to $817.0 based on the finding of willfulness, as well as attorney's fees and costs.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40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second lawsuit seeks to recover civil penalties and recovery of attorney's fees and costs. On February 24, 2022, the parties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and on March 17, 2023, the court issued a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but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settlement is still pending Court approval.</w:t>
      </w:r>
    </w:p>
    <w:p>
      <w:pPr>
        <w:spacing w:after="0" w:line="9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On June 14, 2021, a single plaintiff filed a Private Attorney General Act lawsuit, </w:t>
      </w:r>
      <w:r>
        <w:rPr>
          <w:rFonts w:ascii="Times New Roman" w:cs="Times New Roman" w:eastAsia="Times New Roman" w:hAnsi="Times New Roman"/>
          <w:sz w:val="18"/>
          <w:szCs w:val="18"/>
          <w:i w:val="1"/>
          <w:iCs w:val="1"/>
          <w:color w:val="auto"/>
        </w:rPr>
        <w:t>Becker v. Laboratory Corporation of America</w:t>
      </w:r>
      <w:r>
        <w:rPr>
          <w:rFonts w:ascii="Times New Roman" w:cs="Times New Roman" w:eastAsia="Times New Roman" w:hAnsi="Times New Roman"/>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w:t>
      </w:r>
      <w:r>
        <w:rPr>
          <w:rFonts w:ascii="Times New Roman" w:cs="Times New Roman" w:eastAsia="Times New Roman" w:hAnsi="Times New Roman"/>
          <w:sz w:val="18"/>
          <w:szCs w:val="18"/>
          <w:i w:val="1"/>
          <w:iCs w:val="1"/>
          <w:color w:val="auto"/>
        </w:rPr>
        <w:t>Becker</w:t>
      </w:r>
      <w:r>
        <w:rPr>
          <w:rFonts w:ascii="Times New Roman" w:cs="Times New Roman" w:eastAsia="Times New Roman" w:hAnsi="Times New Roman"/>
          <w:sz w:val="18"/>
          <w:szCs w:val="18"/>
          <w:color w:val="auto"/>
        </w:rPr>
        <w:t xml:space="preserve"> lawsuit.</w:t>
      </w:r>
    </w:p>
    <w:p>
      <w:pPr>
        <w:spacing w:after="0" w:line="10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w:t>
      </w:r>
    </w:p>
    <w:p>
      <w:pPr>
        <w:spacing w:after="0" w:line="1"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lawsuits, if approved by the court, will resolve the portion of the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 relating to service representatives and senior service representatives.</w:t>
      </w:r>
    </w:p>
    <w:p>
      <w:pPr>
        <w:spacing w:after="0" w:line="1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On October 5, 2020, the Company was served with a putative class action lawsuit, </w:t>
      </w:r>
      <w:r>
        <w:rPr>
          <w:rFonts w:ascii="Times New Roman" w:cs="Times New Roman" w:eastAsia="Times New Roman" w:hAnsi="Times New Roman"/>
          <w:sz w:val="18"/>
          <w:szCs w:val="18"/>
          <w:i w:val="1"/>
          <w:iCs w:val="1"/>
          <w:color w:val="auto"/>
        </w:rPr>
        <w:t>Williams v. LabCorp Employer Services, Inc. et al.</w:t>
      </w:r>
      <w:r>
        <w:rPr>
          <w:rFonts w:ascii="Times New Roman" w:cs="Times New Roman" w:eastAsia="Times New Roman" w:hAnsi="Times New Roman"/>
          <w:sz w:val="18"/>
          <w:szCs w:val="18"/>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dated September 9, 2022, which is pending court approval.</w:t>
      </w:r>
    </w:p>
    <w:p>
      <w:pPr>
        <w:spacing w:after="0" w:line="9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is cooperating with the DOJ.</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9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3"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2"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March 31, 2023, and December 31, 2022,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14"/>
          </w:tcPr>
          <w:p>
            <w:pPr>
              <w:jc w:val="center"/>
              <w:ind w:right="260"/>
              <w:spacing w:after="0"/>
              <w:rPr>
                <w:sz w:val="20"/>
                <w:szCs w:val="20"/>
                <w:color w:val="auto"/>
              </w:rPr>
            </w:pPr>
            <w:r>
              <w:rPr>
                <w:rFonts w:ascii="Times New Roman" w:cs="Times New Roman" w:eastAsia="Times New Roman" w:hAnsi="Times New Roman"/>
                <w:sz w:val="18"/>
                <w:szCs w:val="18"/>
                <w:color w:val="auto"/>
                <w:w w:val="98"/>
              </w:rPr>
              <w:t>Fair Value Measurements as of</w:t>
            </w:r>
          </w:p>
        </w:tc>
      </w:tr>
      <w:tr>
        <w:trPr>
          <w:trHeight w:val="229"/>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8"/>
          </w:tcPr>
          <w:p>
            <w:pPr>
              <w:jc w:val="center"/>
              <w:ind w:left="170"/>
              <w:spacing w:after="0"/>
              <w:rPr>
                <w:sz w:val="20"/>
                <w:szCs w:val="20"/>
                <w:color w:val="auto"/>
              </w:rPr>
            </w:pPr>
            <w:r>
              <w:rPr>
                <w:rFonts w:ascii="Times New Roman" w:cs="Times New Roman" w:eastAsia="Times New Roman" w:hAnsi="Times New Roman"/>
                <w:sz w:val="18"/>
                <w:szCs w:val="18"/>
                <w:color w:val="auto"/>
                <w:w w:val="99"/>
              </w:rPr>
              <w:t>March 31,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Balance Sheet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14"/>
          </w:tcPr>
          <w:p>
            <w:pPr>
              <w:jc w:val="center"/>
              <w:ind w:right="260"/>
              <w:spacing w:after="0"/>
              <w:rPr>
                <w:sz w:val="20"/>
                <w:szCs w:val="20"/>
                <w:color w:val="auto"/>
              </w:rPr>
            </w:pPr>
            <w:r>
              <w:rPr>
                <w:rFonts w:ascii="Times New Roman" w:cs="Times New Roman" w:eastAsia="Times New Roman" w:hAnsi="Times New Roman"/>
                <w:sz w:val="18"/>
                <w:szCs w:val="18"/>
                <w:color w:val="auto"/>
                <w:w w:val="98"/>
              </w:rPr>
              <w:t>Using Fair Value Hierarchy</w:t>
            </w:r>
          </w:p>
        </w:tc>
      </w:tr>
      <w:tr>
        <w:trPr>
          <w:trHeight w:val="237"/>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Classification</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March 31, 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6"/>
        </w:trPr>
        <w:tc>
          <w:tcPr>
            <w:tcW w:w="4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87"/>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14"/>
          </w:tcPr>
          <w:p>
            <w:pPr>
              <w:jc w:val="center"/>
              <w:ind w:right="220"/>
              <w:spacing w:after="0"/>
              <w:rPr>
                <w:sz w:val="20"/>
                <w:szCs w:val="20"/>
                <w:color w:val="auto"/>
              </w:rPr>
            </w:pPr>
            <w:r>
              <w:rPr>
                <w:rFonts w:ascii="Times New Roman" w:cs="Times New Roman" w:eastAsia="Times New Roman" w:hAnsi="Times New Roman"/>
                <w:sz w:val="18"/>
                <w:szCs w:val="18"/>
                <w:color w:val="auto"/>
                <w:w w:val="98"/>
              </w:rPr>
              <w:t>Fair Value Measurements as of</w:t>
            </w:r>
          </w:p>
        </w:tc>
      </w:tr>
      <w:tr>
        <w:trPr>
          <w:trHeight w:val="230"/>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gridSpan w:val="10"/>
          </w:tcPr>
          <w:p>
            <w:pPr>
              <w:jc w:val="center"/>
              <w:ind w:left="50"/>
              <w:spacing w:after="0"/>
              <w:rPr>
                <w:sz w:val="20"/>
                <w:szCs w:val="20"/>
                <w:color w:val="auto"/>
              </w:rPr>
            </w:pPr>
            <w:r>
              <w:rPr>
                <w:rFonts w:ascii="Times New Roman" w:cs="Times New Roman" w:eastAsia="Times New Roman" w:hAnsi="Times New Roman"/>
                <w:sz w:val="18"/>
                <w:szCs w:val="18"/>
                <w:color w:val="auto"/>
              </w:rPr>
              <w:t>December 31, 2022</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Balance Sheet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Fair Value as of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14"/>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Using Fair Value Hierarchy</w:t>
            </w:r>
          </w:p>
        </w:tc>
      </w:tr>
      <w:tr>
        <w:trPr>
          <w:trHeight w:val="237"/>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Classification</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December 31, 2022</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3</w:t>
            </w:r>
          </w:p>
        </w:tc>
        <w:tc>
          <w:tcPr>
            <w:tcW w:w="60" w:type="dxa"/>
            <w:vAlign w:val="bottom"/>
          </w:tcPr>
          <w:p>
            <w:pPr>
              <w:spacing w:after="0"/>
              <w:rPr>
                <w:sz w:val="20"/>
                <w:szCs w:val="20"/>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net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net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r>
      <w:tr>
        <w:trPr>
          <w:trHeight w:val="184"/>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Accrued expenses and 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2"/>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2"/>
          </w:tcPr>
          <w:p>
            <w:pPr>
              <w:jc w:val="right"/>
              <w:ind w:right="280"/>
              <w:spacing w:after="0"/>
              <w:rPr>
                <w:sz w:val="20"/>
                <w:szCs w:val="20"/>
                <w:color w:val="auto"/>
              </w:rPr>
            </w:pPr>
            <w:r>
              <w:rPr>
                <w:rFonts w:ascii="Times New Roman" w:cs="Times New Roman" w:eastAsia="Times New Roman" w:hAnsi="Times New Roman"/>
                <w:sz w:val="18"/>
                <w:szCs w:val="18"/>
                <w:color w:val="auto"/>
                <w:w w:val="99"/>
              </w:rPr>
              <w:t>Contingent Consideration</w:t>
            </w: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5"/>
              </w:rPr>
              <w:t>77.4</w:t>
            </w:r>
          </w:p>
        </w:tc>
        <w:tc>
          <w:tcPr>
            <w:tcW w:w="60" w:type="dxa"/>
            <w:vAlign w:val="bottom"/>
            <w:shd w:val="clear" w:color="auto" w:fill="CCEEFF"/>
          </w:tcPr>
          <w:p>
            <w:pPr>
              <w:spacing w:after="0"/>
              <w:rPr>
                <w:sz w:val="19"/>
                <w:szCs w:val="19"/>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5"/>
              </w:rPr>
              <w:t>69.0</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67"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deferred compensation plan (DCP). A participant's deferrals are allocated by the participant to one or more of 26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89"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$5,082.0 and $4,973.9 as of March 31, 2023, and December 31, 2022, respectively. The Company's note and debt instruments are classified as Level 2 instruments, as the fair market values of these instruments are determined using other observable inputs.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w:t>
      </w:r>
    </w:p>
    <w:p>
      <w:pPr>
        <w:spacing w:after="0" w:line="67"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These cross currency swaps are included in other long-term liabilities as appropriate with an aggregate fair value of $48.5 and $45.7 as of March 31, 2023 and December 31, 2022, respectively.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 of Comprehensive Earnings.</w:t>
      </w:r>
    </w:p>
    <w:p>
      <w:pPr>
        <w:spacing w:after="0" w:line="19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30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0" w:lineRule="exact"/>
        <w:rPr>
          <w:sz w:val="20"/>
          <w:szCs w:val="20"/>
          <w:color w:val="auto"/>
        </w:rPr>
      </w:pPr>
    </w:p>
    <w:p>
      <w:pPr>
        <w:spacing w:after="0" w:line="210"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48"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months ended March 31, 2023, and 2022.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 Segment asset information is not presented because it is not used by the CODM at the segment level.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7" w:lineRule="exact"/>
        <w:rPr>
          <w:sz w:val="20"/>
          <w:szCs w:val="20"/>
          <w:color w:val="auto"/>
        </w:rPr>
      </w:pPr>
    </w:p>
    <w:p>
      <w:pPr>
        <w:jc w:val="center"/>
        <w:ind w:left="340" w:right="2100"/>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Corporate costs not allocated to segments include the costs of centralized functions other charges such as acquisition expenses, spin off costs and COVID-19 related costs not deemed to relate to segment. Centralized functions include corporate governance, executive management and related human</w:t>
      </w: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resources,</w:t>
            </w: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w:t>
            </w: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1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information</w:t>
            </w: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technology</w:t>
            </w: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functions.</w:t>
            </w:r>
          </w:p>
        </w:tc>
      </w:tr>
      <w:tr>
        <w:trPr>
          <w:trHeight w:val="233"/>
        </w:trPr>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00" w:type="dxa"/>
            <w:vAlign w:val="bottom"/>
            <w:gridSpan w:val="6"/>
          </w:tcPr>
          <w:p>
            <w:pPr>
              <w:ind w:left="56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41"/>
        </w:trPr>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2,382.8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60" w:type="dxa"/>
            <w:vAlign w:val="bottom"/>
          </w:tcPr>
          <w:p>
            <w:pPr>
              <w:spacing w:after="0"/>
              <w:rPr>
                <w:sz w:val="19"/>
                <w:szCs w:val="19"/>
                <w:color w:val="auto"/>
              </w:rPr>
            </w:pPr>
          </w:p>
        </w:tc>
      </w:tr>
      <w:tr>
        <w:trPr>
          <w:trHeight w:val="23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DD</w:t>
            </w: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60" w:type="dxa"/>
            <w:vAlign w:val="bottom"/>
          </w:tcPr>
          <w:p>
            <w:pPr>
              <w:spacing w:after="0"/>
              <w:rPr>
                <w:sz w:val="19"/>
                <w:szCs w:val="19"/>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9"/>
                <w:szCs w:val="19"/>
                <w:color w:val="auto"/>
              </w:rPr>
            </w:pPr>
          </w:p>
        </w:tc>
      </w:tr>
      <w:tr>
        <w:trPr>
          <w:trHeight w:val="223"/>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3,777.9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3,899.6</w:t>
            </w:r>
          </w:p>
        </w:tc>
        <w:tc>
          <w:tcPr>
            <w:tcW w:w="60" w:type="dxa"/>
            <w:vAlign w:val="bottom"/>
          </w:tcPr>
          <w:p>
            <w:pPr>
              <w:spacing w:after="0"/>
              <w:rPr>
                <w:sz w:val="19"/>
                <w:szCs w:val="19"/>
                <w:color w:val="auto"/>
              </w:rPr>
            </w:pPr>
          </w:p>
        </w:tc>
      </w:tr>
      <w:tr>
        <w:trPr>
          <w:trHeight w:val="196"/>
        </w:trPr>
        <w:tc>
          <w:tcPr>
            <w:tcW w:w="1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60" w:type="dxa"/>
            <w:vAlign w:val="bottom"/>
          </w:tcPr>
          <w:p>
            <w:pPr>
              <w:spacing w:after="0"/>
              <w:rPr>
                <w:sz w:val="19"/>
                <w:szCs w:val="19"/>
                <w:color w:val="auto"/>
              </w:rPr>
            </w:pPr>
          </w:p>
        </w:tc>
      </w:tr>
      <w:tr>
        <w:trPr>
          <w:trHeight w:val="230"/>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DD segment operating income</w:t>
            </w:r>
          </w:p>
        </w:tc>
        <w:tc>
          <w:tcPr>
            <w:tcW w:w="8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60" w:type="dxa"/>
            <w:vAlign w:val="bottom"/>
          </w:tcPr>
          <w:p>
            <w:pPr>
              <w:spacing w:after="0"/>
              <w:rPr>
                <w:sz w:val="19"/>
                <w:szCs w:val="19"/>
                <w:color w:val="auto"/>
              </w:rPr>
            </w:pPr>
          </w:p>
        </w:tc>
      </w:tr>
      <w:tr>
        <w:trPr>
          <w:trHeight w:val="22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60" w:type="dxa"/>
            <w:vAlign w:val="bottom"/>
          </w:tcPr>
          <w:p>
            <w:pPr>
              <w:spacing w:after="0"/>
              <w:rPr>
                <w:sz w:val="19"/>
                <w:szCs w:val="19"/>
                <w:color w:val="auto"/>
              </w:rPr>
            </w:pPr>
          </w:p>
        </w:tc>
      </w:tr>
      <w:tr>
        <w:trPr>
          <w:trHeight w:val="230"/>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60" w:type="dxa"/>
            <w:vAlign w:val="bottom"/>
          </w:tcPr>
          <w:p>
            <w:pPr>
              <w:spacing w:after="0"/>
              <w:rPr>
                <w:sz w:val="19"/>
                <w:szCs w:val="19"/>
                <w:color w:val="auto"/>
              </w:rPr>
            </w:pPr>
          </w:p>
        </w:tc>
      </w:tr>
      <w:tr>
        <w:trPr>
          <w:trHeight w:val="229"/>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19"/>
                <w:szCs w:val="19"/>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9"/>
                <w:szCs w:val="19"/>
                <w:color w:val="auto"/>
              </w:rPr>
            </w:pPr>
          </w:p>
        </w:tc>
      </w:tr>
      <w:tr>
        <w:trPr>
          <w:trHeight w:val="229"/>
        </w:trPr>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r>
      <w:tr>
        <w:trPr>
          <w:trHeight w:val="2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6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3, 2023, the Company entered into agreements to create a comprehensive strategic relationship with Jefferson Health (Jefferson), the largest health system serving the greater Philadelphia area and Southern New Jersey. When complete, the arrangements between Jefferson and the Company will serve to build academic collaborations around teaching and the development of innovative tests. The new strategic collaboration will deliver efficiency and comprehensive laboratory aspects of healthcare for the communities served by Jefferson through the Company's leading clinical laboratory services, robust data and digital tools and extensive network of patient service centers. The transaction is expected to close by mid-year 2023, subject to customary closing conditions and applicable regulatory approvals.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firstLine="283"/>
        <w:spacing w:after="0" w:line="251" w:lineRule="auto"/>
        <w:rPr>
          <w:sz w:val="20"/>
          <w:szCs w:val="20"/>
          <w:color w:val="auto"/>
        </w:rPr>
      </w:pPr>
      <w:r>
        <w:rPr>
          <w:rFonts w:ascii="Times New Roman" w:cs="Times New Roman" w:eastAsia="Times New Roman" w:hAnsi="Times New Roman"/>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93" w:lineRule="exact"/>
        <w:rPr>
          <w:sz w:val="20"/>
          <w:szCs w:val="20"/>
          <w:color w:val="auto"/>
        </w:rPr>
      </w:pPr>
    </w:p>
    <w:p>
      <w:pPr>
        <w:jc w:val="both"/>
        <w:ind w:left="660" w:hanging="57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utilization of laboratory tests;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 European Medicines Agency, the European Union and similar regulations and policies of agencies in other jurisdictions in which the Company conducts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571"/>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67" w:lineRule="exact"/>
        <w:rPr>
          <w:rFonts w:ascii="Times New Roman" w:cs="Times New Roman" w:eastAsia="Times New Roman" w:hAnsi="Times New Roman"/>
          <w:sz w:val="18"/>
          <w:szCs w:val="18"/>
          <w:color w:val="auto"/>
        </w:rPr>
      </w:pPr>
    </w:p>
    <w:p>
      <w:pPr>
        <w:ind w:left="640" w:hanging="55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7" w:lineRule="exact"/>
        <w:rPr>
          <w:rFonts w:ascii="Times New Roman" w:cs="Times New Roman" w:eastAsia="Times New Roman" w:hAnsi="Times New Roman"/>
          <w:sz w:val="18"/>
          <w:szCs w:val="18"/>
          <w:color w:val="auto"/>
        </w:rPr>
      </w:pPr>
    </w:p>
    <w:p>
      <w:pPr>
        <w:jc w:val="both"/>
        <w:ind w:left="660" w:right="20" w:hanging="571"/>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laws or regulations or otherwise disregard compliance standards in the industry;</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5"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deploy new systems, system modifications or enhancements required in response to evolving market and business needs;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7"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services, contract research services or other contractual arrangements;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experienced and qualified personnel or the loss of significant personnel as a result of illness, increased competition for talent, wage growth, or other market factors;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3"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products and services and defend against challenges to those rights;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571"/>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political crises, including terrorism and war; public health crises and disease epidemics and pandemics; changes in the global economy; and other events outside of the Company's control;</w:t>
      </w:r>
    </w:p>
    <w:p>
      <w:pPr>
        <w:spacing w:after="0" w:line="71"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9"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3"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(FPCA), the U.K. Bribery Act, other applicable anti-corruption laws and regulations, trade sanction laws and regulations, and economic, political, legal and other operational risks associated with foreign jurisdictions;</w:t>
      </w:r>
    </w:p>
    <w:p>
      <w:pPr>
        <w:spacing w:after="0" w:line="6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and savings in connection with the Company's business process improvement initiatives;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government and regulatory changes;</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5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 timing, expected benefits and costs, or terms of the planned spin-off of the Company’s Clinical Development and Commercialization Services (CDCS) business, which includes the parts of its DD segment focused on providing Phase I-IV clinical trial management, market access, and technology solutions to pharmaceutical and biotechnology organizations, including but not limited to (i) uncertainties as to the completion and timing of the transaction; (ii) the failure to obtain appropriate assurances regarding the tax-free nature of the spin-off; (iii) the failure to obtain receipt of required regulatory approvals; (iv) the effect of the announcement or pendency of the transaction on the Company’s business relationships, operating results, and business generally; (v) unexpected issues that arise in the continued planning for the transaction; (vi) the failure to have the Form 10 registration statement that will be filed with the SEC declared effective on a timely basis, or at all;</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104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proposed transaction disrupts current plans and operations of Labcorp or CDCS; (viii) potential difficulties attracting or retaining Company or CDCS employees as a result of the spin-off announcement, pendency or completion of the spin-off; (ix) risks related to diverting management’s attention from the Company and CDCS’ ongoing business operations; (x) the ability of the Company to successfully separate CDCS operations from the Company’s ongoing operations; (xi) market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receptiveness to effect transactions in the capital markets; and (xii) market reaction to the announcement and planning for the transaction; and</w:t>
      </w:r>
    </w:p>
    <w:p>
      <w:pPr>
        <w:spacing w:after="0" w:line="117" w:lineRule="exact"/>
        <w:rPr>
          <w:sz w:val="20"/>
          <w:szCs w:val="20"/>
          <w:color w:val="auto"/>
        </w:rPr>
      </w:pPr>
    </w:p>
    <w:p>
      <w:pPr>
        <w:jc w:val="both"/>
        <w:ind w:left="660" w:hanging="571"/>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duration, and severity of the ongoing COVID-19 pandemic, including the impact on operations, personnel, supplies, liquidity, and collections, as well as the impact of past or future actions or omissions by the Company or governments in response to the COVID-19 pandemic including, but not limited to, the end of the federal Public Health Emergency, and damage to the Company's reputation or loss of business resulting from the perception of the Company's response to the COVID-19 pandemic.</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 except per share data)</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March 31, 2023, were $3,777.9, a decrease of 3.1% from $3,899.6 during the three months ended March 31, 2022. The decrease was due to organic revenue of 3.6% and unfavorable foreign currency translation of 0.7%, partially offset by acquisitions, net of divestitures, of 1.2%. The 3.6% decrease in organic revenue was driven by a 11.6% decrease in COVID-19 PCR and antibody testing (COVID-19 Testing), partially offset by a 7.9% increase in the company's organic Base Business. Base Business includes Labcorp's operations except for COVID-19 Testing.</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year-over-year impact of acquisitions, divestitures, and currency.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 month period following the close of each transaction.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of the Company's CDCS Business</w:t>
      </w:r>
    </w:p>
    <w:p>
      <w:pPr>
        <w:spacing w:after="0" w:line="13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28, 2022, the Company announced that the Board of Directors authorized the Company to pursue a spin-off of the Company’s wholly owned CDCS business to its shareholders through a tax-free transaction. The planned spin-off will result in two independent companies, each poised for strong, sustainable growth. On January 9, 2023, Thomas (Tom) Pike joined the Company as president and chief executive officer of its DD Clinical Development business unit, and when the planned spin-off is complete, Mr. Pike will become the chief executive officer and chairman of the board of directors of the independent, publicly listed company. On February 9, 2023, the Company announced that the name of the CDCS business will become Fortrea in connection with the planned spin-off.</w:t>
      </w:r>
    </w:p>
    <w:p>
      <w:pPr>
        <w:spacing w:after="0" w:line="9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targeting completion of the planned spin-off in mid-2023. The planned spin-off will be subject to the satisfaction of certain customary conditions, including, among others, the receipt of final approval by the Company's Board, the receipt of appropriate assurances regarding the tax-free nature of the separation and effectiveness of any required filings with the U.S. Securities and Exchange Commission (SEC). There can be no assurances regarding the ultimate timing of the transaction or that the spin-off will be completed.</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When the transaction is complete, the resulting companies will be Labcorp, comprising the Company’s routine and esoteric labs, central labs and early development research labs, and Fortrea, a global contract research organization (CRO) providing Phase I-IV clinical trial management, market access and technology solutions to pharmaceutical and biotechnology organizations.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planned spin-off is expected to provide each company with:</w:t>
      </w:r>
    </w:p>
    <w:p>
      <w:pPr>
        <w:spacing w:after="0" w:line="131"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strategic flexibility and operational focus to pursue specific market opportunities and better meet customer needs;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capital structures and capital allocation strategies to drive innovation and growth;</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targeted investment opportunity for different investor bases;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align its particular incentive compensation with its financial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planned spin-off, the Company believes that Labcorp will be positioned to:</w:t>
      </w:r>
    </w:p>
    <w:p>
      <w:pPr>
        <w:spacing w:after="0" w:line="144" w:lineRule="exact"/>
        <w:rPr>
          <w:sz w:val="20"/>
          <w:szCs w:val="20"/>
          <w:color w:val="auto"/>
        </w:rPr>
      </w:pPr>
    </w:p>
    <w:p>
      <w:pPr>
        <w:ind w:left="340" w:hanging="332"/>
        <w:spacing w:after="0" w:line="26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R&amp;D and innovation to develop and launch diagnostic advancements globally in key clinical areas including oncology, Alzheimer's, and autoimmune and liver disease through organic and inorganic opportunities;</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its global health and patient data and provide insights to enable customers to innovate;</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its worldwide laboratory network to serve a broad, growing and global customer base including pharmaceutical and biotechnology companies, physicians, health systems, consumers, and other start-ups and laboratories that require lab services or diagnostic testing; and</w:t>
      </w:r>
    </w:p>
    <w:p>
      <w:pPr>
        <w:ind w:left="340" w:right="20" w:hanging="332"/>
        <w:spacing w:after="0" w:line="26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innovative tests globally, providing patients, physicians, health systems and pharmaceutical companies with access to its advanced science, technology and diagnostic capabilities.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planned spin-off, the Company believes that Fortrea will be positioned to:</w:t>
      </w:r>
    </w:p>
    <w:p>
      <w:pPr>
        <w:spacing w:after="0" w:line="131" w:lineRule="exact"/>
        <w:rPr>
          <w:sz w:val="20"/>
          <w:szCs w:val="20"/>
          <w:color w:val="auto"/>
        </w:rPr>
      </w:pPr>
    </w:p>
    <w:p>
      <w:pPr>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growth opportunities across Phases I-IV clinical trials and extend its leadership in oncology, cell and gene therapy, rare disease, and other emerging therapeutic areas;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agility with large pharmaceutical and biotechnology clients to better serve customers and advance life-saving therapies;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unique data sets and insights through an arrangement with the Company for a defined period of time which will enable Fortrea to provide enhanced trial execution and a differentiated value proposition;</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capabilities, technologies, diverse talent and innovation to enhance trial execution and better serve all of its customers;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capital structure that is tailored to support its growth strategy and enhance stakeholder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planned spin-off is intended to qualify as a tax-free transaction for U.S. federal income tax purposes.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252" w:lineRule="exact"/>
        <w:rPr>
          <w:sz w:val="20"/>
          <w:szCs w:val="20"/>
          <w:color w:val="auto"/>
        </w:rPr>
      </w:pPr>
    </w:p>
    <w:p>
      <w:pPr>
        <w:ind w:right="4580"/>
        <w:spacing w:after="0" w:line="3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March 31, 2023, compared with three months ended March 31, 2022 </w:t>
      </w:r>
      <w:r>
        <w:rPr>
          <w:rFonts w:ascii="Times New Roman" w:cs="Times New Roman" w:eastAsia="Times New Roman" w:hAnsi="Times New Roman"/>
          <w:sz w:val="18"/>
          <w:szCs w:val="18"/>
          <w:b w:val="1"/>
          <w:bCs w:val="1"/>
          <w:u w:val="single" w:color="auto"/>
          <w:color w:val="auto"/>
        </w:rPr>
        <w:t>Revenues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900" w:type="dxa"/>
            <w:vAlign w:val="bottom"/>
          </w:tcPr>
          <w:p>
            <w:pPr>
              <w:spacing w:after="0"/>
              <w:rPr>
                <w:sz w:val="20"/>
                <w:szCs w:val="20"/>
                <w:color w:val="auto"/>
              </w:rPr>
            </w:pPr>
          </w:p>
        </w:tc>
        <w:tc>
          <w:tcPr>
            <w:tcW w:w="33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6"/>
        </w:trPr>
        <w:tc>
          <w:tcPr>
            <w:tcW w:w="59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DD</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3,777.9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
        </w:trPr>
        <w:tc>
          <w:tcPr>
            <w:tcW w:w="5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Total revenues for the three months ended March 31, 2023, were $3,777.9, a decrease of 3.1% over $3,899.6 in the first quarter of 2022. The decrease was due to lower organic revenue of 3.6% and unfavorable foreign currency translation of 0.7%, partially offset by acquisitions net of divestitures of 1.2%. The 3.6% decrease in organic revenue was driven by a 11.6% decrease in COVID-19 Testing, partially offset by a 7.9% increase in the Company's organic Base Business.</w:t>
      </w:r>
    </w:p>
    <w:p>
      <w:pPr>
        <w:spacing w:after="0" w:line="8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Dx revenues for the three months ended March 31, 2023, were $2,382.8, a decrease of 2.9% over $2,454.1 in the first quarter of 2022. The decrease was due to organic revenue of 4.7% and unfavorable foreign currency translation of 0.3%, partially offset by acquisitions of 2.0%. The 4.7% decrease in organic revenue was due to a 18.4% decrease in COVID-19 Testing, partially offset by a 13.7% increase in the Base Business. Total Base Business growth compared to the Base Business in the prior year was 19.8%, which includes the benefit from the Ascension lab management agreement of approximately 7% as well as the positive impact from weather and revenue days of approximately 2%.</w:t>
      </w:r>
    </w:p>
    <w:p>
      <w:pPr>
        <w:spacing w:after="0" w:line="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Dx total volume (measured by requisitions) for the three months ended March 31, 2023, decreased by 3.3% as organic volume decreased by 5.6% and acquisition volume contributed 2.3%. Organic volume was impacted by a 12.7% decrease in COVID-19 Testing, partially offset by a 7.1% increase in Base Business. Price/mix increased by 0.4% due to Base Business growth of 6.6%, partially offset by a decrease in COVID-19 Testing of 5.7%, unfavorable foreign currency translation of 0.3%, and lower acquisitions of 0.2%. Base Business volume was up 11.0% compared to the Base Business last year, which includes the combined favorable impact from weather and revenue days of approximately 2%. Price/mix was up 8.8% in the Base Business compared to the Base Business last year, which includes the benefit of the Ascension lab management agreement.</w:t>
      </w:r>
    </w:p>
    <w:p>
      <w:pPr>
        <w:spacing w:after="0" w:line="93" w:lineRule="exact"/>
        <w:rPr>
          <w:sz w:val="20"/>
          <w:szCs w:val="20"/>
          <w:color w:val="auto"/>
        </w:rPr>
      </w:pPr>
    </w:p>
    <w:p>
      <w:pPr>
        <w:jc w:val="both"/>
        <w:ind w:firstLine="251"/>
        <w:spacing w:after="0" w:line="238"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three months ended March 31, 2023, were $1,401.3, a decrease of 4.0% over $1,459.3 in the first quarter of 2022. The decrease was primarily due to an organic decline of 2.4%, unfavorable foreign currency translation of 1.5%, and unfavorable acquisitions net of divestitures of 0.1%. The decrease in organic revenue was negatively impacted by approximately 8.0% due to non-human primate (NHP) related constraints, reduced COVID-19 vaccine and therapeutic work, and the loss of a functional services provider (FSP) contract. Our backlog expected to be recognized in the next 12 months decreased from approximately 30% at December 31, 2022, to approximately 29.5% at March 31, 2023, as a result of an increase in the average contract length.</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40" w:type="dxa"/>
            <w:vAlign w:val="bottom"/>
          </w:tcPr>
          <w:p>
            <w:pPr>
              <w:spacing w:after="0"/>
              <w:rPr>
                <w:sz w:val="24"/>
                <w:szCs w:val="24"/>
                <w:color w:val="auto"/>
              </w:rPr>
            </w:pPr>
          </w:p>
        </w:tc>
      </w:tr>
      <w:tr>
        <w:trPr>
          <w:trHeight w:val="236"/>
        </w:trPr>
        <w:tc>
          <w:tcPr>
            <w:tcW w:w="1320" w:type="dxa"/>
            <w:vAlign w:val="bottom"/>
            <w:tcBorders>
              <w:bottom w:val="single" w:sz="8" w:color="CCEEFF"/>
            </w:tcBorders>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5.1% during the three months ended March 31, 2023, as compared with the corresponding period in 2022. Cost of revenues as a percentage of revenues during the three months ended March 31, 2023, increased to 74.2% as compared to 68.4% in the corresponding period in 2022. This increase in cost of revenues as a percent of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primarily due to a reduction in COVID-19 Testing revenues, the impact of the Ascension Management Service Agreement, and higher personnel expenses, partially offset by organic Base Business growth and LaunchPad savings.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354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6"/>
        </w:trPr>
        <w:tc>
          <w:tcPr>
            <w:tcW w:w="354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464.1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14.7% and 11.9% during the three months ended March 31, 2023, and 2022, respectively. The increase is primarily due to a reduction in COVID-19 Testing revenues and spin off transaction costs.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March 31,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9"/>
        </w:trPr>
        <w:tc>
          <w:tcPr>
            <w:tcW w:w="304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6"/>
        </w:trPr>
        <w:tc>
          <w:tcPr>
            <w:tcW w:w="304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r>
    </w:tbl>
    <w:p>
      <w:pPr>
        <w:spacing w:after="0" w:line="198"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Company recorded impairment charges of $2.2 in capitalized software costs during the three months ended March 31, 2023. The Company recorded impairment charges of $1.2 in other assets in Ukraine and Russia during the three months ended March 31,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6"/>
        </w:trPr>
        <w:tc>
          <w:tcPr>
            <w:tcW w:w="262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bl>
    <w:p>
      <w:pPr>
        <w:spacing w:after="0" w:line="18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net restructuring and other charges of $8.6. The charges were comprised of $4.9 related to severance and other personnel costs and $4.7 in facility closures, lease terminations, and general integration activities. The charges were adjusted by the increase of $0.7 of previously established severance liabilities and the reversal of previously established liability of $0.3 in unused facility-related costs.</w:t>
      </w:r>
    </w:p>
    <w:p>
      <w:pPr>
        <w:spacing w:after="0" w:line="8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net restructuring and other charges of $12.6. The charges were comprised of $5.4 related to severance and other personnel costs and $7.7 in facility closures, lease terminations, and general integration activities. The charges were adjusted by the reversal of a previously established liability of $0.4 in unused severance costs and $0.1 in unused facility-related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bl>
    <w:p>
      <w:pPr>
        <w:spacing w:after="0" w:line="130"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2023, as compared with the corresponding period in 2022, is primarily due to the increased interest rates on variable rate debt and higher borrowings under the Credit Facility.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178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6"/>
        </w:trPr>
        <w:tc>
          <w:tcPr>
            <w:tcW w:w="178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bl>
    <w:p>
      <w:pPr>
        <w:spacing w:after="0" w:line="130" w:lineRule="exact"/>
        <w:rPr>
          <w:sz w:val="20"/>
          <w:szCs w:val="20"/>
          <w:color w:val="auto"/>
        </w:rPr>
      </w:pPr>
    </w:p>
    <w:p>
      <w:pPr>
        <w:ind w:firstLine="291"/>
        <w:spacing w:after="0" w:line="282" w:lineRule="auto"/>
        <w:rPr>
          <w:sz w:val="20"/>
          <w:szCs w:val="20"/>
          <w:color w:val="auto"/>
        </w:rPr>
      </w:pPr>
      <w:r>
        <w:rPr>
          <w:rFonts w:ascii="Times New Roman" w:cs="Times New Roman" w:eastAsia="Times New Roman" w:hAnsi="Times New Roman"/>
          <w:sz w:val="18"/>
          <w:szCs w:val="18"/>
          <w:color w:val="auto"/>
        </w:rPr>
        <w:t>Equity method income represents the Company's ownership share in joint venture partnerships along with equity investments in other companies in the health care industry. The decrease in income for the three months ended March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with the corresponding period in 2022, was primarily due to the decreased profitability of the Company's joint ventures in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78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560" w:type="dxa"/>
            <w:vAlign w:val="bottom"/>
          </w:tcPr>
          <w:p>
            <w:pPr>
              <w:spacing w:after="0"/>
              <w:rPr>
                <w:sz w:val="24"/>
                <w:szCs w:val="24"/>
                <w:color w:val="auto"/>
              </w:rPr>
            </w:pPr>
          </w:p>
        </w:tc>
      </w:tr>
      <w:tr>
        <w:trPr>
          <w:trHeight w:val="237"/>
        </w:trPr>
        <w:tc>
          <w:tcPr>
            <w:tcW w:w="780" w:type="dxa"/>
            <w:vAlign w:val="bottom"/>
            <w:tcBorders>
              <w:bottom w:val="single" w:sz="8" w:color="CCEEFF"/>
            </w:tcBorders>
          </w:tcPr>
          <w:p>
            <w:pPr>
              <w:spacing w:after="0"/>
              <w:rPr>
                <w:sz w:val="20"/>
                <w:szCs w:val="20"/>
                <w:color w:val="auto"/>
              </w:rPr>
            </w:pPr>
          </w:p>
        </w:tc>
        <w:tc>
          <w:tcPr>
            <w:tcW w:w="54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r>
    </w:tbl>
    <w:p>
      <w:pPr>
        <w:spacing w:after="0" w:line="63"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8"/>
          <w:szCs w:val="18"/>
          <w:color w:val="auto"/>
        </w:rPr>
        <w:t>The change in Other, net for the three months ended March 31, 2023, as compared to the three months ended March 31, 2022, is primarily due to investment losses of $1.5 for the three months ended March 31, 2023 compared to investment gains of $8.0 for the corresponding period of 2022. In addition, foreign currency transaction losses of $2.9 were recognized for the three months ended March 31, 2023 as compared to losses of $2.6 for the corresponding period of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160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160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148.0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12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1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current year effective tax rate differs from the U.S. federal statutory rate of 21.0% primarily due to state income taxes and the disallowance of certain executive compensation which are partially offset by research and development tax credits and favorable foreign rate differentials. The prior year effective tax rate differed from the U.S. federal statutory rate of 21.0% primarily due to state income taxes which were partially offset by windfall stock compensation deductions and favorable foreign rate differentials.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by Segment</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COVID-19-related costs, and other special items. These changes align with how the CODM now evaluates segment performance and allocates resources. Prior periods have been conformed for comparability.</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6"/>
        </w:trPr>
        <w:tc>
          <w:tcPr>
            <w:tcW w:w="59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683.1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27.8 %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(9.3)%</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DD segment operating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168.6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DD segment operating margin</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8.8 %</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11.6 %</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851.7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(82.9)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74.1 %</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(67.1)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(12.6)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687.9</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Dx operating income was $441.5 for the three months ended March 31, 2023, a decrease of $241.6 over operating income of $683.1 in the corresponding period of 2022, and Dx operating margin decreased 930 basis points year-over-year. The decrease in adjusted operating income and adjusted operating margin was due to a reduction in COVID-19 Testing. Excluding COVID-19 Testing, operating income and margin were up due to the benefit of Base Business organic growth and LaunchPad savings, which were partially offset by higher personnel expense.</w:t>
      </w:r>
    </w:p>
    <w:p>
      <w:pPr>
        <w:spacing w:after="0" w:line="85" w:lineRule="exact"/>
        <w:rPr>
          <w:sz w:val="20"/>
          <w:szCs w:val="20"/>
          <w:color w:val="auto"/>
        </w:rPr>
      </w:pPr>
    </w:p>
    <w:p>
      <w:pPr>
        <w:jc w:val="both"/>
        <w:ind w:firstLine="291"/>
        <w:spacing w:after="0" w:line="266" w:lineRule="auto"/>
        <w:tabs>
          <w:tab w:leader="none" w:pos="6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$123.9 for the three months ended March 31, 2023, a decrease of $44.7 over operating income of $168.6 in the corresponding period of 2022. The decrease was due to NHP-related constraints, reduced COVID-19 vaccine and therapeutic work, the FSP contract loss, and a provision for credit losses on certain biotech receivables, partially offset by demand growth and LaunchPad savings.</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$144.3 for the three months ended March 31, 2023, an increase of $61.4 over corporate expenses of $82.9 in the corresponding period of 2022, primarily due to spin transaction costs, personnel costs, bonus allocation, and research and development costs.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remains on track to deliver approximately $350.0 of net savings from its three-year LaunchPad initiative by the end of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w:t>
      </w:r>
    </w:p>
    <w:p>
      <w:pPr>
        <w:spacing w:after="0" w:line="148"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 believes that its balances of cash and cash equivalents and borrowing capacity, along with cash generated from operations, will be sufficient to satisfy its cash requirements, cash dividends, and share repurchases over the next twelve months. The Company's senior unsecured revolving credit facility is further discussed in Note 6 (Debt) to the Company's condensed consolidated financial statements.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5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 summary, the Company's cash flows were as follows for the three months ended March 31, 2023, and 2022, respectively:</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3"/>
        </w:trPr>
        <w:tc>
          <w:tcPr>
            <w:tcW w:w="7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77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March 31, 2023, and 2022, totaled $393.9 and $1,233.5, respectively. Cash and cash equivalents consist of highly liquid instruments, such as time deposits, commercial paper, and other money market investments, which have original maturities of three months or less.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6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Company's operations provided $121.2 of cash as compared to $356.0 during the same period in 2022. The $234.8 decrease in cash provided from operations in 2023 as compared with the corresponding 2022 period is primarily due to lower cash earnings.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6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2023, was $99.7 as compared to $573.1 for the three months ended March 31, 2022. The change in cash used for investing activities was primarily due to a decrease in business acquisitions and lower capital expenditures during the three months ended March 31, 2023. Capital expenditures were $93.9 and $117.2 for the three months ended March 31, 2023, and 2022, respectively.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for the three months ended March 31, 2023, was $60.6 as compared to $17.7 for the three months ended March 31, 2022. The change in cash flows from financing activities for the three months ended March 31, 2023, as compared to the three months ended March 31, 2022, was primarily due to the payment of dividends of $64.4 in 2023.</w:t>
      </w:r>
    </w:p>
    <w:p>
      <w:pPr>
        <w:spacing w:after="0" w:line="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March 31, 2023, the Company had $393.9 of cash and $1,000.0 of available borrowings under its revolving credit facility, which does not mature until 2026. 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March 31, 2023, and expects that it will remain in compliance with its existing debt covenants for the next twelve months.</w:t>
      </w:r>
    </w:p>
    <w:p>
      <w:pPr>
        <w:spacing w:after="0" w:line="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Company did not repurchase any of the Company's common stock. As of March 31, 2023, the Company had an outstanding authorization from the board of directors to purchase up to $1,531.5 more of the Company's common stock with no expiration date.</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the Company paid $64.4 in common stock dividends. On April 6, 2023, the Company announced a cash dividend of $0.72 per share of common stock for the second quarter, or approximately $64.7 in the aggregate. The dividend will be payable on June 8, 2023, to stockholders of record of all issued and outstanding shares of common stock as of the close of business on May 18, 2023. The declaration and payment of any future dividends will be at the discretion of the Company's board of directors.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investment grade debt ratings from Moody’s and from Standard and Poor’s (S&amp;P) contribute to its ability to access capital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3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its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and cross currency swap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6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Approximately 14.2% of the Company's revenues for the three months ended March 31, 2023, and approximately 15.7% of the Company's revenue for the three months ended March 31, 2022,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first quarter of 2023 and the year ended December 31, 2022,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three months ended March 31, 2023, by approximately $6.1. Gross accumulated currency translation adjustments recorded as a separate component of shareholders’ equity were $48.1 and $(74.6) at March 31, 2023 and 2022, respectively. The Company does not have significant operations in countries in which the economy is considered to be highly inflationary.</w:t>
      </w:r>
    </w:p>
    <w:p>
      <w:pPr>
        <w:spacing w:after="0" w:line="9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March 31, 2023, the Company had 28 open foreign exchange forward contracts with various amounts maturing monthly through April 2023 with a notional value totaling approximately $663.5. At December 31, 2022, the Company had 27 open foreign exchange forward contracts with various amounts maturing monthly through January 2023 with a notional value totaling approximately $629.5.</w:t>
      </w:r>
    </w:p>
    <w:p>
      <w:pPr>
        <w:spacing w:after="0" w:line="9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party to U.S. to Swiss Franc cross-currency swap agreements with an aggregate notional amount of $600.0, $300.0 maturing in 2024 and $300.0 maturing in 2025, as a hedge against the impact of foreign exchange movements on its net investment in a Swiss Franc functional currency subsidiary.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LIBOR plus 1.0706%.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7"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Rules13a-15(e) and 15d-15(e) under the Securities Exchange Act of 1934, as amended). Based upon this evaluation, the Company’s principal executive officer and principal financial officer concluded that the Company’s disclosure controls and procedures were effective as of March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March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0" w:firstLine="243"/>
        <w:spacing w:after="0" w:line="282" w:lineRule="auto"/>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 above, which is incorporated herein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risk factors set forth below revise and supplement the corresponding risk factors set forth in the Company's Annual Report on Form 10-K for the year ended December 31, 2022. With the exception of the following, there have been no material changes in the risk factors that appear in the Company's Annual Report on Form 10-K for the year ended December 31, 2022.</w:t>
      </w:r>
    </w:p>
    <w:p>
      <w:pPr>
        <w:spacing w:after="0" w:line="77"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color w:val="auto"/>
        </w:rPr>
        <w:t>The Company depends on a variety of U.S. and international financial institutions to provide us with banking services. The default or failure of one or more of the financial institutions that we rely on may adversely affect the Company's business and financial condition.</w:t>
      </w:r>
    </w:p>
    <w:p>
      <w:pPr>
        <w:spacing w:after="0" w:line="7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international financial institutions, and our deposits at certain of these institutions exceed insured limits. Market conditions can impact the viability of these institutions. In the event of failure of any of the financial institutions where the Company maintains its cash and cash equivalents, there can be no assurance that the Company would be able to access uninsured funds in a timely manner or at all. Additionally, bank payment processes could become unavailable which could temporarily impact the Company's ability to conduct business with suppliers and pay its employees on a timely basis. Any inability to access or delay in accessing these funds could adversely affect the Company's business and financial condition.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148"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The Board of Directors has authorized the repurchase of specified amounts of the Company's stock since 2007. During the three months ended March 31, 2023, the Company did not repurchase any of its common stock. As of March 31, 2023, the Company had outstanding authorization from the board of directors to purchase up to $1,531.5 of the Company's common stock. The repurchase authorization has no expiration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194"/>
        </w:trPr>
        <w:tc>
          <w:tcPr>
            <w:tcW w:w="5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16"/>
                <w:szCs w:val="16"/>
                <w:color w:val="auto"/>
              </w:rPr>
            </w:pPr>
          </w:p>
        </w:tc>
        <w:tc>
          <w:tcPr>
            <w:tcW w:w="9680" w:type="dxa"/>
            <w:vAlign w:val="bottom"/>
            <w:gridSpan w:val="10"/>
          </w:tcPr>
          <w:p>
            <w:pPr>
              <w:spacing w:after="0" w:line="194"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Amendment No. 1, dated as of January 13, 2023, to the Third Amended and Restated Credit Agreement (originally dated as of April</w:t>
              </w:r>
            </w:hyperlink>
          </w:p>
        </w:tc>
      </w:tr>
      <w:tr>
        <w:trPr>
          <w:trHeight w:val="169"/>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30, 2021), among the Company, Bank of America, N.A., as administrative agent, and lenders party thereto (incorporated by reference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60" w:type="dxa"/>
            <w:vAlign w:val="bottom"/>
            <w:gridSpan w:val="9"/>
          </w:tcPr>
          <w:p>
            <w:pPr>
              <w:spacing w:after="0" w:line="16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to Exhibit 10.18 to the Company’s Annual Report on Form 10-K for the fiscal year ended December 31, 2022)</w:t>
              </w:r>
            </w:hyperlink>
          </w:p>
        </w:tc>
        <w:tc>
          <w:tcPr>
            <w:tcW w:w="20" w:type="dxa"/>
            <w:vAlign w:val="bottom"/>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spacing w:after="0"/>
              <w:rPr>
                <w:sz w:val="20"/>
                <w:szCs w:val="20"/>
                <w:color w:val="auto"/>
              </w:rPr>
            </w:pPr>
          </w:p>
        </w:tc>
        <w:tc>
          <w:tcPr>
            <w:tcW w:w="9680" w:type="dxa"/>
            <w:vAlign w:val="bottom"/>
            <w:gridSpan w:val="10"/>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Executive Employment Agreement, dated January 4, 2023, by and between Laboratory Corporation of America and Thomas Pike</w:t>
              </w:r>
            </w:hyperlink>
          </w:p>
        </w:tc>
      </w:tr>
      <w:tr>
        <w:trPr>
          <w:trHeight w:val="169"/>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(incorporated by reference to Exhibit 10.12 to the Company’s Annual Report on Form 10-K for the fiscal year ended December 31,</w:t>
              </w:r>
            </w:hyperlink>
          </w:p>
        </w:tc>
        <w:tc>
          <w:tcPr>
            <w:tcW w:w="60" w:type="dxa"/>
            <w:vAlign w:val="bottom"/>
            <w:tcBorders>
              <w:bottom w:val="single" w:sz="8" w:color="0000FF"/>
            </w:tcBorders>
            <w:gridSpan w:val="3"/>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45">
              <w:r>
                <w:rPr>
                  <w:rFonts w:ascii="Times New Roman" w:cs="Times New Roman" w:eastAsia="Times New Roman" w:hAnsi="Times New Roman"/>
                  <w:sz w:val="18"/>
                  <w:szCs w:val="18"/>
                  <w:color w:val="0000FF"/>
                  <w:w w:val="95"/>
                </w:rPr>
                <w:t>2022)</w:t>
              </w:r>
            </w:hyperlink>
          </w:p>
        </w:tc>
        <w:tc>
          <w:tcPr>
            <w:tcW w:w="14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20" w:type="dxa"/>
            <w:vAlign w:val="bottom"/>
          </w:tcPr>
          <w:p>
            <w:pPr>
              <w:spacing w:after="0"/>
              <w:rPr>
                <w:sz w:val="20"/>
                <w:szCs w:val="20"/>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tcPr>
          <w:p>
            <w:pPr>
              <w:spacing w:after="0"/>
              <w:rPr>
                <w:sz w:val="19"/>
                <w:szCs w:val="19"/>
                <w:color w:val="auto"/>
              </w:rPr>
            </w:pPr>
          </w:p>
        </w:tc>
        <w:tc>
          <w:tcPr>
            <w:tcW w:w="6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200" w:type="dxa"/>
            <w:vAlign w:val="bottom"/>
            <w:gridSpan w:val="6"/>
          </w:tcPr>
          <w:p>
            <w:pPr>
              <w:spacing w:after="0"/>
              <w:rPr>
                <w:sz w:val="19"/>
                <w:szCs w:val="19"/>
                <w:color w:val="auto"/>
              </w:rPr>
            </w:pPr>
          </w:p>
        </w:tc>
      </w:tr>
      <w:tr>
        <w:trPr>
          <w:trHeight w:val="35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Written Statement of Chief Executive Officer and Chief Financial Officer pursuant to Section 906 of the Sarbanes-Oxley Act of 2002</w:t>
            </w:r>
          </w:p>
        </w:tc>
      </w:tr>
      <w:tr>
        <w:trPr>
          <w:trHeight w:val="155"/>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778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0"/>
                <w:szCs w:val="20"/>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3" w:lineRule="exact"/>
        <w:rPr>
          <w:sz w:val="20"/>
          <w:szCs w:val="20"/>
          <w:color w:val="auto"/>
        </w:rPr>
      </w:pPr>
    </w:p>
    <w:p>
      <w:pPr>
        <w:ind w:left="1120" w:hanging="1094"/>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20" w:hanging="1094"/>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LABORATORY CORPORATION OF AMERICA HOLDINGS</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c>
          <w:tcPr>
            <w:tcW w:w="2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GLENN A. EISENBERG</w:t>
            </w:r>
          </w:p>
        </w:tc>
      </w:tr>
      <w:tr>
        <w:trPr>
          <w:trHeight w:val="245"/>
        </w:trPr>
        <w:tc>
          <w:tcPr>
            <w:tcW w:w="760" w:type="dxa"/>
            <w:vAlign w:val="bottom"/>
          </w:tcPr>
          <w:p>
            <w:pPr>
              <w:spacing w:after="0"/>
              <w:rPr>
                <w:sz w:val="21"/>
                <w:szCs w:val="21"/>
                <w:color w:val="auto"/>
              </w:rPr>
            </w:pPr>
          </w:p>
        </w:tc>
        <w:tc>
          <w:tcPr>
            <w:tcW w:w="2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Glenn A. Eisenberg</w:t>
            </w:r>
          </w:p>
        </w:tc>
        <w:tc>
          <w:tcPr>
            <w:tcW w:w="40" w:type="dxa"/>
            <w:vAlign w:val="bottom"/>
            <w:gridSpan w:val="2"/>
          </w:tcPr>
          <w:p>
            <w:pPr>
              <w:spacing w:after="0"/>
              <w:rPr>
                <w:sz w:val="21"/>
                <w:szCs w:val="21"/>
                <w:color w:val="auto"/>
              </w:rPr>
            </w:pPr>
          </w:p>
        </w:tc>
      </w:tr>
      <w:tr>
        <w:trPr>
          <w:trHeight w:val="229"/>
        </w:trPr>
        <w:tc>
          <w:tcPr>
            <w:tcW w:w="760" w:type="dxa"/>
            <w:vAlign w:val="bottom"/>
          </w:tcPr>
          <w:p>
            <w:pPr>
              <w:spacing w:after="0"/>
              <w:rPr>
                <w:sz w:val="19"/>
                <w:szCs w:val="19"/>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Executive Vice President and</w:t>
            </w:r>
          </w:p>
        </w:tc>
      </w:tr>
      <w:tr>
        <w:trPr>
          <w:trHeight w:val="234"/>
        </w:trPr>
        <w:tc>
          <w:tcPr>
            <w:tcW w:w="760" w:type="dxa"/>
            <w:vAlign w:val="bottom"/>
          </w:tcPr>
          <w:p>
            <w:pPr>
              <w:spacing w:after="0"/>
              <w:rPr>
                <w:sz w:val="20"/>
                <w:szCs w:val="20"/>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320" w:top="121" w:right="1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May 4, 2023</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20"/>
          </w:cols>
          <w:pgMar w:left="320" w:top="887" w:right="11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52"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May 4, 2023</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20"/>
          </w:cols>
          <w:pgMar w:left="320" w:top="887" w:right="11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89" w:lineRule="exact"/>
        <w:rPr>
          <w:sz w:val="20"/>
          <w:szCs w:val="20"/>
          <w:color w:val="auto"/>
        </w:rPr>
      </w:pPr>
    </w:p>
    <w:p>
      <w:pPr>
        <w:ind w:firstLine="8"/>
        <w:spacing w:after="0" w:line="282" w:lineRule="auto"/>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March 31, 2023,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r>
      <w:tr>
        <w:trPr>
          <w:trHeight w:val="245"/>
        </w:trPr>
        <w:tc>
          <w:tcPr>
            <w:tcW w:w="58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29"/>
        </w:trPr>
        <w:tc>
          <w:tcPr>
            <w:tcW w:w="58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May 4, 2023</w:t>
            </w:r>
          </w:p>
        </w:tc>
      </w:tr>
      <w:tr>
        <w:trPr>
          <w:trHeight w:val="79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GLENN A. EISENBERG</w:t>
            </w:r>
          </w:p>
        </w:tc>
      </w:tr>
      <w:tr>
        <w:trPr>
          <w:trHeight w:val="245"/>
        </w:trPr>
        <w:tc>
          <w:tcPr>
            <w:tcW w:w="58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30"/>
        </w:trPr>
        <w:tc>
          <w:tcPr>
            <w:tcW w:w="58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May 4, 2023</w:t>
            </w:r>
          </w:p>
        </w:tc>
      </w:tr>
    </w:tbl>
    <w:p>
      <w:pPr>
        <w:sectPr>
          <w:pgSz w:w="11900" w:h="16838" w:orient="portrait"/>
          <w:cols w:equalWidth="0" w:num="1">
            <w:col w:w="10420"/>
          </w:cols>
          <w:pgMar w:left="320" w:top="887" w:right="115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30"/>
    </w:lvl>
    <w:lvl w:ilvl="1">
      <w:lvlJc w:val="left"/>
      <w:lvlText w:val="%2"/>
      <w:numFmt w:val="upperLetter"/>
      <w:start w:val="1"/>
    </w:lvl>
  </w:abstractNum>
  <w:abstractNum w:abstractNumId="3">
    <w:nsid w:val="140E0F76"/>
    <w:multiLevelType w:val="hybridMultilevel"/>
    <w:lvl w:ilvl="0">
      <w:lvlJc w:val="left"/>
      <w:lvlText w:val="%1"/>
      <w:numFmt w:val="upperLetter"/>
      <w:start w:val="35"/>
    </w:lvl>
  </w:abstractNum>
  <w:abstractNum w:abstractNumId="4">
    <w:nsid w:val="3352255A"/>
    <w:multiLevelType w:val="hybridMultilevel"/>
    <w:lvl w:ilvl="0">
      <w:lvlJc w:val="left"/>
      <w:lvlText w:val="%1."/>
      <w:numFmt w:val="decimal"/>
      <w:start w:val="9"/>
    </w:lvl>
  </w:abstractNum>
  <w:abstractNum w:abstractNumId="5">
    <w:nsid w:val="109CF92E"/>
    <w:multiLevelType w:val="hybridMultilevel"/>
    <w:lvl w:ilvl="0">
      <w:lvlJc w:val="left"/>
      <w:lvlText w:val="%1."/>
      <w:numFmt w:val="decimal"/>
      <w:start w:val="10"/>
    </w:lvl>
  </w:abstractNum>
  <w:abstractNum w:abstractNumId="6">
    <w:nsid w:val="DED7263"/>
    <w:multiLevelType w:val="hybridMultilevel"/>
    <w:lvl w:ilvl="0">
      <w:lvlJc w:val="left"/>
      <w:lvlText w:val="%1."/>
      <w:numFmt w:val="decimal"/>
      <w:start w:val="1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decimal"/>
      <w:start w:val="31"/>
    </w:lvl>
    <w:lvl w:ilvl="1">
      <w:lvlJc w:val="left"/>
      <w:lvlText w:val="(%2)"/>
      <w:numFmt w:val="lowerRoman"/>
      <w:start w:val="7"/>
    </w:lvl>
  </w:abstractNum>
  <w:abstractNum w:abstractNumId="10">
    <w:nsid w:val="6B68079A"/>
    <w:multiLevelType w:val="hybridMultilevel"/>
    <w:lvl w:ilvl="0">
      <w:lvlJc w:val="left"/>
      <w:lvlText w:val="%1."/>
      <w:numFmt w:val="decimal"/>
      <w:start w:val="46"/>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upperLetter"/>
      <w:start w:val="30"/>
    </w:lvl>
  </w:abstractNum>
  <w:abstractNum w:abstractNumId="15">
    <w:nsid w:val="3F2DBA31"/>
    <w:multiLevelType w:val="hybridMultilevel"/>
    <w:lvl w:ilvl="0">
      <w:lvlJc w:val="left"/>
      <w:lvlText w:val="%1"/>
      <w:numFmt w:val="upperLetter"/>
      <w:start w:val="30"/>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4" Type="http://schemas.openxmlformats.org/officeDocument/2006/relationships/hyperlink" Target="https://www.sec.gov/Archives/edgar/data/920148/000092014823000017/exhibit1012thirdarcreditag.htm" TargetMode="External"/><Relationship Id="rId45" Type="http://schemas.openxmlformats.org/officeDocument/2006/relationships/hyperlink" Target="https://www.sec.gov/Archives/edgar/data/920148/000092014823000017/exhibit1018thomaspikeemp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2023-05-04T12:41:51Z</dcterms:created>
  <dcterms:modified xsi:type="dcterms:W3CDTF">2023-05-04T12:41:51Z</dcterms:modified>
</cp:coreProperties>
</file>