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74" w:lineRule="exact"/>
        <w:rPr>
          <w:sz w:val="24"/>
          <w:szCs w:val="24"/>
          <w:color w:val="auto"/>
        </w:rPr>
      </w:pPr>
    </w:p>
    <w:p>
      <w:pPr>
        <w:ind w:left="3340" w:hanging="198"/>
        <w:spacing w:after="0"/>
        <w:tabs>
          <w:tab w:leader="none" w:pos="3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20"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2023</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 w:lineRule="exact"/>
        <w:rPr>
          <w:sz w:val="24"/>
          <w:szCs w:val="24"/>
          <w:color w:val="auto"/>
        </w:rPr>
      </w:pPr>
    </w:p>
    <w:p>
      <w:pPr>
        <w:ind w:left="3340" w:hanging="207"/>
        <w:spacing w:after="0"/>
        <w:tabs>
          <w:tab w:leader="none" w:pos="3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2"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9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 ______ to 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1-11353</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 AMERICA HOLDINGS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2"/>
          </w:tcPr>
          <w:p>
            <w:pPr>
              <w:jc w:val="center"/>
              <w:ind w:right="1880"/>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gridSpan w:val="2"/>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13-3757370</w:t>
            </w:r>
          </w:p>
        </w:tc>
        <w:tc>
          <w:tcPr>
            <w:tcW w:w="20" w:type="dxa"/>
            <w:vAlign w:val="bottom"/>
            <w:tcBorders>
              <w:bottom w:val="single" w:sz="8" w:color="auto"/>
            </w:tcBorders>
          </w:tcPr>
          <w:p>
            <w:pPr>
              <w:spacing w:after="0"/>
              <w:rPr>
                <w:sz w:val="20"/>
                <w:szCs w:val="20"/>
                <w:color w:val="auto"/>
              </w:rPr>
            </w:pPr>
          </w:p>
        </w:tc>
      </w:tr>
      <w:tr>
        <w:trPr>
          <w:trHeight w:val="225"/>
        </w:trPr>
        <w:tc>
          <w:tcPr>
            <w:tcW w:w="566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55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(I.R.S. Employer Identification No.)</w:t>
            </w:r>
          </w:p>
        </w:tc>
      </w:tr>
      <w:tr>
        <w:trPr>
          <w:trHeight w:val="343"/>
        </w:trPr>
        <w:tc>
          <w:tcPr>
            <w:tcW w:w="1880" w:type="dxa"/>
            <w:vAlign w:val="bottom"/>
          </w:tcPr>
          <w:p>
            <w:pPr>
              <w:spacing w:after="0"/>
              <w:rPr>
                <w:sz w:val="24"/>
                <w:szCs w:val="24"/>
                <w:color w:val="auto"/>
              </w:rPr>
            </w:pPr>
          </w:p>
        </w:tc>
        <w:tc>
          <w:tcPr>
            <w:tcW w:w="3780" w:type="dxa"/>
            <w:vAlign w:val="bottom"/>
            <w:gridSpan w:val="4"/>
          </w:tcPr>
          <w:p>
            <w:pPr>
              <w:jc w:val="center"/>
              <w:ind w:right="2000"/>
              <w:spacing w:after="0"/>
              <w:rPr>
                <w:sz w:val="20"/>
                <w:szCs w:val="20"/>
                <w:color w:val="auto"/>
              </w:rPr>
            </w:pPr>
            <w:r>
              <w:rPr>
                <w:rFonts w:ascii="Arial" w:cs="Arial" w:eastAsia="Arial" w:hAnsi="Arial"/>
                <w:sz w:val="18"/>
                <w:szCs w:val="18"/>
                <w:b w:val="1"/>
                <w:bCs w:val="1"/>
                <w:color w:val="auto"/>
                <w:w w:val="90"/>
              </w:rPr>
              <w:t>358 South Main Street</w:t>
            </w: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8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w w:val="95"/>
              </w:rPr>
              <w:t>Burlington,</w:t>
            </w:r>
          </w:p>
        </w:tc>
        <w:tc>
          <w:tcPr>
            <w:tcW w:w="366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North Carolina</w:t>
            </w:r>
          </w:p>
        </w:tc>
        <w:tc>
          <w:tcPr>
            <w:tcW w:w="1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27215</w:t>
            </w:r>
          </w:p>
        </w:tc>
        <w:tc>
          <w:tcPr>
            <w:tcW w:w="20" w:type="dxa"/>
            <w:vAlign w:val="bottom"/>
          </w:tcPr>
          <w:p>
            <w:pPr>
              <w:spacing w:after="0"/>
              <w:rPr>
                <w:sz w:val="20"/>
                <w:szCs w:val="20"/>
                <w:color w:val="auto"/>
              </w:rPr>
            </w:pPr>
          </w:p>
        </w:tc>
      </w:tr>
      <w:tr>
        <w:trPr>
          <w:trHeight w:val="225"/>
        </w:trPr>
        <w:tc>
          <w:tcPr>
            <w:tcW w:w="566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(Address of principal executive offices)</w:t>
            </w:r>
          </w:p>
        </w:tc>
        <w:tc>
          <w:tcPr>
            <w:tcW w:w="55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(Zip Code)</w:t>
            </w:r>
          </w:p>
        </w:tc>
      </w:tr>
    </w:tbl>
    <w:p>
      <w:pPr>
        <w:spacing w:after="0" w:line="316" w:lineRule="exact"/>
        <w:rPr>
          <w:sz w:val="24"/>
          <w:szCs w:val="24"/>
          <w:color w:val="auto"/>
        </w:rPr>
      </w:pPr>
    </w:p>
    <w:p>
      <w:pPr>
        <w:ind w:right="3220" w:firstLine="3225"/>
        <w:spacing w:after="0" w:line="397"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336-229-1127</w:t>
      </w:r>
      <w:r>
        <w:rPr>
          <w:rFonts w:ascii="Arial" w:cs="Arial" w:eastAsia="Arial" w:hAnsi="Arial"/>
          <w:sz w:val="18"/>
          <w:szCs w:val="18"/>
          <w:color w:val="auto"/>
        </w:rPr>
        <w:t xml:space="preserve"> Securities registered pursuant to Section 12(b) of the Exchange Act.</w:t>
      </w:r>
    </w:p>
    <w:p>
      <w:pPr>
        <w:sectPr>
          <w:pgSz w:w="11900" w:h="16838" w:orient="portrait"/>
          <w:cols w:equalWidth="0" w:num="1">
            <w:col w:w="11240"/>
          </w:cols>
          <w:pgMar w:left="320" w:top="978" w:right="339" w:bottom="1440" w:gutter="0" w:footer="0" w:header="0"/>
        </w:sectPr>
      </w:pPr>
    </w:p>
    <w:p>
      <w:pPr>
        <w:spacing w:after="0" w:line="88" w:lineRule="exact"/>
        <w:rPr>
          <w:sz w:val="24"/>
          <w:szCs w:val="24"/>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6"/>
          <w:szCs w:val="16"/>
          <w:b w:val="1"/>
          <w:bCs w:val="1"/>
          <w:color w:val="auto"/>
        </w:rPr>
        <w:t>Trading Symbol</w:t>
      </w:r>
    </w:p>
    <w:p>
      <w:pPr>
        <w:spacing w:after="0" w:line="23" w:lineRule="exact"/>
        <w:rPr>
          <w:sz w:val="24"/>
          <w:szCs w:val="24"/>
          <w:color w:val="auto"/>
        </w:rPr>
      </w:pPr>
    </w:p>
    <w:p>
      <w:pPr>
        <w:spacing w:after="0"/>
        <w:tabs>
          <w:tab w:leader="none" w:pos="2640" w:val="left"/>
        </w:tabs>
        <w:rPr>
          <w:sz w:val="20"/>
          <w:szCs w:val="20"/>
          <w:color w:val="auto"/>
        </w:rPr>
      </w:pPr>
      <w:r>
        <w:rPr>
          <w:rFonts w:ascii="Arial" w:cs="Arial" w:eastAsia="Arial" w:hAnsi="Arial"/>
          <w:sz w:val="18"/>
          <w:szCs w:val="18"/>
          <w:color w:val="auto"/>
        </w:rPr>
        <w:t>Common Stock, $0.10 par value</w:t>
      </w:r>
      <w:r>
        <w:rPr>
          <w:sz w:val="20"/>
          <w:szCs w:val="20"/>
          <w:color w:val="auto"/>
        </w:rPr>
        <w:tab/>
      </w:r>
      <w:r>
        <w:rPr>
          <w:rFonts w:ascii="Arial" w:cs="Arial" w:eastAsia="Arial" w:hAnsi="Arial"/>
          <w:sz w:val="18"/>
          <w:szCs w:val="18"/>
          <w:color w:val="auto"/>
        </w:rPr>
        <w:t>LH</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2">
            <w:col w:w="3180" w:space="420"/>
            <w:col w:w="7640"/>
          </w:cols>
          <w:pgMar w:left="320" w:top="978" w:right="339" w:bottom="1440" w:gutter="0" w:footer="0" w:header="0"/>
          <w:type w:val="continuous"/>
        </w:sectPr>
      </w:pP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3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9" w:lineRule="exact"/>
        <w:rPr>
          <w:sz w:val="24"/>
          <w:szCs w:val="24"/>
          <w:color w:val="auto"/>
        </w:rPr>
      </w:pPr>
    </w:p>
    <w:p>
      <w:pPr>
        <w:ind w:right="12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is 84.9 million shares as of October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549275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Arial" w:cs="Arial" w:eastAsia="Arial" w:hAnsi="Arial"/>
                <w:sz w:val="18"/>
                <w:szCs w:val="18"/>
                <w:color w:val="0000FF"/>
              </w:rPr>
              <w:t>INDEX</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18"/>
        </w:trPr>
        <w:tc>
          <w:tcPr>
            <w:tcW w:w="5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5"/>
          </w:tcPr>
          <w:p>
            <w:pPr>
              <w:jc w:val="center"/>
              <w:ind w:right="3140"/>
              <w:spacing w:after="0"/>
              <w:rPr>
                <w:sz w:val="20"/>
                <w:szCs w:val="20"/>
                <w:color w:val="auto"/>
              </w:rPr>
            </w:pPr>
            <w:r>
              <w:rPr>
                <w:rFonts w:ascii="Arial" w:cs="Arial" w:eastAsia="Arial" w:hAnsi="Arial"/>
                <w:sz w:val="18"/>
                <w:szCs w:val="18"/>
                <w:b w:val="1"/>
                <w:bCs w:val="1"/>
                <w:color w:val="auto"/>
              </w:rPr>
              <w:t>INDEX</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40"/>
              <w:spacing w:after="0"/>
              <w:rPr>
                <w:sz w:val="20"/>
                <w:szCs w:val="20"/>
                <w:color w:val="auto"/>
              </w:rPr>
            </w:pPr>
            <w:r>
              <w:rPr>
                <w:rFonts w:ascii="Arial" w:cs="Arial" w:eastAsia="Arial" w:hAnsi="Arial"/>
                <w:sz w:val="18"/>
                <w:szCs w:val="18"/>
                <w:b w:val="1"/>
                <w:bCs w:val="1"/>
                <w:color w:val="auto"/>
              </w:rPr>
              <w:t>PART I. FINANCIAL INFORMATION</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Financial Statements (unaudited)</w:t>
            </w:r>
          </w:p>
        </w:tc>
        <w:tc>
          <w:tcPr>
            <w:tcW w:w="5860" w:type="dxa"/>
            <w:vAlign w:val="bottom"/>
            <w:gridSpan w:val="10"/>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3"/>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6"/>
              </w:rPr>
              <w:t>Condensed Consolidated Balance Sheets</w:t>
            </w:r>
          </w:p>
        </w:tc>
        <w:tc>
          <w:tcPr>
            <w:tcW w:w="5320" w:type="dxa"/>
            <w:vAlign w:val="bottom"/>
            <w:gridSpan w:val="9"/>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Arial" w:cs="Arial" w:eastAsia="Arial" w:hAnsi="Arial"/>
                <w:sz w:val="18"/>
                <w:szCs w:val="18"/>
                <w:color w:val="auto"/>
              </w:rPr>
              <w:t>September 30, 2023 and December 31, 2022</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7"/>
              </w:rPr>
              <w:t>Condensed Consolidated Statements of Operations</w:t>
            </w:r>
          </w:p>
        </w:tc>
        <w:tc>
          <w:tcPr>
            <w:tcW w:w="4600" w:type="dxa"/>
            <w:vAlign w:val="bottom"/>
            <w:gridSpan w:val="8"/>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Arial" w:cs="Arial" w:eastAsia="Arial" w:hAnsi="Arial"/>
                <w:sz w:val="18"/>
                <w:szCs w:val="18"/>
                <w:color w:val="auto"/>
              </w:rPr>
              <w:t>Three and Nine Months Ended September 30, 2023 and 2022</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Earnings</w:t>
            </w:r>
          </w:p>
        </w:tc>
        <w:tc>
          <w:tcPr>
            <w:tcW w:w="2080" w:type="dxa"/>
            <w:vAlign w:val="bottom"/>
            <w:gridSpan w:val="4"/>
          </w:tcPr>
          <w:p>
            <w:pPr>
              <w:jc w:val="right"/>
              <w:ind w:right="40"/>
              <w:spacing w:after="0"/>
              <w:rPr>
                <w:sz w:val="20"/>
                <w:szCs w:val="20"/>
                <w:color w:val="auto"/>
              </w:rPr>
            </w:pPr>
            <w:r>
              <w:rPr>
                <w:rFonts w:ascii="Arial" w:cs="Arial" w:eastAsia="Arial" w:hAnsi="Arial"/>
                <w:sz w:val="18"/>
                <w:szCs w:val="18"/>
                <w:color w:val="0000FF"/>
              </w:rPr>
              <w:t>4</w:t>
            </w: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w w:val="93"/>
              </w:rPr>
              <w:t>Three and Nine Months Ended September 30, 2023 and 2022</w:t>
            </w:r>
          </w:p>
        </w:tc>
        <w:tc>
          <w:tcPr>
            <w:tcW w:w="360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41"/>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Condensed Consolidated Statements of Changes in Shareholders’ Equity</w:t>
            </w:r>
          </w:p>
        </w:tc>
        <w:tc>
          <w:tcPr>
            <w:tcW w:w="3040" w:type="dxa"/>
            <w:vAlign w:val="bottom"/>
            <w:gridSpan w:val="2"/>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20" w:type="dxa"/>
            <w:vAlign w:val="bottom"/>
            <w:gridSpan w:val="15"/>
          </w:tcPr>
          <w:p>
            <w:pPr>
              <w:spacing w:after="0"/>
              <w:rPr>
                <w:sz w:val="20"/>
                <w:szCs w:val="20"/>
                <w:color w:val="auto"/>
              </w:rPr>
            </w:pPr>
            <w:r>
              <w:rPr>
                <w:rFonts w:ascii="Arial" w:cs="Arial" w:eastAsia="Arial" w:hAnsi="Arial"/>
                <w:sz w:val="18"/>
                <w:szCs w:val="18"/>
                <w:color w:val="auto"/>
              </w:rPr>
              <w:t>Three and Nine Months Ended September 30, 2023 and 2022</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2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2080" w:type="dxa"/>
            <w:vAlign w:val="bottom"/>
            <w:gridSpan w:val="4"/>
          </w:tcPr>
          <w:p>
            <w:pPr>
              <w:jc w:val="right"/>
              <w:ind w:right="40"/>
              <w:spacing w:after="0"/>
              <w:rPr>
                <w:sz w:val="20"/>
                <w:szCs w:val="20"/>
                <w:color w:val="auto"/>
              </w:rPr>
            </w:pPr>
            <w:r>
              <w:rPr>
                <w:rFonts w:ascii="Arial" w:cs="Arial" w:eastAsia="Arial" w:hAnsi="Arial"/>
                <w:sz w:val="18"/>
                <w:szCs w:val="18"/>
                <w:color w:val="0000FF"/>
              </w:rPr>
              <w:t>6</w:t>
            </w:r>
          </w:p>
        </w:tc>
      </w:tr>
      <w:tr>
        <w:trPr>
          <w:trHeight w:val="245"/>
        </w:trPr>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0"/>
              </w:rPr>
              <w:t>Nine months ended September 30, 2023 and 2022</w:t>
            </w:r>
          </w:p>
        </w:tc>
        <w:tc>
          <w:tcPr>
            <w:tcW w:w="4560" w:type="dxa"/>
            <w:vAlign w:val="bottom"/>
            <w:gridSpan w:val="7"/>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14"/>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Notes to Unaudited Condensed Consolidated Financial Statements</w:t>
            </w:r>
          </w:p>
        </w:tc>
        <w:tc>
          <w:tcPr>
            <w:tcW w:w="3480" w:type="dxa"/>
            <w:vAlign w:val="bottom"/>
            <w:gridSpan w:val="3"/>
          </w:tcPr>
          <w:p>
            <w:pPr>
              <w:spacing w:after="0"/>
              <w:rPr>
                <w:sz w:val="24"/>
                <w:szCs w:val="24"/>
                <w:color w:val="auto"/>
              </w:rPr>
            </w:pPr>
          </w:p>
        </w:tc>
        <w:tc>
          <w:tcPr>
            <w:tcW w:w="19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40" w:type="dxa"/>
            <w:vAlign w:val="bottom"/>
          </w:tcPr>
          <w:p>
            <w:pPr>
              <w:spacing w:after="0"/>
              <w:rPr>
                <w:sz w:val="24"/>
                <w:szCs w:val="24"/>
                <w:color w:val="auto"/>
              </w:rPr>
            </w:pPr>
          </w:p>
        </w:tc>
      </w:tr>
      <w:tr>
        <w:trPr>
          <w:trHeight w:val="43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6380" w:type="dxa"/>
            <w:vAlign w:val="bottom"/>
            <w:gridSpan w:val="14"/>
          </w:tcPr>
          <w:p>
            <w:pPr>
              <w:spacing w:after="0"/>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0000FF"/>
              </w:rPr>
              <w:t>23</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260" w:type="dxa"/>
            <w:vAlign w:val="bottom"/>
            <w:gridSpan w:val="9"/>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2120" w:type="dxa"/>
            <w:vAlign w:val="bottom"/>
            <w:gridSpan w:val="5"/>
          </w:tcPr>
          <w:p>
            <w:pPr>
              <w:spacing w:after="0"/>
              <w:rPr>
                <w:sz w:val="24"/>
                <w:szCs w:val="24"/>
                <w:color w:val="auto"/>
              </w:rPr>
            </w:pPr>
          </w:p>
        </w:tc>
        <w:tc>
          <w:tcPr>
            <w:tcW w:w="184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426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3960" w:type="dxa"/>
            <w:vAlign w:val="bottom"/>
            <w:gridSpan w:val="6"/>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0000FF"/>
              </w:rPr>
              <w:t>34</w:t>
            </w:r>
          </w:p>
        </w:tc>
        <w:tc>
          <w:tcPr>
            <w:tcW w:w="40" w:type="dxa"/>
            <w:vAlign w:val="bottom"/>
          </w:tcPr>
          <w:p>
            <w:pPr>
              <w:spacing w:after="0"/>
              <w:rPr>
                <w:sz w:val="24"/>
                <w:szCs w:val="24"/>
                <w:color w:val="auto"/>
              </w:rPr>
            </w:pPr>
          </w:p>
        </w:tc>
      </w:tr>
      <w:tr>
        <w:trPr>
          <w:trHeight w:val="565"/>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9"/>
          </w:tcPr>
          <w:p>
            <w:pPr>
              <w:jc w:val="center"/>
              <w:ind w:right="1760"/>
              <w:spacing w:after="0"/>
              <w:rPr>
                <w:sz w:val="20"/>
                <w:szCs w:val="20"/>
                <w:color w:val="auto"/>
              </w:rPr>
            </w:pPr>
            <w:r>
              <w:rPr>
                <w:rFonts w:ascii="Arial" w:cs="Arial" w:eastAsia="Arial" w:hAnsi="Arial"/>
                <w:sz w:val="18"/>
                <w:szCs w:val="18"/>
                <w:b w:val="1"/>
                <w:bCs w:val="1"/>
                <w:color w:val="auto"/>
              </w:rPr>
              <w:t>PART II. OTHER INFORMATION</w:t>
            </w: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4"/>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8220" w:type="dxa"/>
            <w:vAlign w:val="bottom"/>
            <w:gridSpan w:val="15"/>
          </w:tcPr>
          <w:p>
            <w:pPr>
              <w:spacing w:after="0"/>
              <w:rPr>
                <w:sz w:val="20"/>
                <w:szCs w:val="20"/>
                <w:color w:val="auto"/>
              </w:rPr>
            </w:pPr>
            <w:r>
              <w:rPr>
                <w:rFonts w:ascii="Arial" w:cs="Arial" w:eastAsia="Arial" w:hAnsi="Arial"/>
                <w:sz w:val="18"/>
                <w:szCs w:val="18"/>
                <w:color w:val="0000FF"/>
              </w:rPr>
              <w:t>Legal Proceedings</w:t>
            </w:r>
          </w:p>
        </w:tc>
        <w:tc>
          <w:tcPr>
            <w:tcW w:w="2040" w:type="dxa"/>
            <w:vAlign w:val="bottom"/>
            <w:gridSpan w:val="3"/>
          </w:tcPr>
          <w:p>
            <w:pPr>
              <w:jc w:val="right"/>
              <w:spacing w:after="0"/>
              <w:rPr>
                <w:sz w:val="20"/>
                <w:szCs w:val="20"/>
                <w:color w:val="auto"/>
              </w:rPr>
            </w:pPr>
            <w:r>
              <w:rPr>
                <w:rFonts w:ascii="Arial" w:cs="Arial" w:eastAsia="Arial" w:hAnsi="Arial"/>
                <w:sz w:val="18"/>
                <w:szCs w:val="18"/>
                <w:color w:val="0000FF"/>
              </w:rPr>
              <w:t>35</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0000FF"/>
              </w:rPr>
              <w:t>35</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00" w:type="dxa"/>
            <w:vAlign w:val="bottom"/>
            <w:gridSpan w:val="10"/>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0000FF"/>
              </w:rPr>
              <w:t>35</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7"/>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0"/>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4300" w:type="dxa"/>
            <w:vAlign w:val="bottom"/>
            <w:gridSpan w:val="10"/>
          </w:tcPr>
          <w:p>
            <w:pPr>
              <w:spacing w:after="0"/>
              <w:rPr>
                <w:sz w:val="20"/>
                <w:szCs w:val="20"/>
                <w:color w:val="auto"/>
              </w:rPr>
            </w:pPr>
            <w:r>
              <w:rPr>
                <w:rFonts w:ascii="Arial" w:cs="Arial" w:eastAsia="Arial" w:hAnsi="Arial"/>
                <w:sz w:val="18"/>
                <w:szCs w:val="18"/>
                <w:color w:val="0000FF"/>
              </w:rPr>
              <w:t>Other Information</w:t>
            </w:r>
          </w:p>
        </w:tc>
        <w:tc>
          <w:tcPr>
            <w:tcW w:w="3920" w:type="dxa"/>
            <w:vAlign w:val="bottom"/>
            <w:gridSpan w:val="5"/>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40" w:type="dxa"/>
            <w:vAlign w:val="bottom"/>
          </w:tcPr>
          <w:p>
            <w:pPr>
              <w:spacing w:after="0"/>
              <w:rPr>
                <w:sz w:val="24"/>
                <w:szCs w:val="24"/>
                <w:color w:val="auto"/>
              </w:rPr>
            </w:pPr>
          </w:p>
        </w:tc>
      </w:tr>
      <w:tr>
        <w:trPr>
          <w:trHeight w:val="20"/>
        </w:trPr>
        <w:tc>
          <w:tcPr>
            <w:tcW w:w="9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920" w:type="dxa"/>
            <w:vAlign w:val="bottom"/>
            <w:gridSpan w:val="1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2"/>
          </w:tcPr>
          <w:p>
            <w:pPr>
              <w:spacing w:after="0"/>
              <w:rPr>
                <w:sz w:val="24"/>
                <w:szCs w:val="24"/>
                <w:color w:val="auto"/>
              </w:rPr>
            </w:pPr>
          </w:p>
        </w:tc>
        <w:tc>
          <w:tcPr>
            <w:tcW w:w="6920" w:type="dxa"/>
            <w:vAlign w:val="bottom"/>
            <w:gridSpan w:val="12"/>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40" w:type="dxa"/>
            <w:vAlign w:val="bottom"/>
          </w:tcPr>
          <w:p>
            <w:pPr>
              <w:spacing w:after="0"/>
              <w:rPr>
                <w:sz w:val="24"/>
                <w:szCs w:val="24"/>
                <w:color w:val="auto"/>
              </w:rPr>
            </w:pPr>
          </w:p>
        </w:tc>
      </w:tr>
      <w:tr>
        <w:trPr>
          <w:trHeight w:val="858"/>
        </w:trPr>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140" w:type="dxa"/>
            <w:vAlign w:val="bottom"/>
            <w:gridSpan w:val="11"/>
          </w:tcPr>
          <w:p>
            <w:pPr>
              <w:jc w:val="center"/>
              <w:ind w:left="3931"/>
              <w:spacing w:after="0"/>
              <w:rPr>
                <w:sz w:val="20"/>
                <w:szCs w:val="20"/>
                <w:color w:val="auto"/>
              </w:rPr>
            </w:pPr>
            <w:r>
              <w:rPr>
                <w:rFonts w:ascii="Arial" w:cs="Arial" w:eastAsia="Arial" w:hAnsi="Arial"/>
                <w:sz w:val="18"/>
                <w:szCs w:val="18"/>
                <w:color w:val="auto"/>
                <w:w w:val="79"/>
              </w:rPr>
              <w:t>1</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2023</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2022</w:t>
            </w:r>
          </w:p>
        </w:tc>
      </w:tr>
      <w:tr>
        <w:trPr>
          <w:trHeight w:val="227"/>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26"/>
        </w:trPr>
        <w:tc>
          <w:tcPr>
            <w:tcW w:w="79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1,785.5</w:t>
            </w:r>
          </w:p>
        </w:tc>
      </w:tr>
      <w:tr>
        <w:trPr>
          <w:trHeight w:val="227"/>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services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26"/>
        </w:trPr>
        <w:tc>
          <w:tcPr>
            <w:tcW w:w="7940" w:type="dxa"/>
            <w:vAlign w:val="bottom"/>
          </w:tcPr>
          <w:p>
            <w:pPr>
              <w:ind w:left="220"/>
              <w:spacing w:after="0"/>
              <w:rPr>
                <w:sz w:val="20"/>
                <w:szCs w:val="20"/>
                <w:color w:val="auto"/>
              </w:rPr>
            </w:pPr>
            <w:r>
              <w:rPr>
                <w:rFonts w:ascii="Arial" w:cs="Arial" w:eastAsia="Arial" w:hAnsi="Arial"/>
                <w:sz w:val="18"/>
                <w:szCs w:val="18"/>
                <w:color w:val="auto"/>
              </w:rPr>
              <w:t>Supplies inventory</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470.6</w:t>
            </w:r>
          </w:p>
        </w:tc>
      </w:tr>
      <w:tr>
        <w:trPr>
          <w:trHeight w:val="227"/>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w:t>
            </w:r>
          </w:p>
        </w:tc>
      </w:tr>
      <w:tr>
        <w:trPr>
          <w:trHeight w:val="226"/>
        </w:trPr>
        <w:tc>
          <w:tcPr>
            <w:tcW w:w="7940" w:type="dxa"/>
            <w:vAlign w:val="bottom"/>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4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1,226.1</w:t>
            </w:r>
          </w:p>
        </w:tc>
      </w:tr>
      <w:tr>
        <w:trPr>
          <w:trHeight w:val="221"/>
        </w:trPr>
        <w:tc>
          <w:tcPr>
            <w:tcW w:w="7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4,625.0</w:t>
            </w: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2,820.5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2,794.1</w:t>
            </w: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w:t>
            </w: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3,275.6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3,123.6</w:t>
            </w: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Joint venture partnerships and equity method investments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r>
      <w:tr>
        <w:trPr>
          <w:trHeight w:val="233"/>
        </w:trPr>
        <w:tc>
          <w:tcPr>
            <w:tcW w:w="7940" w:type="dxa"/>
            <w:vAlign w:val="bottom"/>
          </w:tcPr>
          <w:p>
            <w:pPr>
              <w:ind w:left="20"/>
              <w:spacing w:after="0"/>
              <w:rPr>
                <w:sz w:val="20"/>
                <w:szCs w:val="20"/>
                <w:color w:val="auto"/>
              </w:rPr>
            </w:pPr>
            <w:r>
              <w:rPr>
                <w:rFonts w:ascii="Arial" w:cs="Arial" w:eastAsia="Arial" w:hAnsi="Arial"/>
                <w:sz w:val="18"/>
                <w:szCs w:val="18"/>
                <w:color w:val="auto"/>
              </w:rPr>
              <w:t>Long-term assets of discontinued operations</w:t>
            </w:r>
          </w:p>
        </w:tc>
        <w:tc>
          <w:tcPr>
            <w:tcW w:w="4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3,038.2</w:t>
            </w:r>
          </w:p>
        </w:tc>
      </w:tr>
      <w:tr>
        <w:trPr>
          <w:trHeight w:val="252"/>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8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7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r>
      <w:tr>
        <w:trPr>
          <w:trHeight w:val="226"/>
        </w:trPr>
        <w:tc>
          <w:tcPr>
            <w:tcW w:w="7940" w:type="dxa"/>
            <w:vAlign w:val="bottom"/>
          </w:tcPr>
          <w:p>
            <w:pPr>
              <w:ind w:left="220"/>
              <w:spacing w:after="0"/>
              <w:rPr>
                <w:sz w:val="20"/>
                <w:szCs w:val="20"/>
                <w:color w:val="auto"/>
              </w:rPr>
            </w:pPr>
            <w:r>
              <w:rPr>
                <w:rFonts w:ascii="Arial" w:cs="Arial" w:eastAsia="Arial" w:hAnsi="Arial"/>
                <w:sz w:val="18"/>
                <w:szCs w:val="18"/>
                <w:color w:val="auto"/>
              </w:rPr>
              <w:t>Accrued expenses and other</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787.0</w:t>
            </w:r>
          </w:p>
        </w:tc>
      </w:tr>
      <w:tr>
        <w:trPr>
          <w:trHeight w:val="227"/>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r>
        <w:trPr>
          <w:trHeight w:val="226"/>
        </w:trPr>
        <w:tc>
          <w:tcPr>
            <w:tcW w:w="7940" w:type="dxa"/>
            <w:vAlign w:val="bottom"/>
          </w:tcPr>
          <w:p>
            <w:pPr>
              <w:ind w:left="220"/>
              <w:spacing w:after="0"/>
              <w:rPr>
                <w:sz w:val="20"/>
                <w:szCs w:val="20"/>
                <w:color w:val="auto"/>
              </w:rPr>
            </w:pPr>
            <w:r>
              <w:rPr>
                <w:rFonts w:ascii="Arial" w:cs="Arial" w:eastAsia="Arial" w:hAnsi="Arial"/>
                <w:sz w:val="18"/>
                <w:szCs w:val="18"/>
                <w:color w:val="auto"/>
              </w:rPr>
              <w:t>Short-term operating lease liabilities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227"/>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finance lease liabilities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6"/>
        </w:trPr>
        <w:tc>
          <w:tcPr>
            <w:tcW w:w="7940" w:type="dxa"/>
            <w:vAlign w:val="bottom"/>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301.3</w:t>
            </w:r>
          </w:p>
        </w:tc>
      </w:tr>
      <w:tr>
        <w:trPr>
          <w:trHeight w:val="227"/>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r>
      <w:tr>
        <w:trPr>
          <w:trHeight w:val="219"/>
        </w:trPr>
        <w:tc>
          <w:tcPr>
            <w:tcW w:w="79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2,900.8</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3,078.5</w:t>
            </w: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5,038.8</w:t>
            </w: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652.9</w:t>
            </w: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 liabilities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543.4</w:t>
            </w: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Long-term liabilities of discontinued operations</w:t>
            </w:r>
          </w:p>
        </w:tc>
        <w:tc>
          <w:tcPr>
            <w:tcW w:w="4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21"/>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8,993.5</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10,039.6</w:t>
            </w: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6"/>
        </w:trPr>
        <w:tc>
          <w:tcPr>
            <w:tcW w:w="79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75"/>
        </w:trPr>
        <w:tc>
          <w:tcPr>
            <w:tcW w:w="794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8"/>
              </w:rPr>
              <w:t>Common stock, 84.9 and 88.2 shares outstanding at September 30, 2023, and December 31, 2022,</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6"/>
        </w:trPr>
        <w:tc>
          <w:tcPr>
            <w:tcW w:w="79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10,581.7</w:t>
            </w:r>
          </w:p>
        </w:tc>
      </w:tr>
      <w:tr>
        <w:trPr>
          <w:trHeight w:val="233"/>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r>
      <w:tr>
        <w:trPr>
          <w:trHeight w:val="233"/>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10,096.6</w:t>
            </w:r>
          </w:p>
        </w:tc>
      </w:tr>
      <w:tr>
        <w:trPr>
          <w:trHeight w:val="227"/>
        </w:trPr>
        <w:tc>
          <w:tcPr>
            <w:tcW w:w="79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16,886.0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20,155.1</w:t>
            </w:r>
          </w:p>
        </w:tc>
      </w:tr>
      <w:tr>
        <w:trPr>
          <w:trHeight w:val="20"/>
        </w:trPr>
        <w:tc>
          <w:tcPr>
            <w:tcW w:w="7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480" w:type="dxa"/>
            <w:vAlign w:val="bottom"/>
            <w:gridSpan w:val="3"/>
          </w:tcPr>
          <w:p>
            <w:pPr>
              <w:spacing w:after="0"/>
              <w:rPr>
                <w:sz w:val="20"/>
                <w:szCs w:val="20"/>
                <w:color w:val="auto"/>
              </w:rPr>
            </w:pPr>
            <w:r>
              <w:rPr>
                <w:rFonts w:ascii="Arial" w:cs="Arial" w:eastAsia="Arial" w:hAnsi="Arial"/>
                <w:sz w:val="18"/>
                <w:szCs w:val="18"/>
                <w:color w:val="0000FF"/>
              </w:rPr>
              <w:t>INDEX</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61"/>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340" w:type="dxa"/>
            <w:vAlign w:val="bottom"/>
            <w:gridSpan w:val="7"/>
          </w:tcPr>
          <w:p>
            <w:pPr>
              <w:jc w:val="center"/>
              <w:ind w:left="169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340" w:type="dxa"/>
            <w:vAlign w:val="bottom"/>
            <w:gridSpan w:val="7"/>
          </w:tcPr>
          <w:p>
            <w:pPr>
              <w:jc w:val="center"/>
              <w:ind w:left="1691"/>
              <w:spacing w:after="0"/>
              <w:rPr>
                <w:sz w:val="20"/>
                <w:szCs w:val="20"/>
                <w:color w:val="auto"/>
              </w:rPr>
            </w:pPr>
            <w:r>
              <w:rPr>
                <w:rFonts w:ascii="Arial" w:cs="Arial" w:eastAsia="Arial" w:hAnsi="Arial"/>
                <w:sz w:val="18"/>
                <w:szCs w:val="18"/>
                <w:b w:val="1"/>
                <w:bCs w:val="1"/>
                <w:color w:val="auto"/>
                <w:w w:val="97"/>
              </w:rPr>
              <w:t>CONDENSED CONSOLIDATED STATEMENTS OF OPERATIONS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140" w:type="dxa"/>
            <w:vAlign w:val="bottom"/>
            <w:gridSpan w:val="4"/>
          </w:tcPr>
          <w:p>
            <w:pPr>
              <w:jc w:val="center"/>
              <w:ind w:left="2911"/>
              <w:spacing w:after="0"/>
              <w:rPr>
                <w:sz w:val="20"/>
                <w:szCs w:val="20"/>
                <w:color w:val="auto"/>
              </w:rPr>
            </w:pPr>
            <w:r>
              <w:rPr>
                <w:rFonts w:ascii="Arial" w:cs="Arial" w:eastAsia="Arial" w:hAnsi="Arial"/>
                <w:sz w:val="18"/>
                <w:szCs w:val="18"/>
                <w:b w:val="1"/>
                <w:bCs w:val="1"/>
                <w:color w:val="auto"/>
                <w:w w:val="88"/>
              </w:rPr>
              <w:t>(in millions, except per share data)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20" w:type="dxa"/>
            <w:vAlign w:val="bottom"/>
          </w:tcPr>
          <w:p>
            <w:pPr>
              <w:jc w:val="center"/>
              <w:ind w:left="4111"/>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24"/>
                <w:szCs w:val="24"/>
                <w:color w:val="auto"/>
              </w:rPr>
            </w:pPr>
          </w:p>
        </w:tc>
        <w:tc>
          <w:tcPr>
            <w:tcW w:w="2060" w:type="dxa"/>
            <w:vAlign w:val="bottom"/>
            <w:gridSpan w:val="4"/>
          </w:tcPr>
          <w:p>
            <w:pPr>
              <w:jc w:val="right"/>
              <w:ind w:right="311"/>
              <w:spacing w:after="0"/>
              <w:rPr>
                <w:sz w:val="20"/>
                <w:szCs w:val="20"/>
                <w:color w:val="auto"/>
              </w:rPr>
            </w:pPr>
            <w:r>
              <w:rPr>
                <w:rFonts w:ascii="Arial" w:cs="Arial" w:eastAsia="Arial" w:hAnsi="Arial"/>
                <w:sz w:val="18"/>
                <w:szCs w:val="18"/>
                <w:b w:val="1"/>
                <w:bCs w:val="1"/>
                <w:color w:val="auto"/>
                <w:w w:val="97"/>
              </w:rPr>
              <w:t>Nine Months Ended</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20"/>
                <w:szCs w:val="20"/>
                <w:color w:val="auto"/>
              </w:rPr>
            </w:pPr>
          </w:p>
        </w:tc>
        <w:tc>
          <w:tcPr>
            <w:tcW w:w="206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20" w:type="dxa"/>
            <w:vAlign w:val="bottom"/>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9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r>
      <w:tr>
        <w:trPr>
          <w:trHeight w:val="221"/>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8,934.2</w:t>
            </w:r>
          </w:p>
        </w:tc>
      </w:tr>
      <w:tr>
        <w:trPr>
          <w:trHeight w:val="226"/>
        </w:trPr>
        <w:tc>
          <w:tcPr>
            <w:tcW w:w="20" w:type="dxa"/>
            <w:vAlign w:val="bottom"/>
          </w:tcPr>
          <w:p>
            <w:pPr>
              <w:spacing w:after="0"/>
              <w:rPr>
                <w:sz w:val="19"/>
                <w:szCs w:val="19"/>
                <w:color w:val="auto"/>
              </w:rPr>
            </w:pPr>
          </w:p>
        </w:tc>
        <w:tc>
          <w:tcPr>
            <w:tcW w:w="6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6,023.4</w:t>
            </w:r>
          </w:p>
        </w:tc>
      </w:tr>
      <w:tr>
        <w:trPr>
          <w:trHeight w:val="221"/>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2,910.8</w:t>
            </w:r>
          </w:p>
        </w:tc>
      </w:tr>
      <w:tr>
        <w:trPr>
          <w:trHeight w:val="226"/>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1,307.6</w:t>
            </w:r>
          </w:p>
        </w:tc>
      </w:tr>
      <w:tr>
        <w:trPr>
          <w:trHeight w:val="227"/>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26"/>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20" w:type="dxa"/>
            <w:vAlign w:val="bottom"/>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1,408.0</w:t>
            </w:r>
          </w:p>
        </w:tc>
      </w:tr>
      <w:tr>
        <w:trPr>
          <w:trHeight w:val="227"/>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27"/>
        </w:trPr>
        <w:tc>
          <w:tcPr>
            <w:tcW w:w="20" w:type="dxa"/>
            <w:vAlign w:val="bottom"/>
          </w:tcPr>
          <w:p>
            <w:pPr>
              <w:spacing w:after="0"/>
              <w:rPr>
                <w:sz w:val="19"/>
                <w:szCs w:val="19"/>
                <w:color w:val="auto"/>
              </w:rPr>
            </w:pPr>
          </w:p>
        </w:tc>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6"/>
        </w:trPr>
        <w:tc>
          <w:tcPr>
            <w:tcW w:w="20" w:type="dxa"/>
            <w:vAlign w:val="bottom"/>
          </w:tcPr>
          <w:p>
            <w:pPr>
              <w:spacing w:after="0"/>
              <w:rPr>
                <w:sz w:val="19"/>
                <w:szCs w:val="19"/>
                <w:color w:val="auto"/>
              </w:rPr>
            </w:pPr>
          </w:p>
        </w:tc>
        <w:tc>
          <w:tcPr>
            <w:tcW w:w="6460" w:type="dxa"/>
            <w:vAlign w:val="bottom"/>
            <w:gridSpan w:val="2"/>
          </w:tcPr>
          <w:p>
            <w:pPr>
              <w:ind w:left="220"/>
              <w:spacing w:after="0"/>
              <w:rPr>
                <w:sz w:val="20"/>
                <w:szCs w:val="20"/>
                <w:color w:val="auto"/>
              </w:rPr>
            </w:pPr>
            <w:r>
              <w:rPr>
                <w:rFonts w:ascii="Arial" w:cs="Arial" w:eastAsia="Arial" w:hAnsi="Arial"/>
                <w:sz w:val="18"/>
                <w:szCs w:val="18"/>
                <w:color w:val="auto"/>
              </w:rPr>
              <w:t>Equity method income (expense),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7"/>
        </w:trPr>
        <w:tc>
          <w:tcPr>
            <w:tcW w:w="20" w:type="dxa"/>
            <w:vAlign w:val="bottom"/>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Earnings from continuing operations before income taxes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1,227.2</w:t>
            </w:r>
          </w:p>
        </w:tc>
      </w:tr>
      <w:tr>
        <w:trPr>
          <w:trHeight w:val="247"/>
        </w:trPr>
        <w:tc>
          <w:tcPr>
            <w:tcW w:w="20" w:type="dxa"/>
            <w:vAlign w:val="bottom"/>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Earnings from continuing operations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966.4</w:t>
            </w:r>
          </w:p>
        </w:tc>
      </w:tr>
      <w:tr>
        <w:trPr>
          <w:trHeight w:val="247"/>
        </w:trPr>
        <w:tc>
          <w:tcPr>
            <w:tcW w:w="20" w:type="dxa"/>
            <w:vAlign w:val="bottom"/>
          </w:tcPr>
          <w:p>
            <w:pPr>
              <w:spacing w:after="0"/>
              <w:rPr>
                <w:sz w:val="21"/>
                <w:szCs w:val="21"/>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r>
      <w:tr>
        <w:trPr>
          <w:trHeight w:val="213"/>
        </w:trPr>
        <w:tc>
          <w:tcPr>
            <w:tcW w:w="20" w:type="dxa"/>
            <w:vAlign w:val="bottom"/>
          </w:tcPr>
          <w:p>
            <w:pPr>
              <w:spacing w:after="0"/>
              <w:rPr>
                <w:sz w:val="18"/>
                <w:szCs w:val="18"/>
                <w:color w:val="auto"/>
              </w:rPr>
            </w:pPr>
          </w:p>
        </w:tc>
        <w:tc>
          <w:tcPr>
            <w:tcW w:w="64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1,204.2</w:t>
            </w:r>
          </w:p>
        </w:tc>
      </w:tr>
      <w:tr>
        <w:trPr>
          <w:trHeight w:val="234"/>
        </w:trPr>
        <w:tc>
          <w:tcPr>
            <w:tcW w:w="20" w:type="dxa"/>
            <w:vAlign w:val="bottom"/>
          </w:tcPr>
          <w:p>
            <w:pPr>
              <w:spacing w:after="0"/>
              <w:rPr>
                <w:sz w:val="20"/>
                <w:szCs w:val="20"/>
                <w:color w:val="auto"/>
              </w:rPr>
            </w:pPr>
          </w:p>
        </w:tc>
        <w:tc>
          <w:tcPr>
            <w:tcW w:w="6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Net earnings attributable to the noncontrolling interest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1,203.0</w:t>
            </w: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 continuing operations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6"/>
        </w:trPr>
        <w:tc>
          <w:tcPr>
            <w:tcW w:w="20" w:type="dxa"/>
            <w:vAlign w:val="bottom"/>
          </w:tcPr>
          <w:p>
            <w:pPr>
              <w:spacing w:after="0"/>
              <w:rPr>
                <w:sz w:val="19"/>
                <w:szCs w:val="19"/>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color w:val="auto"/>
              </w:rPr>
              <w:t>Basic earnings per common share discontinued operations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46"/>
        </w:trPr>
        <w:tc>
          <w:tcPr>
            <w:tcW w:w="20" w:type="dxa"/>
            <w:vAlign w:val="bottom"/>
          </w:tcPr>
          <w:p>
            <w:pPr>
              <w:spacing w:after="0"/>
              <w:rPr>
                <w:sz w:val="20"/>
                <w:szCs w:val="20"/>
                <w:color w:val="auto"/>
              </w:rPr>
            </w:pPr>
          </w:p>
        </w:tc>
        <w:tc>
          <w:tcPr>
            <w:tcW w:w="64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7"/>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color w:val="auto"/>
              </w:rPr>
              <w:t>Diluted earnings per common share continuing operations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27"/>
        </w:trPr>
        <w:tc>
          <w:tcPr>
            <w:tcW w:w="20" w:type="dxa"/>
            <w:vAlign w:val="bottom"/>
          </w:tcPr>
          <w:p>
            <w:pPr>
              <w:spacing w:after="0"/>
              <w:rPr>
                <w:sz w:val="19"/>
                <w:szCs w:val="19"/>
                <w:color w:val="auto"/>
              </w:rPr>
            </w:pPr>
          </w:p>
        </w:tc>
        <w:tc>
          <w:tcPr>
            <w:tcW w:w="6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 discontinued operations</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1"/>
        </w:trPr>
        <w:tc>
          <w:tcPr>
            <w:tcW w:w="20" w:type="dxa"/>
            <w:vAlign w:val="bottom"/>
          </w:tcPr>
          <w:p>
            <w:pPr>
              <w:spacing w:after="0"/>
              <w:rPr>
                <w:sz w:val="19"/>
                <w:szCs w:val="19"/>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500" w:type="dxa"/>
            <w:vAlign w:val="bottom"/>
            <w:gridSpan w:val="2"/>
          </w:tcPr>
          <w:p>
            <w:pPr>
              <w:spacing w:after="0"/>
              <w:rPr>
                <w:sz w:val="20"/>
                <w:szCs w:val="20"/>
                <w:color w:val="auto"/>
              </w:rPr>
            </w:pPr>
            <w:r>
              <w:rPr>
                <w:rFonts w:ascii="Arial" w:cs="Arial" w:eastAsia="Arial" w:hAnsi="Arial"/>
                <w:sz w:val="18"/>
                <w:szCs w:val="18"/>
                <w:color w:val="0000FF"/>
              </w:rPr>
              <w:t>INDEX</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61"/>
        </w:trPr>
        <w:tc>
          <w:tcPr>
            <w:tcW w:w="560" w:type="dxa"/>
            <w:vAlign w:val="bottom"/>
            <w:tcBorders>
              <w:top w:val="single" w:sz="8" w:color="0000FF"/>
            </w:tcBorders>
          </w:tcPr>
          <w:p>
            <w:pPr>
              <w:spacing w:after="0"/>
              <w:rPr>
                <w:sz w:val="24"/>
                <w:szCs w:val="24"/>
                <w:color w:val="auto"/>
              </w:rPr>
            </w:pPr>
          </w:p>
        </w:tc>
        <w:tc>
          <w:tcPr>
            <w:tcW w:w="8360" w:type="dxa"/>
            <w:vAlign w:val="bottom"/>
            <w:gridSpan w:val="7"/>
          </w:tcPr>
          <w:p>
            <w:pPr>
              <w:jc w:val="center"/>
              <w:ind w:left="167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560" w:type="dxa"/>
            <w:vAlign w:val="bottom"/>
          </w:tcPr>
          <w:p>
            <w:pPr>
              <w:spacing w:after="0"/>
              <w:rPr>
                <w:sz w:val="18"/>
                <w:szCs w:val="18"/>
                <w:color w:val="auto"/>
              </w:rPr>
            </w:pPr>
          </w:p>
        </w:tc>
        <w:tc>
          <w:tcPr>
            <w:tcW w:w="8600" w:type="dxa"/>
            <w:vAlign w:val="bottom"/>
            <w:gridSpan w:val="8"/>
          </w:tcPr>
          <w:p>
            <w:pPr>
              <w:jc w:val="center"/>
              <w:ind w:left="1431"/>
              <w:spacing w:after="0"/>
              <w:rPr>
                <w:sz w:val="20"/>
                <w:szCs w:val="20"/>
                <w:color w:val="auto"/>
              </w:rPr>
            </w:pPr>
            <w:r>
              <w:rPr>
                <w:rFonts w:ascii="Arial" w:cs="Arial" w:eastAsia="Arial" w:hAnsi="Arial"/>
                <w:sz w:val="18"/>
                <w:szCs w:val="18"/>
                <w:b w:val="1"/>
                <w:bCs w:val="1"/>
                <w:color w:val="auto"/>
                <w:w w:val="98"/>
              </w:rPr>
              <w:t>CONDENSED CONSOLIDATED STATEMENTS OF COMPREHENSIVE EARNINGS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3"/>
        </w:trPr>
        <w:tc>
          <w:tcPr>
            <w:tcW w:w="560" w:type="dxa"/>
            <w:vAlign w:val="bottom"/>
          </w:tcPr>
          <w:p>
            <w:pPr>
              <w:spacing w:after="0"/>
              <w:rPr>
                <w:sz w:val="18"/>
                <w:szCs w:val="18"/>
                <w:color w:val="auto"/>
              </w:rPr>
            </w:pPr>
          </w:p>
        </w:tc>
        <w:tc>
          <w:tcPr>
            <w:tcW w:w="7140" w:type="dxa"/>
            <w:vAlign w:val="bottom"/>
            <w:gridSpan w:val="4"/>
          </w:tcPr>
          <w:p>
            <w:pPr>
              <w:jc w:val="center"/>
              <w:ind w:left="2911"/>
              <w:spacing w:after="0"/>
              <w:rPr>
                <w:sz w:val="20"/>
                <w:szCs w:val="20"/>
                <w:color w:val="auto"/>
              </w:rPr>
            </w:pPr>
            <w:r>
              <w:rPr>
                <w:rFonts w:ascii="Arial" w:cs="Arial" w:eastAsia="Arial" w:hAnsi="Arial"/>
                <w:sz w:val="18"/>
                <w:szCs w:val="18"/>
                <w:b w:val="1"/>
                <w:bCs w:val="1"/>
                <w:color w:val="auto"/>
                <w:w w:val="88"/>
              </w:rPr>
              <w:t>(in millions, except per share data)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940" w:type="dxa"/>
            <w:vAlign w:val="bottom"/>
          </w:tcPr>
          <w:p>
            <w:pPr>
              <w:jc w:val="center"/>
              <w:ind w:left="4091"/>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1"/>
        </w:trPr>
        <w:tc>
          <w:tcPr>
            <w:tcW w:w="56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5"/>
          </w:tcPr>
          <w:p>
            <w:pPr>
              <w:jc w:val="center"/>
              <w:ind w:right="340"/>
              <w:spacing w:after="0" w:line="201" w:lineRule="exact"/>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7"/>
                <w:szCs w:val="17"/>
                <w:color w:val="auto"/>
              </w:rPr>
            </w:pPr>
          </w:p>
        </w:tc>
        <w:tc>
          <w:tcPr>
            <w:tcW w:w="2080" w:type="dxa"/>
            <w:vAlign w:val="bottom"/>
            <w:gridSpan w:val="4"/>
          </w:tcPr>
          <w:p>
            <w:pPr>
              <w:jc w:val="right"/>
              <w:ind w:right="311"/>
              <w:spacing w:after="0" w:line="201" w:lineRule="exact"/>
              <w:rPr>
                <w:sz w:val="20"/>
                <w:szCs w:val="20"/>
                <w:color w:val="auto"/>
              </w:rPr>
            </w:pPr>
            <w:r>
              <w:rPr>
                <w:rFonts w:ascii="Arial" w:cs="Arial" w:eastAsia="Arial" w:hAnsi="Arial"/>
                <w:sz w:val="18"/>
                <w:szCs w:val="18"/>
                <w:b w:val="1"/>
                <w:bCs w:val="1"/>
                <w:color w:val="auto"/>
                <w:w w:val="98"/>
              </w:rPr>
              <w:t>Nine Months Ended</w:t>
            </w:r>
          </w:p>
        </w:tc>
      </w:tr>
      <w:tr>
        <w:trPr>
          <w:trHeight w:val="233"/>
        </w:trPr>
        <w:tc>
          <w:tcPr>
            <w:tcW w:w="5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31"/>
              <w:spacing w:after="0"/>
              <w:rPr>
                <w:sz w:val="20"/>
                <w:szCs w:val="20"/>
                <w:color w:val="auto"/>
              </w:rPr>
            </w:pPr>
            <w:r>
              <w:rPr>
                <w:rFonts w:ascii="Arial" w:cs="Arial" w:eastAsia="Arial" w:hAnsi="Arial"/>
                <w:sz w:val="18"/>
                <w:szCs w:val="18"/>
                <w:b w:val="1"/>
                <w:bCs w:val="1"/>
                <w:color w:val="auto"/>
              </w:rPr>
              <w:t>September 30,</w:t>
            </w:r>
          </w:p>
        </w:tc>
      </w:tr>
      <w:tr>
        <w:trPr>
          <w:trHeight w:val="247"/>
        </w:trPr>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59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2022</w:t>
            </w:r>
          </w:p>
        </w:tc>
      </w:tr>
      <w:tr>
        <w:trPr>
          <w:trHeight w:val="21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8"/>
                <w:szCs w:val="18"/>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1,204.2</w:t>
            </w:r>
          </w:p>
        </w:tc>
      </w:tr>
      <w:tr>
        <w:trPr>
          <w:trHeight w:val="22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r>
      <w:tr>
        <w:trPr>
          <w:trHeight w:val="220"/>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benefit plan adjustments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7"/>
        </w:trPr>
        <w:tc>
          <w:tcPr>
            <w:tcW w:w="6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earnings (loss) before tax</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r>
      <w:tr>
        <w:trPr>
          <w:trHeight w:val="21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Provision (benefit) for income tax related to items of comprehensive earnings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r>
      <w:tr>
        <w:trPr>
          <w:trHeight w:val="21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Comprehensive earnings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635.1</w:t>
            </w:r>
          </w:p>
        </w:tc>
      </w:tr>
      <w:tr>
        <w:trPr>
          <w:trHeight w:val="234"/>
        </w:trPr>
        <w:tc>
          <w:tcPr>
            <w:tcW w:w="6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Net earnings attributable to the noncontrolling interest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6500" w:type="dxa"/>
            <w:vAlign w:val="bottom"/>
            <w:gridSpan w:val="2"/>
          </w:tcPr>
          <w:p>
            <w:pPr>
              <w:ind w:left="20"/>
              <w:spacing w:after="0"/>
              <w:rPr>
                <w:sz w:val="20"/>
                <w:szCs w:val="20"/>
                <w:color w:val="auto"/>
              </w:rPr>
            </w:pPr>
            <w:r>
              <w:rPr>
                <w:rFonts w:ascii="Arial" w:cs="Arial" w:eastAsia="Arial" w:hAnsi="Arial"/>
                <w:sz w:val="18"/>
                <w:szCs w:val="18"/>
                <w:color w:val="auto"/>
                <w:w w:val="96"/>
              </w:rPr>
              <w:t>Comprehensive earnings attributable to Laboratory Corporation of America Holdings</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w:t>
            </w:r>
          </w:p>
        </w:tc>
      </w:tr>
      <w:tr>
        <w:trPr>
          <w:trHeight w:val="20"/>
        </w:trPr>
        <w:tc>
          <w:tcPr>
            <w:tcW w:w="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98"/>
              </w:rPr>
              <w:t>Additional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Accumulated</w:t>
            </w:r>
          </w:p>
        </w:tc>
        <w:tc>
          <w:tcPr>
            <w:tcW w:w="140" w:type="dxa"/>
            <w:vAlign w:val="bottom"/>
          </w:tcPr>
          <w:p>
            <w:pPr>
              <w:spacing w:after="0"/>
              <w:rPr>
                <w:sz w:val="13"/>
                <w:szCs w:val="13"/>
                <w:color w:val="auto"/>
              </w:rPr>
            </w:pPr>
          </w:p>
        </w:tc>
        <w:tc>
          <w:tcPr>
            <w:tcW w:w="960" w:type="dxa"/>
            <w:vAlign w:val="bottom"/>
            <w:vMerge w:val="restart"/>
          </w:tcPr>
          <w:p>
            <w:pPr>
              <w:jc w:val="center"/>
              <w:ind w:right="69"/>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3"/>
                <w:szCs w:val="13"/>
                <w:color w:val="auto"/>
                <w:w w:val="94"/>
              </w:rPr>
              <w:t>Common</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color w:val="auto"/>
              </w:rPr>
              <w:t>Retained</w:t>
            </w: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Arial" w:cs="Arial" w:eastAsia="Arial" w:hAnsi="Arial"/>
                <w:sz w:val="13"/>
                <w:szCs w:val="13"/>
                <w:color w:val="auto"/>
                <w:w w:val="92"/>
              </w:rPr>
              <w:t>Other</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Arial" w:cs="Arial" w:eastAsia="Arial" w:hAnsi="Arial"/>
                <w:sz w:val="13"/>
                <w:szCs w:val="13"/>
                <w:color w:val="auto"/>
                <w:w w:val="93"/>
              </w:rPr>
              <w:t>Paid-in</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3" w:lineRule="exact"/>
              <w:rPr>
                <w:sz w:val="20"/>
                <w:szCs w:val="20"/>
                <w:color w:val="auto"/>
              </w:rPr>
            </w:pPr>
            <w:r>
              <w:rPr>
                <w:rFonts w:ascii="Arial" w:cs="Arial" w:eastAsia="Arial" w:hAnsi="Arial"/>
                <w:sz w:val="13"/>
                <w:szCs w:val="13"/>
                <w:color w:val="auto"/>
                <w:w w:val="90"/>
              </w:rPr>
              <w:t>Comprehensive</w:t>
            </w:r>
          </w:p>
        </w:tc>
        <w:tc>
          <w:tcPr>
            <w:tcW w:w="140" w:type="dxa"/>
            <w:vAlign w:val="bottom"/>
          </w:tcPr>
          <w:p>
            <w:pPr>
              <w:spacing w:after="0"/>
              <w:rPr>
                <w:sz w:val="11"/>
                <w:szCs w:val="11"/>
                <w:color w:val="auto"/>
              </w:rPr>
            </w:pPr>
          </w:p>
        </w:tc>
        <w:tc>
          <w:tcPr>
            <w:tcW w:w="960" w:type="dxa"/>
            <w:vAlign w:val="bottom"/>
          </w:tcPr>
          <w:p>
            <w:pPr>
              <w:jc w:val="center"/>
              <w:ind w:right="69"/>
              <w:spacing w:after="0" w:line="133" w:lineRule="exact"/>
              <w:rPr>
                <w:sz w:val="20"/>
                <w:szCs w:val="20"/>
                <w:color w:val="auto"/>
              </w:rPr>
            </w:pPr>
            <w:r>
              <w:rPr>
                <w:rFonts w:ascii="Arial" w:cs="Arial" w:eastAsia="Arial" w:hAnsi="Arial"/>
                <w:sz w:val="13"/>
                <w:szCs w:val="13"/>
                <w:color w:val="auto"/>
                <w:w w:val="92"/>
              </w:rPr>
              <w:t>Shareholders’</w:t>
            </w: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color w:val="auto"/>
                <w:w w:val="92"/>
              </w:rPr>
              <w:t>Stock</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Capital</w:t>
            </w:r>
          </w:p>
        </w:tc>
        <w:tc>
          <w:tcPr>
            <w:tcW w:w="18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color w:val="auto"/>
              </w:rPr>
              <w:t>Earnings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Earnings (Loss)</w:t>
            </w:r>
          </w:p>
        </w:tc>
        <w:tc>
          <w:tcPr>
            <w:tcW w:w="140" w:type="dxa"/>
            <w:vAlign w:val="bottom"/>
          </w:tcPr>
          <w:p>
            <w:pPr>
              <w:spacing w:after="0"/>
              <w:rPr>
                <w:sz w:val="15"/>
                <w:szCs w:val="15"/>
                <w:color w:val="auto"/>
              </w:rPr>
            </w:pPr>
          </w:p>
        </w:tc>
        <w:tc>
          <w:tcPr>
            <w:tcW w:w="960" w:type="dxa"/>
            <w:vAlign w:val="bottom"/>
          </w:tcPr>
          <w:p>
            <w:pPr>
              <w:jc w:val="center"/>
              <w:ind w:right="69"/>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0"/>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10,273.4</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10,721.1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600" w:type="dxa"/>
            <w:vAlign w:val="bottom"/>
            <w:tcBorders>
              <w:top w:val="single" w:sz="8" w:color="CCEEFF"/>
            </w:tcBorders>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10,400.7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600" w:type="dxa"/>
            <w:vAlign w:val="bottom"/>
            <w:tcBorders>
              <w:top w:val="single" w:sz="8" w:color="CCEEFF"/>
            </w:tcBorders>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9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10,092.2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10,096.6</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212.9</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0"/>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10,729.9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10,341.5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Fortrea Holdings Inc. spin off</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67"/>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8,836.2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(153.7)</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8,785.0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93"/>
        </w:trPr>
        <w:tc>
          <w:tcPr>
            <w:tcW w:w="5600" w:type="dxa"/>
            <w:vAlign w:val="bottom"/>
          </w:tcPr>
          <w:p>
            <w:pPr>
              <w:ind w:left="20"/>
              <w:spacing w:after="0"/>
              <w:rPr>
                <w:sz w:val="20"/>
                <w:szCs w:val="20"/>
                <w:color w:val="auto"/>
              </w:rPr>
            </w:pPr>
            <w:r>
              <w:rPr>
                <w:rFonts w:ascii="Arial" w:cs="Arial" w:eastAsia="Arial" w:hAnsi="Arial"/>
                <w:sz w:val="14"/>
                <w:szCs w:val="14"/>
                <w:color w:val="auto"/>
              </w:rPr>
              <w:t>Purchase of common stock</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(1,009.0)</w:t>
            </w:r>
          </w:p>
        </w:tc>
        <w:tc>
          <w:tcPr>
            <w:tcW w:w="0" w:type="dxa"/>
            <w:vAlign w:val="bottom"/>
          </w:tcPr>
          <w:p>
            <w:pPr>
              <w:spacing w:after="0"/>
              <w:rPr>
                <w:sz w:val="1"/>
                <w:szCs w:val="1"/>
                <w:color w:val="auto"/>
              </w:rPr>
            </w:pPr>
          </w:p>
        </w:tc>
      </w:tr>
      <w:tr>
        <w:trPr>
          <w:trHeight w:val="225"/>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2023</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7,873.1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60" w:type="dxa"/>
            <w:vAlign w:val="bottom"/>
            <w:gridSpan w:val="3"/>
          </w:tcPr>
          <w:p>
            <w:pPr>
              <w:spacing w:after="0"/>
              <w:rPr>
                <w:sz w:val="20"/>
                <w:szCs w:val="20"/>
                <w:color w:val="auto"/>
              </w:rPr>
            </w:pPr>
            <w:r>
              <w:rPr>
                <w:rFonts w:ascii="Arial" w:cs="Arial" w:eastAsia="Arial" w:hAnsi="Arial"/>
                <w:sz w:val="18"/>
                <w:szCs w:val="18"/>
                <w:color w:val="0000FF"/>
              </w:rPr>
              <w:t>INDEX</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61"/>
        </w:trPr>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360" w:type="dxa"/>
            <w:vAlign w:val="bottom"/>
            <w:gridSpan w:val="2"/>
          </w:tcPr>
          <w:p>
            <w:pPr>
              <w:jc w:val="center"/>
              <w:ind w:left="167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51"/>
              <w:spacing w:after="0"/>
              <w:rPr>
                <w:sz w:val="20"/>
                <w:szCs w:val="20"/>
                <w:color w:val="auto"/>
              </w:rPr>
            </w:pPr>
            <w:r>
              <w:rPr>
                <w:rFonts w:ascii="Arial" w:cs="Arial" w:eastAsia="Arial" w:hAnsi="Arial"/>
                <w:sz w:val="18"/>
                <w:szCs w:val="18"/>
                <w:b w:val="1"/>
                <w:bCs w:val="1"/>
                <w:color w:val="auto"/>
                <w:w w:val="97"/>
              </w:rPr>
              <w:t>CONDENSED CONSOLIDATED STATEMENTS OF CASH FLOWS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900" w:type="dxa"/>
            <w:vAlign w:val="bottom"/>
          </w:tcPr>
          <w:p>
            <w:pPr>
              <w:jc w:val="center"/>
              <w:ind w:left="2131"/>
              <w:spacing w:after="0"/>
              <w:rPr>
                <w:sz w:val="20"/>
                <w:szCs w:val="20"/>
                <w:color w:val="auto"/>
              </w:rPr>
            </w:pPr>
            <w:r>
              <w:rPr>
                <w:rFonts w:ascii="Arial" w:cs="Arial" w:eastAsia="Arial" w:hAnsi="Arial"/>
                <w:sz w:val="18"/>
                <w:szCs w:val="18"/>
                <w:b w:val="1"/>
                <w:bCs w:val="1"/>
                <w:color w:val="auto"/>
                <w:w w:val="91"/>
              </w:rPr>
              <w:t>(in millions)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00" w:type="dxa"/>
            <w:vAlign w:val="bottom"/>
          </w:tcPr>
          <w:p>
            <w:pPr>
              <w:jc w:val="center"/>
              <w:ind w:left="2131"/>
              <w:spacing w:after="0"/>
              <w:rPr>
                <w:sz w:val="20"/>
                <w:szCs w:val="20"/>
                <w:color w:val="auto"/>
              </w:rPr>
            </w:pPr>
            <w:r>
              <w:rPr>
                <w:rFonts w:ascii="Arial" w:cs="Arial" w:eastAsia="Arial" w:hAnsi="Arial"/>
                <w:sz w:val="18"/>
                <w:szCs w:val="18"/>
                <w:b w:val="1"/>
                <w:bCs w:val="1"/>
                <w:color w:val="auto"/>
                <w:w w:val="89"/>
              </w:rPr>
              <w:t>(unaudited)</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8"/>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33"/>
        </w:trPr>
        <w:tc>
          <w:tcPr>
            <w:tcW w:w="40" w:type="dxa"/>
            <w:vAlign w:val="bottom"/>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79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1,204.2</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Stock compensation</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 expense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Goodwill and other asset impairments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assets and liabilities (net of effects of acquisitions and divestitures):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Decrease (increase) in accounts receivable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(increase) in unbilled services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Decrease (increase) in supplies inventory</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prepaid expenses and other</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Increase (decrease) in accounts payable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112.6</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unearned revenue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6"/>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Decrease in accrued expenses and other</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r>
      <w:tr>
        <w:trPr>
          <w:trHeight w:val="221"/>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r>
      <w:tr>
        <w:trPr>
          <w:trHeight w:val="247"/>
        </w:trPr>
        <w:tc>
          <w:tcPr>
            <w:tcW w:w="40" w:type="dxa"/>
            <w:vAlign w:val="bottom"/>
          </w:tcPr>
          <w:p>
            <w:pPr>
              <w:spacing w:after="0"/>
              <w:rPr>
                <w:sz w:val="21"/>
                <w:szCs w:val="21"/>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1,302.3</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Proceeds from sale of assets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or distribution of investments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Proceeds from exit from swaps</w:t>
            </w: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equity affiliates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6"/>
        </w:trPr>
        <w:tc>
          <w:tcPr>
            <w:tcW w:w="40" w:type="dxa"/>
            <w:vAlign w:val="bottom"/>
          </w:tcPr>
          <w:p>
            <w:pPr>
              <w:spacing w:after="0"/>
              <w:rPr>
                <w:sz w:val="19"/>
                <w:szCs w:val="19"/>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Acquisition of businesses, net of cash acquired</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w:t>
            </w:r>
          </w:p>
        </w:tc>
      </w:tr>
      <w:tr>
        <w:trPr>
          <w:trHeight w:val="221"/>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continuing investing activities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(1,345.1)</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used in discontinued investing activities</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47"/>
        </w:trPr>
        <w:tc>
          <w:tcPr>
            <w:tcW w:w="40" w:type="dxa"/>
            <w:vAlign w:val="bottom"/>
          </w:tcPr>
          <w:p>
            <w:pPr>
              <w:spacing w:after="0"/>
              <w:rPr>
                <w:sz w:val="21"/>
                <w:szCs w:val="21"/>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(1,378.9)</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revolving credit facilities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Payments on revolving credit facilities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 settlement tax payments from issuance of stock to employees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proceeds from issuance of stock to employees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26"/>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Purchase of common stock</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9"/>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cash used in continuing financing activities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(949.6)</w:t>
            </w:r>
          </w:p>
        </w:tc>
      </w:tr>
      <w:tr>
        <w:trPr>
          <w:trHeight w:val="234"/>
        </w:trPr>
        <w:tc>
          <w:tcPr>
            <w:tcW w:w="40" w:type="dxa"/>
            <w:vAlign w:val="bottom"/>
          </w:tcPr>
          <w:p>
            <w:pPr>
              <w:spacing w:after="0"/>
              <w:rPr>
                <w:sz w:val="20"/>
                <w:szCs w:val="20"/>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discontinued financing activities</w:t>
            </w: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40" w:type="dxa"/>
            <w:vAlign w:val="bottom"/>
          </w:tcPr>
          <w:p>
            <w:pPr>
              <w:spacing w:after="0"/>
              <w:rPr>
                <w:sz w:val="20"/>
                <w:szCs w:val="20"/>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(949.6)</w:t>
            </w:r>
          </w:p>
        </w:tc>
      </w:tr>
      <w:tr>
        <w:trPr>
          <w:trHeight w:val="247"/>
        </w:trPr>
        <w:tc>
          <w:tcPr>
            <w:tcW w:w="40" w:type="dxa"/>
            <w:vAlign w:val="bottom"/>
          </w:tcPr>
          <w:p>
            <w:pPr>
              <w:spacing w:after="0"/>
              <w:rPr>
                <w:sz w:val="21"/>
                <w:szCs w:val="21"/>
                <w:color w:val="auto"/>
              </w:rPr>
            </w:pPr>
          </w:p>
        </w:tc>
        <w:tc>
          <w:tcPr>
            <w:tcW w:w="8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13"/>
        </w:trPr>
        <w:tc>
          <w:tcPr>
            <w:tcW w:w="4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(1,062.8)</w:t>
            </w:r>
          </w:p>
        </w:tc>
      </w:tr>
      <w:tr>
        <w:trPr>
          <w:trHeight w:val="227"/>
        </w:trPr>
        <w:tc>
          <w:tcPr>
            <w:tcW w:w="4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r>
      <w:tr>
        <w:trPr>
          <w:trHeight w:val="219"/>
        </w:trPr>
        <w:tc>
          <w:tcPr>
            <w:tcW w:w="4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Less: Cash and cash equivalents of discontinued operations as of end of period</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46"/>
        </w:trPr>
        <w:tc>
          <w:tcPr>
            <w:tcW w:w="40" w:type="dxa"/>
            <w:vAlign w:val="bottom"/>
          </w:tcPr>
          <w:p>
            <w:pPr>
              <w:spacing w:after="0"/>
              <w:rPr>
                <w:sz w:val="20"/>
                <w:szCs w:val="20"/>
                <w:color w:val="auto"/>
              </w:rPr>
            </w:pPr>
          </w:p>
        </w:tc>
        <w:tc>
          <w:tcPr>
            <w:tcW w:w="8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r>
      <w:tr>
        <w:trPr>
          <w:trHeight w:val="20"/>
        </w:trPr>
        <w:tc>
          <w:tcPr>
            <w:tcW w:w="4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06"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FINANCIAL STATEMENT PRESENTATION</w:t>
      </w:r>
    </w:p>
    <w:p>
      <w:pPr>
        <w:spacing w:after="0" w:line="146"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Laboratory Corporation of America® Holdings (Labcorp® or the Company) is a global leader of innovative and comprehensive laboratory service that serves physicians, hospitals, patients and biopharmaceutical clients. The Company provides insights and advances science to improve health and improve lives through its strong diagnostics and drug development laboratory capabilities.</w:t>
      </w:r>
    </w:p>
    <w:p>
      <w:pPr>
        <w:spacing w:after="0" w:line="28"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On June 30, 2023 (the Distribution Date), Labcorp completed the previously announced separation (the Separation) of Fortrea Holdings Inc. (Fortrea) from the Company, see Note 2 (Discontinued Operations) to the condensed consolidated financial statements. The remainder of the Drug Development segment has been renamed as the Biopharma Laboratory Services segment. All current and historical operating results of Fortrea are presented as Discontinued Operations, net of tax, in the consolidated statement of operations. All historical assets and liabilities of Fortrea are classified as current and long-term assets of discontinued operations and current and long-term liabilities of discontinued operations in the accompanying balance sheet as of December 31, 2022. The spin-off is expected to be treated as tax-free for the Company and its shareholders for U.S. federal income tax purposes.</w:t>
      </w:r>
    </w:p>
    <w:p>
      <w:pPr>
        <w:spacing w:after="0" w:line="75"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The Company reports its business in two segments, Diagnostics Laboratories (Dx) and Biopharma Laboratory Services (BLS). For further financial information about these segments, see Note 12 (Business Segment Information) to the Condensed Consolidated Financial Statements. During the three months ended September 30, 2023, Dx and BLS contributed approximately 77% and 23%, respectively, of revenues to the Company. During the nine months ended September 30, 2023, Dx and BLS contributed approximately 77% and 23%, respectively, of revenues to the Company.</w:t>
      </w:r>
    </w:p>
    <w:p>
      <w:pPr>
        <w:spacing w:after="0" w:line="83"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 condensed consolidated financial statements.</w:t>
      </w:r>
    </w:p>
    <w:p>
      <w:pPr>
        <w:spacing w:after="0" w:line="91" w:lineRule="exact"/>
        <w:rPr>
          <w:sz w:val="20"/>
          <w:szCs w:val="20"/>
          <w:color w:val="auto"/>
        </w:rPr>
      </w:pPr>
    </w:p>
    <w:p>
      <w:pPr>
        <w:jc w:val="both"/>
        <w:ind w:firstLine="240"/>
        <w:spacing w:after="0" w:line="279" w:lineRule="auto"/>
        <w:rPr>
          <w:sz w:val="20"/>
          <w:szCs w:val="20"/>
          <w:color w:val="auto"/>
        </w:rPr>
      </w:pPr>
      <w:r>
        <w:rPr>
          <w:rFonts w:ascii="Arial" w:cs="Arial" w:eastAsia="Arial" w:hAnsi="Arial"/>
          <w:sz w:val="17"/>
          <w:szCs w:val="17"/>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(loss).”</w:t>
      </w:r>
    </w:p>
    <w:p>
      <w:pPr>
        <w:spacing w:after="0" w:line="78" w:lineRule="exact"/>
        <w:rPr>
          <w:sz w:val="20"/>
          <w:szCs w:val="20"/>
          <w:color w:val="auto"/>
        </w:rPr>
      </w:pPr>
    </w:p>
    <w:p>
      <w:pPr>
        <w:jc w:val="both"/>
        <w:ind w:firstLine="240"/>
        <w:spacing w:after="0" w:line="295" w:lineRule="auto"/>
        <w:rPr>
          <w:sz w:val="20"/>
          <w:szCs w:val="20"/>
          <w:color w:val="auto"/>
        </w:rPr>
      </w:pPr>
      <w:r>
        <w:rPr>
          <w:rFonts w:ascii="Arial" w:cs="Arial" w:eastAsia="Arial" w:hAnsi="Arial"/>
          <w:sz w:val="16"/>
          <w:szCs w:val="16"/>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6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condensed consolidated financial statements and notes are presented in accordance with the rules and regulations of the Securities and Exchange Commission (SEC) and do not contain certain information included in the Company’s fiscal year 2022 Annual Report on Form 10-K (Annual Report). Therefore, these interim statements should be read in conjunction with the consolidated financial statements and notes thereto contained in the Company’s Annual Report.</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DISCONTINUED OPERATIONS</w:t>
      </w:r>
    </w:p>
    <w:p>
      <w:pPr>
        <w:spacing w:after="0" w:line="132"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A discontinued operation may include a component or a group of components of the Company's operations. A disposal of a component or a group of components is reported in discontinued operations if the disposal represents a strategic shift that has or will have a major effect on the Company's operations and financial results when the following occurs: (1) a component (or group of components) meets the criteria to be classified as held for sale; (2) the component or group of components is disposed of by sale; or (3) the component or group of components is disposed of other than by sale (for example, by abandonment or in a distribution to owners in a spin-off). For any component classified as held for sale or disposed of by sale or other than by sale, qualifying for presentation as a discontinued operation, the Company reports the results of operations of the discontinued operations (including any gain or loss recognized on the disposal or loss recognized on classification as held for sale of 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discontinued operation), less applicable income taxes (benefit), as a separate component in the consolidated statement of operations for current and all prior periods presented. The Company also reports assets and liabilities associated with discontinued operations as separate line items on the consolidated balance sheet for prior periods.</w:t>
      </w:r>
    </w:p>
    <w:p>
      <w:pPr>
        <w:spacing w:after="0" w:line="95"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The spin-off of Fortrea from Labcorp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w:t>
      </w:r>
    </w:p>
    <w:p>
      <w:pPr>
        <w:spacing w:after="0" w:line="74"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In June 2023, Fortrea, prior to the Separation and while a subsidiary of the Company, issued $570.0 of 7.500% senior secured notes due 2030 (the Fortrea Notes). The proceeds from the Fortrea Notes were used to fund cash payments of approximately $1,600.0 to the Company in connection with the Separation. The Company does not guarantee the Fortrea Notes following the Separation. Also in June 2023, Fortrea entered into three floating secured overnight financing rate (SOFR) credit facilities totaling $1,520.0. These are comprised of a $450.0 Revolver maturing June 30, 2028; a $500.0 Term Loan A maturing June 30, 2028; and a $570.0 Term Loan B maturing June 30, 2030.</w:t>
      </w:r>
    </w:p>
    <w:p>
      <w:pPr>
        <w:spacing w:after="0" w:line="99"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In connection with the spin-off, the Company entered into several agreements with Fortrea on or prior to the Distribution Date that, among other things, provide a framework for the Company’s relationship with Fortrea after the spin-off, including a separation and distribution agreement, a tax matters agreement, an employee matters agreement, and a transition services agreement. These agreements contain the key provisions relating to the spin-off, including provisions relating to the principal intercompany transactions required to effect the spin-off, the conditions to the spin-off and provisions governing the relationship between Fortrea and the Company after the spin-off. The costs to provide these services are included in operating income but the service fees are included in other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of Discontinued Operations</w:t>
      </w:r>
    </w:p>
    <w:p>
      <w:pPr>
        <w:spacing w:after="0" w:line="140" w:lineRule="exact"/>
        <w:rPr>
          <w:sz w:val="20"/>
          <w:szCs w:val="20"/>
          <w:color w:val="auto"/>
        </w:rPr>
      </w:pPr>
    </w:p>
    <w:p>
      <w:pPr>
        <w:jc w:val="both"/>
        <w:ind w:firstLine="240"/>
        <w:spacing w:after="0" w:line="297" w:lineRule="auto"/>
        <w:rPr>
          <w:sz w:val="20"/>
          <w:szCs w:val="20"/>
          <w:color w:val="auto"/>
        </w:rPr>
      </w:pPr>
      <w:r>
        <w:rPr>
          <w:rFonts w:ascii="Arial" w:cs="Arial" w:eastAsia="Arial" w:hAnsi="Arial"/>
          <w:sz w:val="17"/>
          <w:szCs w:val="17"/>
          <w:color w:val="auto"/>
        </w:rPr>
        <w:t>Earnings from Discontinued Operations, Net of Tax in the Consolidated Statements of Operations reflect the after-tax results of Fortrea's business and Separation-related fees, and do not include any allocation of general corporate overhead expense or interest expense of the Company.</w:t>
      </w:r>
    </w:p>
    <w:p>
      <w:pPr>
        <w:spacing w:after="0" w:line="63"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The following table summarizes the significant line items included in Earnings from Discontinued Operations, Net of Tax in the Consolidated Statements of Operations for the three and nine months ended September 30, 2023 and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27"/>
        </w:trPr>
        <w:tc>
          <w:tcPr>
            <w:tcW w:w="5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19"/>
                <w:szCs w:val="19"/>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1"/>
        </w:trPr>
        <w:tc>
          <w:tcPr>
            <w:tcW w:w="54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40" w:type="dxa"/>
            <w:vAlign w:val="bottom"/>
            <w:gridSpan w:val="2"/>
            <w:shd w:val="clear" w:color="auto" w:fill="CCEEFF"/>
          </w:tcPr>
          <w:p>
            <w:pPr>
              <w:jc w:val="right"/>
              <w:ind w:right="61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10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charges</w:t>
            </w:r>
          </w:p>
        </w:tc>
        <w:tc>
          <w:tcPr>
            <w:tcW w:w="10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tcPr>
          <w:p>
            <w:pPr>
              <w:ind w:left="220"/>
              <w:spacing w:after="0"/>
              <w:rPr>
                <w:sz w:val="20"/>
                <w:szCs w:val="20"/>
                <w:color w:val="auto"/>
              </w:rPr>
            </w:pPr>
            <w:r>
              <w:rPr>
                <w:rFonts w:ascii="Arial" w:cs="Arial" w:eastAsia="Arial" w:hAnsi="Arial"/>
                <w:sz w:val="18"/>
                <w:szCs w:val="18"/>
                <w:color w:val="auto"/>
              </w:rPr>
              <w:t>Investment income (expense)</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20" w:type="dxa"/>
            <w:vAlign w:val="bottom"/>
          </w:tcPr>
          <w:p>
            <w:pPr>
              <w:ind w:left="20"/>
              <w:spacing w:after="0"/>
              <w:rPr>
                <w:sz w:val="20"/>
                <w:szCs w:val="20"/>
                <w:color w:val="auto"/>
              </w:rPr>
            </w:pPr>
            <w:r>
              <w:rPr>
                <w:rFonts w:ascii="Arial" w:cs="Arial" w:eastAsia="Arial" w:hAnsi="Arial"/>
                <w:sz w:val="18"/>
                <w:szCs w:val="18"/>
                <w:color w:val="auto"/>
                <w:w w:val="94"/>
              </w:rPr>
              <w:t>Net earnings attributable to Laboratory Corporation of America Holdings</w:t>
            </w:r>
          </w:p>
        </w:tc>
        <w:tc>
          <w:tcPr>
            <w:tcW w:w="1840" w:type="dxa"/>
            <w:vAlign w:val="bottom"/>
            <w:gridSpan w:val="2"/>
          </w:tcPr>
          <w:p>
            <w:pPr>
              <w:jc w:val="right"/>
              <w:ind w:right="611"/>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vMerge w:val="restart"/>
          </w:tcPr>
          <w:p>
            <w:pPr>
              <w:jc w:val="right"/>
              <w:ind w:right="711"/>
              <w:spacing w:after="0"/>
              <w:rPr>
                <w:sz w:val="20"/>
                <w:szCs w:val="20"/>
                <w:color w:val="auto"/>
              </w:rPr>
            </w:pPr>
            <w:r>
              <w:rPr>
                <w:rFonts w:ascii="Arial" w:cs="Arial" w:eastAsia="Arial" w:hAnsi="Arial"/>
                <w:sz w:val="18"/>
                <w:szCs w:val="18"/>
                <w:color w:val="auto"/>
              </w:rPr>
              <w:t>8</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4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2" w:lineRule="exact"/>
        <w:rPr>
          <w:sz w:val="20"/>
          <w:szCs w:val="20"/>
          <w:color w:val="auto"/>
        </w:rPr>
      </w:pPr>
    </w:p>
    <w:p>
      <w:pPr>
        <w:ind w:right="20" w:firstLine="240"/>
        <w:spacing w:after="0" w:line="267" w:lineRule="auto"/>
        <w:rPr>
          <w:sz w:val="20"/>
          <w:szCs w:val="20"/>
          <w:color w:val="auto"/>
        </w:rPr>
      </w:pPr>
      <w:r>
        <w:rPr>
          <w:rFonts w:ascii="Arial" w:cs="Arial" w:eastAsia="Arial" w:hAnsi="Arial"/>
          <w:sz w:val="18"/>
          <w:szCs w:val="18"/>
          <w:color w:val="auto"/>
        </w:rPr>
        <w:t>The following table summarizes the carrying value of the significant classes of assets and liabilities classified as discontinued operations as of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December 31,</w:t>
            </w:r>
          </w:p>
        </w:tc>
      </w:tr>
      <w:tr>
        <w:trPr>
          <w:trHeight w:val="238"/>
        </w:trPr>
        <w:tc>
          <w:tcPr>
            <w:tcW w:w="95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r>
      <w:tr>
        <w:trPr>
          <w:trHeight w:val="21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26"/>
        </w:trPr>
        <w:tc>
          <w:tcPr>
            <w:tcW w:w="95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436.5</w:t>
            </w:r>
          </w:p>
        </w:tc>
      </w:tr>
      <w:tr>
        <w:trPr>
          <w:trHeight w:val="22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services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r>
      <w:tr>
        <w:trPr>
          <w:trHeight w:val="226"/>
        </w:trPr>
        <w:tc>
          <w:tcPr>
            <w:tcW w:w="9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221"/>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27"/>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823.3</w:t>
            </w:r>
          </w:p>
        </w:tc>
      </w:tr>
      <w:tr>
        <w:trPr>
          <w:trHeight w:val="227"/>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3"/>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52"/>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9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27"/>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26"/>
        </w:trPr>
        <w:tc>
          <w:tcPr>
            <w:tcW w:w="9560" w:type="dxa"/>
            <w:vAlign w:val="bottom"/>
          </w:tcPr>
          <w:p>
            <w:pPr>
              <w:ind w:left="22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281.8</w:t>
            </w:r>
          </w:p>
        </w:tc>
      </w:tr>
      <w:tr>
        <w:trPr>
          <w:trHeight w:val="22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26"/>
        </w:trPr>
        <w:tc>
          <w:tcPr>
            <w:tcW w:w="9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Short-term operating lease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21"/>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7"/>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26"/>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21"/>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w:t>
            </w:r>
          </w:p>
        </w:tc>
      </w:tr>
    </w:tbl>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REVENUES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Company's revenues by segment and by payers/customer groups for the three and nine months ended September 30, 2023, and 2022,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29"/>
              <w:spacing w:after="0"/>
              <w:rPr>
                <w:sz w:val="20"/>
                <w:szCs w:val="20"/>
                <w:color w:val="auto"/>
              </w:rPr>
            </w:pPr>
            <w:r>
              <w:rPr>
                <w:rFonts w:ascii="Arial" w:cs="Arial" w:eastAsia="Arial" w:hAnsi="Arial"/>
                <w:sz w:val="14"/>
                <w:szCs w:val="14"/>
                <w:b w:val="1"/>
                <w:bCs w:val="1"/>
                <w:color w:val="auto"/>
              </w:rPr>
              <w:t>For the Three Months Ended September 30, 2023</w:t>
            </w:r>
          </w:p>
        </w:tc>
        <w:tc>
          <w:tcPr>
            <w:tcW w:w="12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09"/>
              <w:spacing w:after="0"/>
              <w:rPr>
                <w:sz w:val="20"/>
                <w:szCs w:val="20"/>
                <w:color w:val="auto"/>
              </w:rPr>
            </w:pPr>
            <w:r>
              <w:rPr>
                <w:rFonts w:ascii="Arial" w:cs="Arial" w:eastAsia="Arial" w:hAnsi="Arial"/>
                <w:sz w:val="14"/>
                <w:szCs w:val="14"/>
                <w:b w:val="1"/>
                <w:bCs w:val="1"/>
                <w:color w:val="auto"/>
              </w:rPr>
              <w:t>For the Three Months Ended September 30, 2022</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Europe</w:t>
            </w: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Other</w:t>
            </w:r>
          </w:p>
        </w:tc>
        <w:tc>
          <w:tcPr>
            <w:tcW w:w="940" w:type="dxa"/>
            <w:vAlign w:val="bottom"/>
            <w:tcBorders>
              <w:right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Europe</w:t>
            </w:r>
          </w:p>
        </w:tc>
        <w:tc>
          <w:tcPr>
            <w:tcW w:w="1040" w:type="dxa"/>
            <w:vAlign w:val="bottom"/>
            <w:gridSpan w:val="2"/>
          </w:tcPr>
          <w:p>
            <w:pPr>
              <w:ind w:left="300"/>
              <w:spacing w:after="0"/>
              <w:rPr>
                <w:sz w:val="20"/>
                <w:szCs w:val="20"/>
                <w:color w:val="auto"/>
              </w:rPr>
            </w:pPr>
            <w:r>
              <w:rPr>
                <w:rFonts w:ascii="Arial" w:cs="Arial" w:eastAsia="Arial" w:hAnsi="Arial"/>
                <w:sz w:val="14"/>
                <w:szCs w:val="14"/>
                <w:b w:val="1"/>
                <w:bCs w:val="1"/>
                <w:color w:val="auto"/>
              </w:rPr>
              <w:t>Other</w:t>
            </w:r>
          </w:p>
        </w:tc>
        <w:tc>
          <w:tcPr>
            <w:tcW w:w="960" w:type="dxa"/>
            <w:vAlign w:val="bottom"/>
            <w:tcBorders>
              <w:right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Clients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90"/>
        </w:trPr>
        <w:tc>
          <w:tcPr>
            <w:tcW w:w="28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Patients</w:t>
            </w:r>
          </w:p>
        </w:tc>
        <w:tc>
          <w:tcPr>
            <w:tcW w:w="96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10"/>
        </w:trPr>
        <w:tc>
          <w:tcPr>
            <w:tcW w:w="28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Third party</w:t>
            </w:r>
          </w:p>
        </w:tc>
        <w:tc>
          <w:tcPr>
            <w:tcW w:w="96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90"/>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BLS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860" w:type="dxa"/>
            <w:vAlign w:val="bottom"/>
            <w:tcBorders>
              <w:right w:val="single" w:sz="8" w:color="auto"/>
            </w:tcBorders>
            <w:shd w:val="clear" w:color="auto" w:fill="CCEEFF"/>
          </w:tcPr>
          <w:p>
            <w:pPr>
              <w:ind w:left="140"/>
              <w:spacing w:after="0" w:line="143" w:lineRule="exact"/>
              <w:rPr>
                <w:sz w:val="20"/>
                <w:szCs w:val="20"/>
                <w:color w:val="auto"/>
              </w:rPr>
            </w:pPr>
            <w:r>
              <w:rPr>
                <w:rFonts w:ascii="Arial" w:cs="Arial" w:eastAsia="Arial" w:hAnsi="Arial"/>
                <w:sz w:val="14"/>
                <w:szCs w:val="14"/>
                <w:color w:val="auto"/>
                <w:w w:val="99"/>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5"/>
        </w:trPr>
        <w:tc>
          <w:tcPr>
            <w:tcW w:w="28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49"/>
              <w:spacing w:after="0"/>
              <w:rPr>
                <w:sz w:val="20"/>
                <w:szCs w:val="20"/>
                <w:color w:val="auto"/>
              </w:rPr>
            </w:pPr>
            <w:r>
              <w:rPr>
                <w:rFonts w:ascii="Arial" w:cs="Arial" w:eastAsia="Arial" w:hAnsi="Arial"/>
                <w:sz w:val="14"/>
                <w:szCs w:val="14"/>
                <w:b w:val="1"/>
                <w:bCs w:val="1"/>
                <w:color w:val="auto"/>
              </w:rPr>
              <w:t>For the Nine Months Ended September 30, 2023</w:t>
            </w:r>
          </w:p>
        </w:tc>
        <w:tc>
          <w:tcPr>
            <w:tcW w:w="120" w:type="dxa"/>
            <w:vAlign w:val="bottom"/>
            <w:tcBorders>
              <w:right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gridSpan w:val="7"/>
          </w:tcPr>
          <w:p>
            <w:pPr>
              <w:jc w:val="right"/>
              <w:ind w:right="549"/>
              <w:spacing w:after="0"/>
              <w:rPr>
                <w:sz w:val="20"/>
                <w:szCs w:val="20"/>
                <w:color w:val="auto"/>
              </w:rPr>
            </w:pPr>
            <w:r>
              <w:rPr>
                <w:rFonts w:ascii="Arial" w:cs="Arial" w:eastAsia="Arial" w:hAnsi="Arial"/>
                <w:sz w:val="14"/>
                <w:szCs w:val="14"/>
                <w:b w:val="1"/>
                <w:bCs w:val="1"/>
                <w:color w:val="auto"/>
              </w:rPr>
              <w:t>For the Nine Months Ended September 30, 2022</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 America</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Europe</w:t>
            </w: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Other</w:t>
            </w:r>
          </w:p>
        </w:tc>
        <w:tc>
          <w:tcPr>
            <w:tcW w:w="940" w:type="dxa"/>
            <w:vAlign w:val="bottom"/>
            <w:tcBorders>
              <w:right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America</w:t>
            </w: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Europe</w:t>
            </w:r>
          </w:p>
        </w:tc>
        <w:tc>
          <w:tcPr>
            <w:tcW w:w="1040" w:type="dxa"/>
            <w:vAlign w:val="bottom"/>
            <w:gridSpan w:val="2"/>
          </w:tcPr>
          <w:p>
            <w:pPr>
              <w:ind w:left="300"/>
              <w:spacing w:after="0"/>
              <w:rPr>
                <w:sz w:val="20"/>
                <w:szCs w:val="20"/>
                <w:color w:val="auto"/>
              </w:rPr>
            </w:pPr>
            <w:r>
              <w:rPr>
                <w:rFonts w:ascii="Arial" w:cs="Arial" w:eastAsia="Arial" w:hAnsi="Arial"/>
                <w:sz w:val="14"/>
                <w:szCs w:val="14"/>
                <w:b w:val="1"/>
                <w:bCs w:val="1"/>
                <w:color w:val="auto"/>
              </w:rPr>
              <w:t>Other</w:t>
            </w:r>
          </w:p>
        </w:tc>
        <w:tc>
          <w:tcPr>
            <w:tcW w:w="960" w:type="dxa"/>
            <w:vAlign w:val="bottom"/>
            <w:tcBorders>
              <w:right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Payer/Customer</w:t>
            </w: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Clients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90"/>
        </w:trPr>
        <w:tc>
          <w:tcPr>
            <w:tcW w:w="28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Patients</w:t>
            </w:r>
          </w:p>
        </w:tc>
        <w:tc>
          <w:tcPr>
            <w:tcW w:w="96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10"/>
        </w:trPr>
        <w:tc>
          <w:tcPr>
            <w:tcW w:w="28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Medicare and Medicaid</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3"/>
        </w:trPr>
        <w:tc>
          <w:tcPr>
            <w:tcW w:w="28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Third party</w:t>
            </w:r>
          </w:p>
        </w:tc>
        <w:tc>
          <w:tcPr>
            <w:tcW w:w="960" w:type="dxa"/>
            <w:vAlign w:val="bottom"/>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Borders>
              <w:right w:val="single" w:sz="8" w:color="auto"/>
            </w:tcBorders>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39 %</w:t>
            </w:r>
          </w:p>
        </w:tc>
        <w:tc>
          <w:tcPr>
            <w:tcW w:w="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Total Dx revenues by payer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90"/>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BLS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860" w:type="dxa"/>
            <w:vAlign w:val="bottom"/>
            <w:tcBorders>
              <w:right w:val="single" w:sz="8" w:color="auto"/>
            </w:tcBorders>
            <w:shd w:val="clear" w:color="auto" w:fill="CCEEFF"/>
          </w:tcPr>
          <w:p>
            <w:pPr>
              <w:ind w:left="140"/>
              <w:spacing w:after="0" w:line="143" w:lineRule="exact"/>
              <w:rPr>
                <w:sz w:val="20"/>
                <w:szCs w:val="20"/>
                <w:color w:val="auto"/>
              </w:rPr>
            </w:pPr>
            <w:r>
              <w:rPr>
                <w:rFonts w:ascii="Arial" w:cs="Arial" w:eastAsia="Arial" w:hAnsi="Arial"/>
                <w:sz w:val="14"/>
                <w:szCs w:val="14"/>
                <w:color w:val="auto"/>
                <w:w w:val="99"/>
              </w:rPr>
              <w:t>Pharmaceutical, biotechnology and medical</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right w:val="single" w:sz="8" w:color="auto"/>
            </w:tcBorders>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5"/>
        </w:trPr>
        <w:tc>
          <w:tcPr>
            <w:tcW w:w="28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device companies</w:t>
            </w: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8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240"/>
        <w:spacing w:after="0" w:line="267" w:lineRule="auto"/>
        <w:rPr>
          <w:sz w:val="20"/>
          <w:szCs w:val="20"/>
          <w:color w:val="auto"/>
        </w:rPr>
      </w:pPr>
      <w:r>
        <w:rPr>
          <w:rFonts w:ascii="Arial" w:cs="Arial" w:eastAsia="Arial" w:hAnsi="Arial"/>
          <w:sz w:val="18"/>
          <w:szCs w:val="18"/>
          <w:color w:val="auto"/>
        </w:rPr>
        <w:t>Revenues in the U.S. were $2,550.6 (83.4%) and $2,392.4 (83.5%) for the three months ended September 30, 2023, and 2022, respectively, and for the nine months ended September 30, 2023, and 2022, were $7,645.0 (83.8%) and $7,454.0 (83.4%),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Unbilled Services and Unearned Revenue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information about accounts receivable, unbilled services, and unearned revenue from contracts with customers: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0"/>
                <w:szCs w:val="20"/>
                <w:color w:val="auto"/>
              </w:rPr>
            </w:pPr>
          </w:p>
        </w:tc>
        <w:tc>
          <w:tcPr>
            <w:tcW w:w="1780" w:type="dxa"/>
            <w:vAlign w:val="bottom"/>
          </w:tcPr>
          <w:p>
            <w:pPr>
              <w:jc w:val="right"/>
              <w:ind w:right="171"/>
              <w:spacing w:after="0"/>
              <w:rPr>
                <w:sz w:val="20"/>
                <w:szCs w:val="20"/>
                <w:color w:val="auto"/>
              </w:rPr>
            </w:pPr>
            <w:r>
              <w:rPr>
                <w:rFonts w:ascii="Arial" w:cs="Arial" w:eastAsia="Arial" w:hAnsi="Arial"/>
                <w:sz w:val="18"/>
                <w:szCs w:val="18"/>
                <w:b w:val="1"/>
                <w:bCs w:val="1"/>
                <w:color w:val="auto"/>
                <w:w w:val="92"/>
              </w:rPr>
              <w:t>December 31, 2022</w:t>
            </w:r>
          </w:p>
        </w:tc>
      </w:tr>
      <w:tr>
        <w:trPr>
          <w:trHeight w:val="221"/>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Dx 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26"/>
        </w:trPr>
        <w:tc>
          <w:tcPr>
            <w:tcW w:w="7180" w:type="dxa"/>
            <w:vAlign w:val="bottom"/>
          </w:tcPr>
          <w:p>
            <w:pPr>
              <w:ind w:left="20"/>
              <w:spacing w:after="0"/>
              <w:rPr>
                <w:sz w:val="20"/>
                <w:szCs w:val="20"/>
                <w:color w:val="auto"/>
              </w:rPr>
            </w:pPr>
            <w:r>
              <w:rPr>
                <w:rFonts w:ascii="Arial" w:cs="Arial" w:eastAsia="Arial" w:hAnsi="Arial"/>
                <w:sz w:val="18"/>
                <w:szCs w:val="18"/>
                <w:color w:val="auto"/>
              </w:rPr>
              <w:t>BLS accounts receivable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769.3</w:t>
            </w:r>
          </w:p>
        </w:tc>
      </w:tr>
      <w:tr>
        <w:trPr>
          <w:trHeight w:val="227"/>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BLS allowance for doubtful accounts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1"/>
        </w:trPr>
        <w:tc>
          <w:tcPr>
            <w:tcW w:w="7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1,785.5</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6"/>
        </w:trPr>
        <w:tc>
          <w:tcPr>
            <w:tcW w:w="7180" w:type="dxa"/>
            <w:vAlign w:val="bottom"/>
          </w:tcPr>
          <w:p>
            <w:pPr>
              <w:ind w:left="20"/>
              <w:spacing w:after="0"/>
              <w:rPr>
                <w:sz w:val="20"/>
                <w:szCs w:val="20"/>
                <w:color w:val="auto"/>
              </w:rPr>
            </w:pPr>
            <w:r>
              <w:rPr>
                <w:rFonts w:ascii="Arial" w:cs="Arial" w:eastAsia="Arial" w:hAnsi="Arial"/>
                <w:sz w:val="18"/>
                <w:szCs w:val="18"/>
                <w:color w:val="auto"/>
              </w:rPr>
              <w:t>Gross unbilled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222.3</w:t>
            </w:r>
          </w:p>
        </w:tc>
      </w:tr>
      <w:tr>
        <w:trPr>
          <w:trHeight w:val="227"/>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reserve for unbilled services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1"/>
        </w:trPr>
        <w:tc>
          <w:tcPr>
            <w:tcW w:w="718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spacing w:after="0"/>
              <w:rPr>
                <w:sz w:val="15"/>
                <w:szCs w:val="15"/>
                <w:color w:val="auto"/>
              </w:rPr>
            </w:pPr>
          </w:p>
        </w:tc>
      </w:tr>
      <w:tr>
        <w:trPr>
          <w:trHeight w:val="220"/>
        </w:trPr>
        <w:tc>
          <w:tcPr>
            <w:tcW w:w="71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240"/>
        <w:spacing w:after="0" w:line="330" w:lineRule="auto"/>
        <w:rPr>
          <w:sz w:val="20"/>
          <w:szCs w:val="20"/>
          <w:color w:val="auto"/>
        </w:rPr>
      </w:pPr>
      <w:r>
        <w:rPr>
          <w:rFonts w:ascii="Arial" w:cs="Arial" w:eastAsia="Arial" w:hAnsi="Arial"/>
          <w:sz w:val="16"/>
          <w:szCs w:val="16"/>
          <w:color w:val="auto"/>
        </w:rPr>
        <w:t>Revenues recognized during the period that were included in the unearned revenue balance at the beginning of the period were $6.3 and $9.3 for the three months ended September 30, 2023 and 2022, respectively, and $79.1 and $65.9 for the nine months ended September 30, 2023, and 2022,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 Rollforward</w:t>
      </w:r>
    </w:p>
    <w:p>
      <w:pPr>
        <w:spacing w:after="0" w:line="60" w:lineRule="exact"/>
        <w:rPr>
          <w:sz w:val="20"/>
          <w:szCs w:val="20"/>
          <w:color w:val="auto"/>
        </w:rPr>
      </w:pPr>
    </w:p>
    <w:p>
      <w:pPr>
        <w:jc w:val="both"/>
        <w:ind w:right="20" w:firstLine="240"/>
        <w:spacing w:after="0" w:line="297" w:lineRule="auto"/>
        <w:rPr>
          <w:sz w:val="20"/>
          <w:szCs w:val="20"/>
          <w:color w:val="auto"/>
        </w:rPr>
      </w:pPr>
      <w:r>
        <w:rPr>
          <w:rFonts w:ascii="Arial" w:cs="Arial" w:eastAsia="Arial" w:hAnsi="Arial"/>
          <w:sz w:val="17"/>
          <w:szCs w:val="17"/>
          <w:color w:val="auto"/>
        </w:rPr>
        <w:t>The Company estimates future expected losses on accounts receivable, unbilled services and notes receivable over the remaining collection period of the instrument. The rollforward for the allowance for credit losses for the nine months ended September 30, 2023,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Accounts</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Unbilled</w:t>
            </w:r>
          </w:p>
        </w:tc>
        <w:tc>
          <w:tcPr>
            <w:tcW w:w="16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Note and Other</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1"/>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Receivable</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Receivables</w:t>
            </w:r>
          </w:p>
        </w:tc>
        <w:tc>
          <w:tcPr>
            <w:tcW w:w="240" w:type="dxa"/>
            <w:vAlign w:val="bottom"/>
          </w:tcPr>
          <w:p>
            <w:pPr>
              <w:spacing w:after="0"/>
              <w:rPr>
                <w:sz w:val="20"/>
                <w:szCs w:val="20"/>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1"/>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6"/>
        </w:trPr>
        <w:tc>
          <w:tcPr>
            <w:tcW w:w="6020" w:type="dxa"/>
            <w:vAlign w:val="bottom"/>
          </w:tcPr>
          <w:p>
            <w:pPr>
              <w:ind w:left="20"/>
              <w:spacing w:after="0"/>
              <w:rPr>
                <w:sz w:val="20"/>
                <w:szCs w:val="20"/>
                <w:color w:val="auto"/>
              </w:rPr>
            </w:pPr>
            <w:r>
              <w:rPr>
                <w:rFonts w:ascii="Arial" w:cs="Arial" w:eastAsia="Arial" w:hAnsi="Arial"/>
                <w:sz w:val="18"/>
                <w:szCs w:val="18"/>
                <w:color w:val="auto"/>
              </w:rPr>
              <w:t>Plus, credit loss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write offs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1"/>
        </w:trPr>
        <w:tc>
          <w:tcPr>
            <w:tcW w:w="602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credit loss expense in the first nine months primarily related to the collection risk from several biotech receivable balances in the first quarter.</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ACQUISITIONS</w:t>
      </w:r>
    </w:p>
    <w:p>
      <w:pPr>
        <w:spacing w:after="0" w:line="132" w:lineRule="exact"/>
        <w:rPr>
          <w:sz w:val="20"/>
          <w:szCs w:val="20"/>
          <w:color w:val="auto"/>
        </w:rPr>
      </w:pPr>
    </w:p>
    <w:p>
      <w:pPr>
        <w:jc w:val="both"/>
        <w:ind w:right="20" w:firstLine="240"/>
        <w:spacing w:after="0" w:line="257" w:lineRule="auto"/>
        <w:rPr>
          <w:sz w:val="20"/>
          <w:szCs w:val="20"/>
          <w:color w:val="auto"/>
        </w:rPr>
      </w:pPr>
      <w:r>
        <w:rPr>
          <w:rFonts w:ascii="Arial" w:cs="Arial" w:eastAsia="Arial" w:hAnsi="Arial"/>
          <w:sz w:val="18"/>
          <w:szCs w:val="18"/>
          <w:color w:val="auto"/>
        </w:rPr>
        <w:t>During the nine months ended September 30, 2023, the Company acquired several businesses and related assets for cash of approximately $516.7. These acquisitions consisted of the clinical and outreach businesses of Jefferson Health ($108.0), Enzo BioChem ($112.8), Providence Health &amp; Services - Oregon ($110.0), Tufts Medicine ($157.0), and other smaller acquisitions</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($28.9). The preliminary purchase considerations for these acquisitions were allocated under the acquisition method of accounting to the estimated fair market value of the net assets acquired, including approximately $284.6 in identifiable intangible assets. A residual amount of non-tax deductible goodwill of approximately $230.5 was recorded as of September 30, 2023. The amortization period for non-compete agreements and customer list assets acquired from these businesses are 5 and 15 years, respectively. The purchase price allocations for these acquisitions have not been finalized as of September 30, 2023. The preliminary valuation of acquired assets and assumed liabilities, include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Amounts Acquired</w:t>
            </w: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1"/>
              </w:rPr>
              <w:t>Measurement Period</w:t>
            </w:r>
          </w:p>
        </w:tc>
        <w:tc>
          <w:tcPr>
            <w:tcW w:w="18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1"/>
              </w:rPr>
              <w:t>During the Nine Months</w:t>
            </w: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86"/>
              </w:rPr>
              <w:t>Business Acquisitions</w:t>
            </w:r>
          </w:p>
        </w:tc>
        <w:tc>
          <w:tcPr>
            <w:tcW w:w="14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center"/>
              <w:ind w:right="53"/>
              <w:spacing w:after="0" w:line="160" w:lineRule="exact"/>
              <w:rPr>
                <w:sz w:val="20"/>
                <w:szCs w:val="20"/>
                <w:color w:val="auto"/>
              </w:rPr>
            </w:pPr>
            <w:r>
              <w:rPr>
                <w:rFonts w:ascii="Arial" w:cs="Arial" w:eastAsia="Arial" w:hAnsi="Arial"/>
                <w:sz w:val="16"/>
                <w:szCs w:val="16"/>
                <w:b w:val="1"/>
                <w:bCs w:val="1"/>
                <w:color w:val="auto"/>
                <w:w w:val="89"/>
              </w:rPr>
              <w:t>Ended September 30,</w:t>
            </w:r>
          </w:p>
        </w:tc>
        <w:tc>
          <w:tcPr>
            <w:tcW w:w="0" w:type="dxa"/>
            <w:vAlign w:val="bottom"/>
          </w:tcPr>
          <w:p>
            <w:pPr>
              <w:spacing w:after="0"/>
              <w:rPr>
                <w:sz w:val="1"/>
                <w:szCs w:val="1"/>
                <w:color w:val="auto"/>
              </w:rPr>
            </w:pPr>
          </w:p>
        </w:tc>
      </w:tr>
      <w:tr>
        <w:trPr>
          <w:trHeight w:val="220"/>
        </w:trPr>
        <w:tc>
          <w:tcPr>
            <w:tcW w:w="5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58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582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6"/>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230.5</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6"/>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acquired</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During the nine months ended September 30, 2022, the Company acquired several businesses and related assets for approximately $1,013.6 in cash. The purchase considerations for these acquisitions were allocated under the acquisition method of accounting to the estimated fair market value of the net assets acquired, including approximately $407.4 in identifiable intangible assets and a residual amount of non-tax deductible goodwill of approximately $571.3. The amortization period for intangible assets acquired from this businesses range from 5 to 23 years for customer relationships and non-compete agreements. These acquisitions were made primarily to complement and accelerate the Company’s existing liquid biopsy capabilities and enhance the Company's diagnostic footprint and capabilities. The preliminary valuation of acquired assets and assumed liabilities, include the following:</w:t>
      </w:r>
    </w:p>
    <w:p>
      <w:pPr>
        <w:spacing w:after="0" w:line="9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Preliminary Personal</w:t>
            </w:r>
          </w:p>
        </w:tc>
        <w:tc>
          <w:tcPr>
            <w:tcW w:w="180" w:type="dxa"/>
            <w:vAlign w:val="bottom"/>
          </w:tcPr>
          <w:p>
            <w:pPr>
              <w:spacing w:after="0"/>
              <w:rPr>
                <w:sz w:val="16"/>
                <w:szCs w:val="16"/>
                <w:color w:val="auto"/>
              </w:rPr>
            </w:pPr>
          </w:p>
        </w:tc>
        <w:tc>
          <w:tcPr>
            <w:tcW w:w="1120" w:type="dxa"/>
            <w:vAlign w:val="bottom"/>
          </w:tcPr>
          <w:p>
            <w:pPr>
              <w:jc w:val="center"/>
              <w:ind w:right="52"/>
              <w:spacing w:after="0"/>
              <w:rPr>
                <w:sz w:val="20"/>
                <w:szCs w:val="20"/>
                <w:color w:val="auto"/>
              </w:rPr>
            </w:pPr>
            <w:r>
              <w:rPr>
                <w:rFonts w:ascii="Arial" w:cs="Arial" w:eastAsia="Arial" w:hAnsi="Arial"/>
                <w:sz w:val="16"/>
                <w:szCs w:val="16"/>
                <w:b w:val="1"/>
                <w:bCs w:val="1"/>
                <w:color w:val="auto"/>
                <w:w w:val="94"/>
              </w:rPr>
              <w:t>Preliminary</w:t>
            </w:r>
          </w:p>
        </w:tc>
        <w:tc>
          <w:tcPr>
            <w:tcW w:w="160" w:type="dxa"/>
            <w:vAlign w:val="bottom"/>
          </w:tcPr>
          <w:p>
            <w:pPr>
              <w:spacing w:after="0"/>
              <w:rPr>
                <w:sz w:val="16"/>
                <w:szCs w:val="16"/>
                <w:color w:val="auto"/>
              </w:rPr>
            </w:pPr>
          </w:p>
        </w:tc>
        <w:tc>
          <w:tcPr>
            <w:tcW w:w="106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6"/>
                <w:szCs w:val="16"/>
                <w:color w:val="auto"/>
              </w:rPr>
            </w:pPr>
          </w:p>
        </w:tc>
        <w:tc>
          <w:tcPr>
            <w:tcW w:w="1280" w:type="dxa"/>
            <w:vAlign w:val="bottom"/>
          </w:tcPr>
          <w:p>
            <w:pPr>
              <w:jc w:val="center"/>
              <w:ind w:right="172"/>
              <w:spacing w:after="0"/>
              <w:rPr>
                <w:sz w:val="20"/>
                <w:szCs w:val="20"/>
                <w:color w:val="auto"/>
              </w:rPr>
            </w:pPr>
            <w:r>
              <w:rPr>
                <w:rFonts w:ascii="Arial" w:cs="Arial" w:eastAsia="Arial" w:hAnsi="Arial"/>
                <w:sz w:val="16"/>
                <w:szCs w:val="16"/>
                <w:b w:val="1"/>
                <w:bCs w:val="1"/>
                <w:color w:val="auto"/>
                <w:w w:val="91"/>
              </w:rPr>
              <w:t>Measurement</w:t>
            </w:r>
          </w:p>
        </w:tc>
        <w:tc>
          <w:tcPr>
            <w:tcW w:w="226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Amounts Acquired During the</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13"/>
                <w:szCs w:val="13"/>
                <w:color w:val="auto"/>
              </w:rPr>
            </w:pPr>
          </w:p>
        </w:tc>
        <w:tc>
          <w:tcPr>
            <w:tcW w:w="15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86"/>
              </w:rPr>
              <w:t>Genome Diagnostics</w:t>
            </w:r>
          </w:p>
        </w:tc>
        <w:tc>
          <w:tcPr>
            <w:tcW w:w="180" w:type="dxa"/>
            <w:vAlign w:val="bottom"/>
          </w:tcPr>
          <w:p>
            <w:pPr>
              <w:spacing w:after="0"/>
              <w:rPr>
                <w:sz w:val="13"/>
                <w:szCs w:val="13"/>
                <w:color w:val="auto"/>
              </w:rPr>
            </w:pPr>
          </w:p>
        </w:tc>
        <w:tc>
          <w:tcPr>
            <w:tcW w:w="1120" w:type="dxa"/>
            <w:vAlign w:val="bottom"/>
          </w:tcPr>
          <w:p>
            <w:pPr>
              <w:jc w:val="center"/>
              <w:ind w:right="72"/>
              <w:spacing w:after="0" w:line="160" w:lineRule="exact"/>
              <w:rPr>
                <w:sz w:val="20"/>
                <w:szCs w:val="20"/>
                <w:color w:val="auto"/>
              </w:rPr>
            </w:pPr>
            <w:r>
              <w:rPr>
                <w:rFonts w:ascii="Arial" w:cs="Arial" w:eastAsia="Arial" w:hAnsi="Arial"/>
                <w:sz w:val="16"/>
                <w:szCs w:val="16"/>
                <w:b w:val="1"/>
                <w:bCs w:val="1"/>
                <w:color w:val="auto"/>
                <w:w w:val="83"/>
              </w:rPr>
              <w:t>Ascension</w:t>
            </w: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172"/>
              <w:spacing w:after="0" w:line="160" w:lineRule="exact"/>
              <w:rPr>
                <w:sz w:val="20"/>
                <w:szCs w:val="20"/>
                <w:color w:val="auto"/>
              </w:rPr>
            </w:pPr>
            <w:r>
              <w:rPr>
                <w:rFonts w:ascii="Arial" w:cs="Arial" w:eastAsia="Arial" w:hAnsi="Arial"/>
                <w:sz w:val="16"/>
                <w:szCs w:val="16"/>
                <w:b w:val="1"/>
                <w:bCs w:val="1"/>
                <w:color w:val="auto"/>
                <w:w w:val="92"/>
              </w:rPr>
              <w:t>Period</w:t>
            </w:r>
          </w:p>
        </w:tc>
        <w:tc>
          <w:tcPr>
            <w:tcW w:w="2260" w:type="dxa"/>
            <w:vAlign w:val="bottom"/>
          </w:tcPr>
          <w:p>
            <w:pPr>
              <w:jc w:val="center"/>
              <w:ind w:right="32"/>
              <w:spacing w:after="0" w:line="160" w:lineRule="exact"/>
              <w:rPr>
                <w:sz w:val="20"/>
                <w:szCs w:val="20"/>
                <w:color w:val="auto"/>
              </w:rPr>
            </w:pPr>
            <w:r>
              <w:rPr>
                <w:rFonts w:ascii="Arial" w:cs="Arial" w:eastAsia="Arial" w:hAnsi="Arial"/>
                <w:sz w:val="16"/>
                <w:szCs w:val="16"/>
                <w:b w:val="1"/>
                <w:bCs w:val="1"/>
                <w:color w:val="auto"/>
                <w:w w:val="90"/>
              </w:rPr>
              <w:t>Nine Months Ended September</w:t>
            </w:r>
          </w:p>
        </w:tc>
        <w:tc>
          <w:tcPr>
            <w:tcW w:w="0" w:type="dxa"/>
            <w:vAlign w:val="bottom"/>
          </w:tcPr>
          <w:p>
            <w:pPr>
              <w:spacing w:after="0"/>
              <w:rPr>
                <w:sz w:val="1"/>
                <w:szCs w:val="1"/>
                <w:color w:val="auto"/>
              </w:rPr>
            </w:pPr>
          </w:p>
        </w:tc>
      </w:tr>
      <w:tr>
        <w:trPr>
          <w:trHeight w:val="207"/>
        </w:trPr>
        <w:tc>
          <w:tcPr>
            <w:tcW w:w="3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94"/>
              </w:rPr>
              <w:t>Inc.</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2"/>
              </w:rPr>
              <w:t>Healthcare</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1"/>
              </w:rPr>
              <w:t>Acquisitions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88"/>
              </w:rPr>
              <w:t>Adjustments</w:t>
            </w:r>
          </w:p>
        </w:tc>
        <w:tc>
          <w:tcPr>
            <w:tcW w:w="226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30, 2022</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17.7</w:t>
            </w:r>
          </w:p>
        </w:tc>
        <w:tc>
          <w:tcPr>
            <w:tcW w:w="22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62.3</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272.9</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71.7</w:t>
            </w:r>
          </w:p>
        </w:tc>
        <w:tc>
          <w:tcPr>
            <w:tcW w:w="18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(134.2)</w:t>
            </w:r>
          </w:p>
        </w:tc>
        <w:tc>
          <w:tcPr>
            <w:tcW w:w="2260" w:type="dxa"/>
            <w:vAlign w:val="bottom"/>
          </w:tcPr>
          <w:p>
            <w:pPr>
              <w:jc w:val="right"/>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(54.2)</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2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6"/>
        </w:trPr>
        <w:tc>
          <w:tcPr>
            <w:tcW w:w="316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32.9</w:t>
            </w:r>
          </w:p>
        </w:tc>
        <w:tc>
          <w:tcPr>
            <w:tcW w:w="226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7"/>
        </w:trPr>
        <w:tc>
          <w:tcPr>
            <w:tcW w:w="316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(17.1)</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(70.0)</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(54.2)</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1"/>
        </w:trPr>
        <w:tc>
          <w:tcPr>
            <w:tcW w:w="31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 Forma Information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Had the Company's total 2023 and 2022 acquisitions been completed as of January 1, the Company's pro forma results would have been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89"/>
              </w:rPr>
              <w:t>Three Months Ended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w w:val="99"/>
              </w:rPr>
              <w:t>Nine Months Ended</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9"/>
              </w:rPr>
              <w:t>Three Months Ended</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9"/>
              </w:rPr>
              <w:t>Nine Months Ended</w:t>
            </w:r>
          </w:p>
        </w:tc>
      </w:tr>
      <w:tr>
        <w:trPr>
          <w:trHeight w:val="232"/>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6"/>
              </w:rPr>
              <w:t>September 30,</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3"/>
              </w:rPr>
              <w:t>September 30,</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8"/>
              </w:rPr>
              <w:t>September 30,</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6"/>
              </w:rPr>
              <w:t>September 30,</w:t>
            </w:r>
          </w:p>
        </w:tc>
      </w:tr>
      <w:tr>
        <w:trPr>
          <w:trHeight w:val="226"/>
        </w:trPr>
        <w:tc>
          <w:tcPr>
            <w:tcW w:w="4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9"/>
              </w:rPr>
              <w:t>2023</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color w:val="auto"/>
                <w:w w:val="89"/>
              </w:rPr>
              <w:t>2022</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4"/>
              </w:rPr>
              <w:t>2022</w:t>
            </w:r>
          </w:p>
        </w:tc>
      </w:tr>
      <w:tr>
        <w:trPr>
          <w:trHeight w:val="22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3,073.4</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9,218.6</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2,933.5</w:t>
            </w:r>
          </w:p>
        </w:tc>
        <w:tc>
          <w:tcPr>
            <w:tcW w:w="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9,205.7</w:t>
            </w:r>
          </w:p>
        </w:tc>
      </w:tr>
      <w:tr>
        <w:trPr>
          <w:trHeight w:val="174"/>
        </w:trPr>
        <w:tc>
          <w:tcPr>
            <w:tcW w:w="4400" w:type="dxa"/>
            <w:vAlign w:val="bottom"/>
          </w:tcPr>
          <w:p>
            <w:pPr>
              <w:ind w:left="20"/>
              <w:spacing w:after="0" w:line="175" w:lineRule="exact"/>
              <w:rPr>
                <w:sz w:val="20"/>
                <w:szCs w:val="20"/>
                <w:color w:val="auto"/>
              </w:rPr>
            </w:pPr>
            <w:r>
              <w:rPr>
                <w:rFonts w:ascii="Arial" w:cs="Arial" w:eastAsia="Arial" w:hAnsi="Arial"/>
                <w:sz w:val="18"/>
                <w:szCs w:val="18"/>
                <w:color w:val="auto"/>
              </w:rPr>
              <w:t>Net earnings from continuing operations attributable to</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8"/>
        </w:trPr>
        <w:tc>
          <w:tcPr>
            <w:tcW w:w="4400" w:type="dxa"/>
            <w:vAlign w:val="bottom"/>
          </w:tcPr>
          <w:p>
            <w:pPr>
              <w:ind w:left="20"/>
              <w:spacing w:after="0"/>
              <w:rPr>
                <w:sz w:val="20"/>
                <w:szCs w:val="20"/>
                <w:color w:val="auto"/>
              </w:rPr>
            </w:pPr>
            <w:r>
              <w:rPr>
                <w:rFonts w:ascii="Arial" w:cs="Arial" w:eastAsia="Arial" w:hAnsi="Arial"/>
                <w:sz w:val="18"/>
                <w:szCs w:val="18"/>
                <w:color w:val="auto"/>
              </w:rPr>
              <w:t>Laboratory Corporation of America Holdings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185.2</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597.1</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358.5</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1,228.7</w:t>
            </w:r>
          </w:p>
        </w:tc>
      </w:tr>
    </w:tbl>
    <w:p>
      <w:pPr>
        <w:spacing w:after="0" w:line="2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w:t>
      </w:r>
    </w:p>
    <w:p>
      <w:pPr>
        <w:spacing w:after="0" w:line="66"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and performance share awards.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jc w:val="right"/>
              <w:ind w:right="282"/>
              <w:spacing w:after="0"/>
              <w:rPr>
                <w:sz w:val="20"/>
                <w:szCs w:val="20"/>
                <w:color w:val="auto"/>
              </w:rPr>
            </w:pPr>
            <w:r>
              <w:rPr>
                <w:rFonts w:ascii="Arial" w:cs="Arial" w:eastAsia="Arial" w:hAnsi="Arial"/>
                <w:sz w:val="16"/>
                <w:szCs w:val="16"/>
                <w:color w:val="auto"/>
              </w:rPr>
              <w:t>Three Months Ended September 30,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9"/>
          </w:tcPr>
          <w:p>
            <w:pPr>
              <w:jc w:val="right"/>
              <w:ind w:right="322"/>
              <w:spacing w:after="0"/>
              <w:rPr>
                <w:sz w:val="20"/>
                <w:szCs w:val="20"/>
                <w:color w:val="auto"/>
              </w:rPr>
            </w:pPr>
            <w:r>
              <w:rPr>
                <w:rFonts w:ascii="Arial" w:cs="Arial" w:eastAsia="Arial" w:hAnsi="Arial"/>
                <w:sz w:val="16"/>
                <w:szCs w:val="16"/>
                <w:color w:val="auto"/>
              </w:rPr>
              <w:t>Nine Months Ended September 30,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color w:val="auto"/>
              </w:rPr>
              <w:t>Earnings</w:t>
            </w:r>
          </w:p>
        </w:tc>
        <w:tc>
          <w:tcPr>
            <w:tcW w:w="600" w:type="dxa"/>
            <w:vAlign w:val="bottom"/>
            <w:vMerge w:val="restart"/>
          </w:tcPr>
          <w:p>
            <w:pPr>
              <w:jc w:val="right"/>
              <w:ind w:right="22"/>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2"/>
                <w:szCs w:val="12"/>
                <w:color w:val="auto"/>
              </w:rPr>
            </w:pPr>
          </w:p>
        </w:tc>
        <w:tc>
          <w:tcPr>
            <w:tcW w:w="7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85"/>
              </w:rPr>
              <w:t>Per 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Earnings</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7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85"/>
              </w:rPr>
              <w:t>Per 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Earnings</w:t>
            </w:r>
          </w:p>
        </w:tc>
        <w:tc>
          <w:tcPr>
            <w:tcW w:w="600" w:type="dxa"/>
            <w:vAlign w:val="bottom"/>
            <w:vMerge w:val="restart"/>
          </w:tcPr>
          <w:p>
            <w:pPr>
              <w:ind w:left="10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7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88"/>
              </w:rPr>
              <w:t>Per 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Earnings</w:t>
            </w:r>
          </w:p>
        </w:tc>
        <w:tc>
          <w:tcPr>
            <w:tcW w:w="620" w:type="dxa"/>
            <w:vAlign w:val="bottom"/>
            <w:vMerge w:val="restart"/>
          </w:tcPr>
          <w:p>
            <w:pPr>
              <w:jc w:val="right"/>
              <w:ind w:right="42"/>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720" w:type="dxa"/>
            <w:vAlign w:val="bottom"/>
            <w:gridSpan w:val="2"/>
          </w:tcPr>
          <w:p>
            <w:pPr>
              <w:jc w:val="right"/>
              <w:ind w:right="3"/>
              <w:spacing w:after="0" w:line="141" w:lineRule="exact"/>
              <w:rPr>
                <w:sz w:val="20"/>
                <w:szCs w:val="20"/>
                <w:color w:val="auto"/>
              </w:rPr>
            </w:pPr>
            <w:r>
              <w:rPr>
                <w:rFonts w:ascii="Arial" w:cs="Arial" w:eastAsia="Arial" w:hAnsi="Arial"/>
                <w:sz w:val="14"/>
                <w:szCs w:val="14"/>
                <w:color w:val="auto"/>
                <w:w w:val="98"/>
              </w:rPr>
              <w:t>Per Share</w:t>
            </w:r>
          </w:p>
        </w:tc>
        <w:tc>
          <w:tcPr>
            <w:tcW w:w="0" w:type="dxa"/>
            <w:vAlign w:val="bottom"/>
          </w:tcPr>
          <w:p>
            <w:pPr>
              <w:spacing w:after="0"/>
              <w:rPr>
                <w:sz w:val="1"/>
                <w:szCs w:val="1"/>
                <w:color w:val="auto"/>
              </w:rPr>
            </w:pPr>
          </w:p>
        </w:tc>
      </w:tr>
      <w:tr>
        <w:trPr>
          <w:trHeight w:val="199"/>
        </w:trPr>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93"/>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0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276.9</w:t>
            </w:r>
          </w:p>
        </w:tc>
        <w:tc>
          <w:tcPr>
            <w:tcW w:w="12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90.2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87.9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965.2</w:t>
            </w:r>
          </w:p>
        </w:tc>
        <w:tc>
          <w:tcPr>
            <w:tcW w:w="10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91.9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144"/>
        </w:trPr>
        <w:tc>
          <w:tcPr>
            <w:tcW w:w="180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color w:val="auto"/>
              </w:rPr>
              <w:t>Dilutive effect of</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4"/>
              </w:rPr>
              <w:t>employee stock options and</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140"/>
              <w:spacing w:after="0" w:line="141" w:lineRule="exact"/>
              <w:rPr>
                <w:sz w:val="20"/>
                <w:szCs w:val="20"/>
                <w:color w:val="auto"/>
              </w:rPr>
            </w:pPr>
            <w:r>
              <w:rPr>
                <w:rFonts w:ascii="Arial" w:cs="Arial" w:eastAsia="Arial" w:hAnsi="Arial"/>
                <w:sz w:val="14"/>
                <w:szCs w:val="14"/>
                <w:color w:val="auto"/>
              </w:rPr>
              <w:t>Net earnings including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ind w:left="140"/>
              <w:spacing w:after="0" w:line="139" w:lineRule="exact"/>
              <w:rPr>
                <w:sz w:val="20"/>
                <w:szCs w:val="20"/>
                <w:color w:val="auto"/>
              </w:rPr>
            </w:pPr>
            <w:r>
              <w:rPr>
                <w:rFonts w:ascii="Arial" w:cs="Arial" w:eastAsia="Arial" w:hAnsi="Arial"/>
                <w:sz w:val="14"/>
                <w:szCs w:val="14"/>
                <w:color w:val="auto"/>
              </w:rPr>
              <w:t>impact of dilutive</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87.0</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276.9</w:t>
            </w:r>
          </w:p>
        </w:tc>
        <w:tc>
          <w:tcPr>
            <w:tcW w:w="120" w:type="dxa"/>
            <w:vAlign w:val="bottom"/>
          </w:tcPr>
          <w:p>
            <w:pPr>
              <w:spacing w:after="0"/>
              <w:rPr>
                <w:sz w:val="12"/>
                <w:szCs w:val="12"/>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90.7</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546.3</w:t>
            </w:r>
          </w:p>
        </w:tc>
        <w:tc>
          <w:tcPr>
            <w:tcW w:w="120" w:type="dxa"/>
            <w:vAlign w:val="bottom"/>
          </w:tcPr>
          <w:p>
            <w:pPr>
              <w:spacing w:after="0"/>
              <w:rPr>
                <w:sz w:val="12"/>
                <w:szCs w:val="12"/>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6"/>
                <w:szCs w:val="16"/>
                <w:color w:val="auto"/>
              </w:rPr>
              <w:t>88.3</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ind w:right="2"/>
              <w:spacing w:after="0"/>
              <w:rPr>
                <w:sz w:val="20"/>
                <w:szCs w:val="20"/>
                <w:color w:val="auto"/>
              </w:rPr>
            </w:pPr>
            <w:r>
              <w:rPr>
                <w:rFonts w:ascii="Arial" w:cs="Arial" w:eastAsia="Arial" w:hAnsi="Arial"/>
                <w:sz w:val="16"/>
                <w:szCs w:val="16"/>
                <w:color w:val="auto"/>
              </w:rPr>
              <w:t>965.2</w:t>
            </w:r>
          </w:p>
        </w:tc>
        <w:tc>
          <w:tcPr>
            <w:tcW w:w="100" w:type="dxa"/>
            <w:vAlign w:val="bottom"/>
          </w:tcPr>
          <w:p>
            <w:pPr>
              <w:spacing w:after="0"/>
              <w:rPr>
                <w:sz w:val="12"/>
                <w:szCs w:val="12"/>
                <w:color w:val="auto"/>
              </w:rPr>
            </w:pP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92.4</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178"/>
        </w:trPr>
        <w:tc>
          <w:tcPr>
            <w:tcW w:w="1800" w:type="dxa"/>
            <w:vAlign w:val="bottom"/>
          </w:tcPr>
          <w:p>
            <w:pPr>
              <w:ind w:left="140"/>
              <w:spacing w:after="0"/>
              <w:rPr>
                <w:sz w:val="20"/>
                <w:szCs w:val="20"/>
                <w:color w:val="auto"/>
              </w:rPr>
            </w:pPr>
            <w:r>
              <w:rPr>
                <w:rFonts w:ascii="Arial" w:cs="Arial" w:eastAsia="Arial" w:hAnsi="Arial"/>
                <w:sz w:val="14"/>
                <w:szCs w:val="14"/>
                <w:color w:val="auto"/>
              </w:rPr>
              <w:t>adjustments</w:t>
            </w:r>
          </w:p>
        </w:tc>
        <w:tc>
          <w:tcPr>
            <w:tcW w:w="1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The following table summarizes the potential common shares not included in the computation of diluted earnings per share because their impact would have been antidilutive: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20" w:type="dxa"/>
            <w:vAlign w:val="bottom"/>
          </w:tcPr>
          <w:p>
            <w:pPr>
              <w:spacing w:after="0"/>
              <w:rPr>
                <w:sz w:val="20"/>
                <w:szCs w:val="20"/>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color w:val="auto"/>
              </w:rPr>
              <w:t>Nine Months Ended September 30,</w:t>
            </w:r>
          </w:p>
        </w:tc>
      </w:tr>
      <w:tr>
        <w:trPr>
          <w:trHeight w:val="233"/>
        </w:trPr>
        <w:tc>
          <w:tcPr>
            <w:tcW w:w="4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2022</w:t>
            </w:r>
          </w:p>
        </w:tc>
      </w:tr>
      <w:tr>
        <w:trPr>
          <w:trHeight w:val="227"/>
        </w:trPr>
        <w:tc>
          <w:tcPr>
            <w:tcW w:w="5480" w:type="dxa"/>
            <w:vAlign w:val="bottom"/>
            <w:gridSpan w:val="2"/>
            <w:shd w:val="clear" w:color="auto" w:fill="CCEEFF"/>
          </w:tcPr>
          <w:p>
            <w:pPr>
              <w:jc w:val="right"/>
              <w:ind w:right="2811"/>
              <w:spacing w:after="0"/>
              <w:rPr>
                <w:sz w:val="20"/>
                <w:szCs w:val="20"/>
                <w:color w:val="auto"/>
              </w:rPr>
            </w:pPr>
            <w:r>
              <w:rPr>
                <w:rFonts w:ascii="Arial" w:cs="Arial" w:eastAsia="Arial" w:hAnsi="Arial"/>
                <w:sz w:val="18"/>
                <w:szCs w:val="18"/>
                <w:color w:val="auto"/>
                <w:w w:val="88"/>
              </w:rPr>
              <w:t>Employee stock options and awards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GOODWILL AND INTANGIBLE ASSETS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for the nine months ended September 30, 2023,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Dx</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BLS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Total</w:t>
            </w:r>
          </w:p>
        </w:tc>
      </w:tr>
      <w:tr>
        <w:trPr>
          <w:trHeight w:val="227"/>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160" w:type="dxa"/>
            <w:vAlign w:val="bottom"/>
            <w:tcBorders>
              <w:top w:val="single" w:sz="8" w:color="auto"/>
            </w:tcBorders>
            <w:shd w:val="clear" w:color="auto" w:fill="CCEEFF"/>
          </w:tcPr>
          <w:p>
            <w:pPr>
              <w:jc w:val="right"/>
              <w:ind w:right="97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1,590.2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6,123.7</w:t>
            </w:r>
          </w:p>
        </w:tc>
        <w:tc>
          <w:tcPr>
            <w:tcW w:w="20" w:type="dxa"/>
            <w:vAlign w:val="bottom"/>
          </w:tcPr>
          <w:p>
            <w:pPr>
              <w:spacing w:after="0"/>
              <w:rPr>
                <w:sz w:val="19"/>
                <w:szCs w:val="19"/>
                <w:color w:val="auto"/>
              </w:rPr>
            </w:pPr>
          </w:p>
        </w:tc>
      </w:tr>
      <w:tr>
        <w:trPr>
          <w:trHeight w:val="226"/>
        </w:trPr>
        <w:tc>
          <w:tcPr>
            <w:tcW w:w="5340" w:type="dxa"/>
            <w:vAlign w:val="bottom"/>
          </w:tcPr>
          <w:p>
            <w:pPr>
              <w:ind w:left="20"/>
              <w:spacing w:after="0"/>
              <w:rPr>
                <w:sz w:val="20"/>
                <w:szCs w:val="20"/>
                <w:color w:val="auto"/>
              </w:rPr>
            </w:pPr>
            <w:r>
              <w:rPr>
                <w:rFonts w:ascii="Arial" w:cs="Arial" w:eastAsia="Arial" w:hAnsi="Arial"/>
                <w:sz w:val="18"/>
                <w:szCs w:val="18"/>
                <w:color w:val="auto"/>
              </w:rPr>
              <w:t>Goodwill acquired during the period</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19"/>
                <w:szCs w:val="19"/>
                <w:color w:val="auto"/>
              </w:rPr>
            </w:pPr>
          </w:p>
        </w:tc>
      </w:tr>
      <w:tr>
        <w:trPr>
          <w:trHeight w:val="23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impact and other adjustments to goodwill</w:t>
            </w:r>
          </w:p>
        </w:tc>
        <w:tc>
          <w:tcPr>
            <w:tcW w:w="1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0"/>
                <w:szCs w:val="20"/>
                <w:color w:val="auto"/>
              </w:rPr>
            </w:pPr>
          </w:p>
        </w:tc>
      </w:tr>
      <w:tr>
        <w:trPr>
          <w:trHeight w:val="227"/>
        </w:trPr>
        <w:tc>
          <w:tcPr>
            <w:tcW w:w="534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1160" w:type="dxa"/>
            <w:vAlign w:val="bottom"/>
            <w:tcBorders>
              <w:bottom w:val="single" w:sz="8" w:color="auto"/>
            </w:tcBorders>
          </w:tcPr>
          <w:p>
            <w:pPr>
              <w:jc w:val="right"/>
              <w:ind w:right="97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4,745.4</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10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1,586.5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6,331.9</w:t>
            </w:r>
          </w:p>
        </w:tc>
        <w:tc>
          <w:tcPr>
            <w:tcW w:w="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2"/>
        </w:trPr>
        <w:tc>
          <w:tcPr>
            <w:tcW w:w="5340" w:type="dxa"/>
            <w:vAlign w:val="bottom"/>
          </w:tcPr>
          <w:p>
            <w:pPr>
              <w:spacing w:after="0"/>
              <w:rPr>
                <w:sz w:val="24"/>
                <w:szCs w:val="24"/>
                <w:color w:val="auto"/>
              </w:rPr>
            </w:pPr>
          </w:p>
        </w:tc>
        <w:tc>
          <w:tcPr>
            <w:tcW w:w="1160" w:type="dxa"/>
            <w:vAlign w:val="bottom"/>
          </w:tcPr>
          <w:p>
            <w:pPr>
              <w:jc w:val="right"/>
              <w:ind w:right="691"/>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2"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The Company assesses goodwill and indefinite-lived intangibles for impairment at least annually or whenever events or changes in circumstances indicate that the carrying amount of such assets may not be recoverable. The Company recognizes an impairment charge for the amount by which the reporting unit's carrying amount exceeds its fair value.</w:t>
      </w:r>
    </w:p>
    <w:p>
      <w:pPr>
        <w:spacing w:after="0" w:line="95"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During the fourth quarter of 2022, the company recorded a goodwill impairment, related to the early development reporting unit, at which time the amount of fair value in excess of carrying value was reduced to zero. As such, the company continues to closely monitor the performance of the early development reporting unit.</w:t>
      </w:r>
    </w:p>
    <w:p>
      <w:pPr>
        <w:spacing w:after="0" w:line="2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88"/>
              </w:rPr>
              <w:t>September 30, 2023</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6"/>
              </w:rPr>
              <w:t>December 31, 2022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74"/>
        </w:trPr>
        <w:tc>
          <w:tcPr>
            <w:tcW w:w="3380" w:type="dxa"/>
            <w:vAlign w:val="bottom"/>
          </w:tcPr>
          <w:p>
            <w:pPr>
              <w:spacing w:after="0"/>
              <w:rPr>
                <w:sz w:val="15"/>
                <w:szCs w:val="15"/>
                <w:color w:val="auto"/>
              </w:rPr>
            </w:pPr>
          </w:p>
        </w:tc>
        <w:tc>
          <w:tcPr>
            <w:tcW w:w="1160" w:type="dxa"/>
            <w:vAlign w:val="bottom"/>
            <w:gridSpan w:val="2"/>
          </w:tcPr>
          <w:p>
            <w:pPr>
              <w:ind w:left="40"/>
              <w:spacing w:after="0" w:line="175" w:lineRule="exact"/>
              <w:rPr>
                <w:sz w:val="20"/>
                <w:szCs w:val="20"/>
                <w:color w:val="auto"/>
              </w:rPr>
            </w:pPr>
            <w:r>
              <w:rPr>
                <w:rFonts w:ascii="Arial" w:cs="Arial" w:eastAsia="Arial" w:hAnsi="Arial"/>
                <w:sz w:val="18"/>
                <w:szCs w:val="18"/>
                <w:color w:val="auto"/>
                <w:w w:val="90"/>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80"/>
              <w:spacing w:after="0" w:line="175" w:lineRule="exact"/>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40"/>
              <w:spacing w:after="0" w:line="175" w:lineRule="exact"/>
              <w:rPr>
                <w:sz w:val="20"/>
                <w:szCs w:val="20"/>
                <w:color w:val="auto"/>
              </w:rPr>
            </w:pPr>
            <w:r>
              <w:rPr>
                <w:rFonts w:ascii="Arial" w:cs="Arial" w:eastAsia="Arial" w:hAnsi="Arial"/>
                <w:sz w:val="18"/>
                <w:szCs w:val="18"/>
                <w:color w:val="auto"/>
                <w:w w:val="90"/>
              </w:rPr>
              <w:t>Gross 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60"/>
              <w:spacing w:after="0" w:line="175" w:lineRule="exact"/>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6"/>
        </w:trPr>
        <w:tc>
          <w:tcPr>
            <w:tcW w:w="33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5"/>
              </w:rPr>
              <w:t>Amortization</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Net</w:t>
            </w:r>
          </w:p>
        </w:tc>
      </w:tr>
      <w:tr>
        <w:trPr>
          <w:trHeight w:val="22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2,320.3</w:t>
            </w:r>
          </w:p>
        </w:tc>
      </w:tr>
      <w:tr>
        <w:trPr>
          <w:trHeight w:val="226"/>
        </w:trPr>
        <w:tc>
          <w:tcPr>
            <w:tcW w:w="3380" w:type="dxa"/>
            <w:vAlign w:val="bottom"/>
          </w:tcPr>
          <w:p>
            <w:pPr>
              <w:ind w:left="20"/>
              <w:spacing w:after="0"/>
              <w:rPr>
                <w:sz w:val="20"/>
                <w:szCs w:val="20"/>
                <w:color w:val="auto"/>
              </w:rPr>
            </w:pPr>
            <w:r>
              <w:rPr>
                <w:rFonts w:ascii="Arial" w:cs="Arial" w:eastAsia="Arial" w:hAnsi="Arial"/>
                <w:sz w:val="18"/>
                <w:szCs w:val="18"/>
                <w:color w:val="auto"/>
              </w:rPr>
              <w:t>Patents, licenses and 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277.1</w:t>
            </w:r>
          </w:p>
        </w:tc>
      </w:tr>
      <w:tr>
        <w:trPr>
          <w:trHeight w:val="22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6"/>
        </w:trPr>
        <w:tc>
          <w:tcPr>
            <w:tcW w:w="33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use right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3380" w:type="dxa"/>
            <w:vAlign w:val="bottom"/>
          </w:tcPr>
          <w:p>
            <w:pPr>
              <w:ind w:left="20"/>
              <w:spacing w:after="0"/>
              <w:rPr>
                <w:sz w:val="20"/>
                <w:szCs w:val="20"/>
                <w:color w:val="auto"/>
              </w:rPr>
            </w:pPr>
            <w:r>
              <w:rPr>
                <w:rFonts w:ascii="Arial" w:cs="Arial" w:eastAsia="Arial" w:hAnsi="Arial"/>
                <w:sz w:val="18"/>
                <w:szCs w:val="18"/>
                <w:color w:val="auto"/>
              </w:rPr>
              <w:t>Canadian licenses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468.7</w:t>
            </w:r>
          </w:p>
        </w:tc>
      </w:tr>
      <w:tr>
        <w:trPr>
          <w:trHeight w:val="22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0"/>
        </w:trPr>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w:t>
            </w:r>
          </w:p>
        </w:tc>
      </w:tr>
      <w:tr>
        <w:trPr>
          <w:trHeight w:val="21"/>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Amortization of intangible assets for the three and nine months ended September 30, 2023, and 2022, was $55.7 and $49.0 and $160.6 and $149.0, respectively. The amortization expense for the net carrying amount of intangible assets is estimated to be $57.0 for the remainder of fiscal 2023, $228.0 in fiscal 2024, $218.2 in fiscal 2025, $209.3 in fiscal 2026, $198.1 in fiscal 2027, and $1,784.0 thereafter.</w:t>
      </w:r>
    </w:p>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DEBT</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Short-term borrowings and the current portion of long-term debt at September 30, 2023, and December 31, 2022, consisted of the following: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September 30, 2023</w:t>
            </w:r>
          </w:p>
        </w:tc>
        <w:tc>
          <w:tcPr>
            <w:tcW w:w="220" w:type="dxa"/>
            <w:vAlign w:val="bottom"/>
          </w:tcPr>
          <w:p>
            <w:pPr>
              <w:spacing w:after="0"/>
              <w:rPr>
                <w:sz w:val="20"/>
                <w:szCs w:val="20"/>
                <w:color w:val="auto"/>
              </w:rPr>
            </w:pPr>
          </w:p>
        </w:tc>
        <w:tc>
          <w:tcPr>
            <w:tcW w:w="1820" w:type="dxa"/>
            <w:vAlign w:val="bottom"/>
          </w:tcPr>
          <w:p>
            <w:pPr>
              <w:jc w:val="right"/>
              <w:ind w:right="231"/>
              <w:spacing w:after="0"/>
              <w:rPr>
                <w:sz w:val="20"/>
                <w:szCs w:val="20"/>
                <w:color w:val="auto"/>
              </w:rPr>
            </w:pPr>
            <w:r>
              <w:rPr>
                <w:rFonts w:ascii="Arial" w:cs="Arial" w:eastAsia="Arial" w:hAnsi="Arial"/>
                <w:sz w:val="18"/>
                <w:szCs w:val="18"/>
                <w:color w:val="auto"/>
                <w:w w:val="93"/>
              </w:rPr>
              <w:t>December 31, 2022</w:t>
            </w: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4.00% senior notes due 2023</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3.25% senior notes due 2024</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note payable</w:t>
            </w:r>
          </w:p>
        </w:tc>
        <w:tc>
          <w:tcPr>
            <w:tcW w:w="20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7"/>
        </w:trPr>
        <w:tc>
          <w:tcPr>
            <w:tcW w:w="7060" w:type="dxa"/>
            <w:vAlign w:val="bottom"/>
          </w:tcPr>
          <w:p>
            <w:pPr>
              <w:ind w:left="20"/>
              <w:spacing w:after="0"/>
              <w:rPr>
                <w:sz w:val="20"/>
                <w:szCs w:val="20"/>
                <w:color w:val="auto"/>
              </w:rPr>
            </w:pPr>
            <w:r>
              <w:rPr>
                <w:rFonts w:ascii="Arial" w:cs="Arial" w:eastAsia="Arial" w:hAnsi="Arial"/>
                <w:sz w:val="18"/>
                <w:szCs w:val="18"/>
                <w:color w:val="auto"/>
              </w:rPr>
              <w:t>Total short-term borrowings and current portion of long-term debt</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60" w:type="dxa"/>
            <w:vAlign w:val="bottom"/>
          </w:tcPr>
          <w:p>
            <w:pPr>
              <w:ind w:left="240"/>
              <w:spacing w:after="0"/>
              <w:rPr>
                <w:sz w:val="20"/>
                <w:szCs w:val="20"/>
                <w:color w:val="auto"/>
              </w:rPr>
            </w:pPr>
            <w:r>
              <w:rPr>
                <w:rFonts w:ascii="Arial" w:cs="Arial" w:eastAsia="Arial" w:hAnsi="Arial"/>
                <w:sz w:val="18"/>
                <w:szCs w:val="18"/>
                <w:color w:val="auto"/>
                <w:w w:val="93"/>
              </w:rPr>
              <w:t>Long-term debt at September 30, 2023, and December 31, 2022, consisted of the following:</w:t>
            </w: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41"/>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September 30, 2023</w:t>
            </w:r>
          </w:p>
        </w:tc>
        <w:tc>
          <w:tcPr>
            <w:tcW w:w="220" w:type="dxa"/>
            <w:vAlign w:val="bottom"/>
          </w:tcPr>
          <w:p>
            <w:pPr>
              <w:spacing w:after="0"/>
              <w:rPr>
                <w:sz w:val="24"/>
                <w:szCs w:val="24"/>
                <w:color w:val="auto"/>
              </w:rPr>
            </w:pPr>
          </w:p>
        </w:tc>
        <w:tc>
          <w:tcPr>
            <w:tcW w:w="1820" w:type="dxa"/>
            <w:vAlign w:val="bottom"/>
          </w:tcPr>
          <w:p>
            <w:pPr>
              <w:jc w:val="right"/>
              <w:ind w:right="231"/>
              <w:spacing w:after="0"/>
              <w:rPr>
                <w:sz w:val="20"/>
                <w:szCs w:val="20"/>
                <w:color w:val="auto"/>
              </w:rPr>
            </w:pPr>
            <w:r>
              <w:rPr>
                <w:rFonts w:ascii="Arial" w:cs="Arial" w:eastAsia="Arial" w:hAnsi="Arial"/>
                <w:sz w:val="18"/>
                <w:szCs w:val="18"/>
                <w:color w:val="auto"/>
                <w:w w:val="93"/>
              </w:rPr>
              <w:t>December 31, 2022</w:t>
            </w:r>
          </w:p>
        </w:tc>
      </w:tr>
      <w:tr>
        <w:trPr>
          <w:trHeight w:val="227"/>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2.30% senior notes due 2024</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3.25% senior notes due 2024</w:t>
            </w:r>
          </w:p>
        </w:tc>
        <w:tc>
          <w:tcPr>
            <w:tcW w:w="20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3.60% senior notes due 2025</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1.55% senior notes due 2026</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3.60% senior notes due 2027</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2.95% senior notes due 2029</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2.70% senior notes due 2031</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4.70% senior notes due 2045</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 payable</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2"/>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During the second quarter of 2021, the Company entered into fixed-to-variable interest rate swap agreements for its 2.70% senior notes due 2031 with an aggregate notional amount of $500.0 and variable interest rates based on three-month SOFR plus 1.0706% to hedge against changes in the fair value of a portion of the Company's long-term debt. These interest rate swaps are included in other long-term liabilities and deducted from the value of the senior notes with an aggregate fair value of $94.9 at September 30, 2023.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66"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The Company maintains a senior revolving credit facility, which was amended and restated on April 30, 2021. It consists of a five-year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 revolving credit facility also provides for the issuance of letters of credit without a reduction of the availability of borrowings under the facility. There was $90.0 outstanding on the Company's current revolving credit facility as of September 30, 2023. As of September 30, 2023, the effective interest rate on the revolving credit facility was 6.42%. The credit facility expires on April 30, 2026.</w:t>
      </w:r>
    </w:p>
    <w:p>
      <w:pPr>
        <w:spacing w:after="0" w:line="80"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Under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revolving credit facility at September 30, 2023, and expects that it will remain in compliance with its existing debt covenants for the next twelve months.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were $85.4 in outstanding letters of credit as of September 30, 2023.</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PREFERRED STOCK AND COMMON SHAREHOLDERS’ EQUITY</w:t>
      </w:r>
    </w:p>
    <w:p>
      <w:pPr>
        <w:spacing w:after="0" w:line="132"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The Company is authorized to issue up to 265.0 shares of common stock, par value $0.10 per share. The Company is authorized to issue up to 30.0 shares of preferred stock, par value $0.10 per share. There were no preferred shares outstanding as of September 30, 2023, and December 31, 2022.</w:t>
      </w:r>
    </w:p>
    <w:p>
      <w:pPr>
        <w:sectPr>
          <w:pgSz w:w="11900" w:h="16838" w:orient="portrait"/>
          <w:cols w:equalWidth="0" w:num="1">
            <w:col w:w="11240"/>
          </w:cols>
          <w:pgMar w:left="320" w:top="127" w:right="339" w:bottom="1440" w:gutter="0" w:footer="0" w:header="0"/>
        </w:sectPr>
      </w:pPr>
    </w:p>
    <w:p>
      <w:pPr>
        <w:spacing w:after="0" w:line="5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changes in common shares issued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7134225" cy="160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shares at December 31, 2022</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issued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Shares retired due to Fortrea spin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shares at September 30,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Issued and Outstanding</w:t>
      </w:r>
    </w:p>
    <w:p>
      <w:pPr>
        <w:spacing w:after="0" w:line="4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88.2</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0.6</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(0.2)</w:t>
      </w:r>
    </w:p>
    <w:p>
      <w:pPr>
        <w:spacing w:after="0" w:line="2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(3.7)</w:t>
      </w:r>
    </w:p>
    <w:p>
      <w:pPr>
        <w:spacing w:after="0" w:line="3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37465</wp:posOffset>
            </wp:positionV>
            <wp:extent cx="1692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2275" cy="825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8360" w:space="720"/>
            <w:col w:w="2160"/>
          </w:cols>
          <w:pgMar w:left="320" w:top="127" w:right="339" w:bottom="1440" w:gutter="0" w:footer="0" w:header="0"/>
          <w:type w:val="continuous"/>
        </w:sectPr>
      </w:pPr>
    </w:p>
    <w:p>
      <w:pPr>
        <w:ind w:firstLine="240"/>
        <w:spacing w:after="0" w:line="267" w:lineRule="auto"/>
        <w:rPr>
          <w:sz w:val="20"/>
          <w:szCs w:val="20"/>
          <w:color w:val="auto"/>
        </w:rPr>
      </w:pPr>
      <w:r>
        <w:rPr>
          <w:rFonts w:ascii="Arial" w:cs="Arial" w:eastAsia="Arial" w:hAnsi="Arial"/>
          <w:sz w:val="18"/>
          <w:szCs w:val="18"/>
          <w:color w:val="auto"/>
        </w:rPr>
        <w:t>On August 8, 2023, the Company entered into accelerated share repurchase agreements (collectively, the ASR Agreements) with two different banks, Goldman Sachs &amp; Co. LLC and Morgan Stanley &amp; Co. LLC (collectively, the Financial Institutions),</w:t>
      </w: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to repurchase approximately $1,000.0 in the aggregate of the Company’s common stock (Common Stock), as part of the Company’s Common Stock repurchase program. The remaining repurchase authorization has no expiration date.</w:t>
      </w:r>
    </w:p>
    <w:p>
      <w:pPr>
        <w:spacing w:after="0" w:line="86"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Under the ASR Agreements, the Company made an aggregate payment of $1,000.0 to the Financial Institutions and received an aggregate initial number of approximately 3.7 shares of Common Stock from the Financial Institutions, which were removed from the outstanding share count in connection with entering into the ASR Agreements. The 3.7 shares reflects the 80% of the shares that would ultimately be repurchased under the ASR Agreements if the price of the Common Stock established in the ASR Agreement as the inception of the ASR Agreements remains constant. The specific number of shares that the Company ultimately will repurchase under the ASR Agreements will be based generally on the average of the daily volume-weighted average price per share of the Common Stock during a repurchase period, less a discount and subject to adjustments pursuant to the terms and conditions of the ASR Agreements. At settlement, under certain circumstances, the Financial Institutions may be required to deliver additional shares of Common Stock to the Company, or the Company may be required, at its election, either to make cash payments or deliver shares of Common Stock to the Financial Institutions. The ASR Agreements contain provisions customary for agreements of this type, including provisions for adjustments to the transaction terms, the circumstances generally under which the ASR Agreements may be accelerated, extended or terminated early by the Financial Institutions, and various acknowledgments, representations and warranties made by the parties to one another. Repurchases and settlements under the ASR Agreements are expected to be completed by the end of December 2023.</w:t>
      </w:r>
    </w:p>
    <w:p>
      <w:pPr>
        <w:spacing w:after="0" w:line="102"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When the Company repurchases shares of Common Stock, the amount paid to repurchase the shares in excess of the par or stated value is allocated to additional paid-in-capital unless subject to limitation or the balance in additional paid-in-capital is exhausted. Remaining amounts are recognized as a reduction in retained earnings.</w:t>
      </w:r>
    </w:p>
    <w:p>
      <w:pPr>
        <w:spacing w:after="0" w:line="95"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As of September 30, 2023, the Company had outstanding authorization from the board of directors to purchase up to $531.5 of the Company's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66"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For the nine months ended September 30, 2023, the Company paid $192.9 in common stock dividends. On October 12, 2023, the Company announced a cash dividend of $0.72 per share of common stock for the fourth quarter, or approximately $62.1 in the aggregate. The dividend will be payable on December 12, 2023, to stockholders of record of all issued and outstanding shares of common stock as of the close of business on November 8, 2023. The declaration and payment of any future dividends will be at the discretion of the Company's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Earnings (Loss)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earnings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Foreign Currency</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6"/>
                <w:szCs w:val="16"/>
                <w:color w:val="auto"/>
                <w:w w:val="91"/>
              </w:rPr>
              <w:t>Net Benefit Plan</w:t>
            </w:r>
          </w:p>
        </w:tc>
        <w:tc>
          <w:tcPr>
            <w:tcW w:w="180" w:type="dxa"/>
            <w:vAlign w:val="bottom"/>
          </w:tcPr>
          <w:p>
            <w:pPr>
              <w:spacing w:after="0"/>
              <w:rPr>
                <w:sz w:val="16"/>
                <w:szCs w:val="16"/>
                <w:color w:val="auto"/>
              </w:rPr>
            </w:pPr>
          </w:p>
        </w:tc>
        <w:tc>
          <w:tcPr>
            <w:tcW w:w="1540" w:type="dxa"/>
            <w:vAlign w:val="bottom"/>
          </w:tcPr>
          <w:p>
            <w:pPr>
              <w:jc w:val="center"/>
              <w:ind w:right="73"/>
              <w:spacing w:after="0"/>
              <w:rPr>
                <w:sz w:val="20"/>
                <w:szCs w:val="20"/>
                <w:color w:val="auto"/>
              </w:rPr>
            </w:pPr>
            <w:r>
              <w:rPr>
                <w:rFonts w:ascii="Arial" w:cs="Arial" w:eastAsia="Arial" w:hAnsi="Arial"/>
                <w:sz w:val="16"/>
                <w:szCs w:val="16"/>
                <w:color w:val="auto"/>
                <w:w w:val="91"/>
              </w:rPr>
              <w:t>Accumulated Other</w:t>
            </w:r>
          </w:p>
        </w:tc>
        <w:tc>
          <w:tcPr>
            <w:tcW w:w="0" w:type="dxa"/>
            <w:vAlign w:val="bottom"/>
          </w:tcPr>
          <w:p>
            <w:pPr>
              <w:spacing w:after="0"/>
              <w:rPr>
                <w:sz w:val="1"/>
                <w:szCs w:val="1"/>
                <w:color w:val="auto"/>
              </w:rPr>
            </w:pPr>
          </w:p>
        </w:tc>
      </w:tr>
      <w:tr>
        <w:trPr>
          <w:trHeight w:val="160"/>
        </w:trPr>
        <w:tc>
          <w:tcPr>
            <w:tcW w:w="6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Arial" w:cs="Arial" w:eastAsia="Arial" w:hAnsi="Arial"/>
                <w:sz w:val="16"/>
                <w:szCs w:val="16"/>
                <w:color w:val="auto"/>
                <w:w w:val="93"/>
              </w:rPr>
              <w:t>Translation</w:t>
            </w:r>
          </w:p>
        </w:tc>
        <w:tc>
          <w:tcPr>
            <w:tcW w:w="1280" w:type="dxa"/>
            <w:vAlign w:val="bottom"/>
            <w:gridSpan w:val="3"/>
            <w:vMerge w:val="continue"/>
          </w:tcPr>
          <w:p>
            <w:pPr>
              <w:spacing w:after="0"/>
              <w:rPr>
                <w:sz w:val="13"/>
                <w:szCs w:val="13"/>
                <w:color w:val="auto"/>
              </w:rPr>
            </w:pPr>
          </w:p>
        </w:tc>
        <w:tc>
          <w:tcPr>
            <w:tcW w:w="1720" w:type="dxa"/>
            <w:vAlign w:val="bottom"/>
            <w:gridSpan w:val="2"/>
          </w:tcPr>
          <w:p>
            <w:pPr>
              <w:jc w:val="center"/>
              <w:spacing w:after="0" w:line="160" w:lineRule="exact"/>
              <w:rPr>
                <w:sz w:val="20"/>
                <w:szCs w:val="20"/>
                <w:color w:val="auto"/>
              </w:rPr>
            </w:pPr>
            <w:r>
              <w:rPr>
                <w:rFonts w:ascii="Arial" w:cs="Arial" w:eastAsia="Arial" w:hAnsi="Arial"/>
                <w:sz w:val="16"/>
                <w:szCs w:val="16"/>
                <w:color w:val="auto"/>
                <w:w w:val="89"/>
              </w:rPr>
              <w:t>Comprehensive Earnings</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Adjustments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Adjustments</w:t>
            </w:r>
          </w:p>
        </w:tc>
        <w:tc>
          <w:tcPr>
            <w:tcW w:w="180" w:type="dxa"/>
            <w:vAlign w:val="bottom"/>
          </w:tcPr>
          <w:p>
            <w:pPr>
              <w:spacing w:after="0"/>
              <w:rPr>
                <w:sz w:val="18"/>
                <w:szCs w:val="18"/>
                <w:color w:val="auto"/>
              </w:rPr>
            </w:pPr>
          </w:p>
        </w:tc>
        <w:tc>
          <w:tcPr>
            <w:tcW w:w="1540" w:type="dxa"/>
            <w:vAlign w:val="bottom"/>
          </w:tcPr>
          <w:p>
            <w:pPr>
              <w:jc w:val="center"/>
              <w:ind w:right="93"/>
              <w:spacing w:after="0"/>
              <w:rPr>
                <w:sz w:val="20"/>
                <w:szCs w:val="20"/>
                <w:color w:val="auto"/>
              </w:rPr>
            </w:pPr>
            <w:r>
              <w:rPr>
                <w:rFonts w:ascii="Arial" w:cs="Arial" w:eastAsia="Arial" w:hAnsi="Arial"/>
                <w:sz w:val="16"/>
                <w:szCs w:val="16"/>
                <w:color w:val="auto"/>
                <w:w w:val="89"/>
              </w:rPr>
              <w:t>(Loss)</w:t>
            </w:r>
          </w:p>
        </w:tc>
        <w:tc>
          <w:tcPr>
            <w:tcW w:w="0" w:type="dxa"/>
            <w:vAlign w:val="bottom"/>
          </w:tcPr>
          <w:p>
            <w:pPr>
              <w:spacing w:after="0"/>
              <w:rPr>
                <w:sz w:val="1"/>
                <w:szCs w:val="1"/>
                <w:color w:val="auto"/>
              </w:rPr>
            </w:pPr>
          </w:p>
        </w:tc>
      </w:tr>
      <w:tr>
        <w:trPr>
          <w:trHeight w:val="227"/>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26"/>
        </w:trPr>
        <w:tc>
          <w:tcPr>
            <w:tcW w:w="6560" w:type="dxa"/>
            <w:vAlign w:val="bottom"/>
          </w:tcPr>
          <w:p>
            <w:pPr>
              <w:ind w:left="20"/>
              <w:spacing w:after="0"/>
              <w:rPr>
                <w:sz w:val="20"/>
                <w:szCs w:val="20"/>
                <w:color w:val="auto"/>
              </w:rPr>
            </w:pPr>
            <w:r>
              <w:rPr>
                <w:rFonts w:ascii="Arial" w:cs="Arial" w:eastAsia="Arial" w:hAnsi="Arial"/>
                <w:sz w:val="18"/>
                <w:szCs w:val="18"/>
                <w:color w:val="auto"/>
              </w:rPr>
              <w:t>Fortrea Holdings Inc. spin off</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year adjustments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6"/>
        </w:trPr>
        <w:tc>
          <w:tcPr>
            <w:tcW w:w="6560" w:type="dxa"/>
            <w:vAlign w:val="bottom"/>
          </w:tcPr>
          <w:p>
            <w:pPr>
              <w:ind w:left="20"/>
              <w:spacing w:after="0"/>
              <w:rPr>
                <w:sz w:val="20"/>
                <w:szCs w:val="20"/>
                <w:color w:val="auto"/>
              </w:rPr>
            </w:pPr>
            <w:r>
              <w:rPr>
                <w:rFonts w:ascii="Arial" w:cs="Arial" w:eastAsia="Arial" w:hAnsi="Arial"/>
                <w:sz w:val="18"/>
                <w:szCs w:val="18"/>
                <w:color w:val="auto"/>
              </w:rPr>
              <w:t>Pension settlement charge</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3"/>
        </w:trPr>
        <w:tc>
          <w:tcPr>
            <w:tcW w:w="6560" w:type="dxa"/>
            <w:vAlign w:val="bottom"/>
          </w:tcPr>
          <w:p>
            <w:pPr>
              <w:ind w:left="20"/>
              <w:spacing w:after="0"/>
              <w:rPr>
                <w:sz w:val="20"/>
                <w:szCs w:val="20"/>
                <w:color w:val="auto"/>
              </w:rPr>
            </w:pPr>
            <w:r>
              <w:rPr>
                <w:rFonts w:ascii="Arial" w:cs="Arial" w:eastAsia="Arial" w:hAnsi="Arial"/>
                <w:sz w:val="18"/>
                <w:szCs w:val="18"/>
                <w:color w:val="auto"/>
              </w:rPr>
              <w:t>Tax effect of adjustments</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2"/>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146" w:lineRule="exact"/>
        <w:rPr>
          <w:sz w:val="20"/>
          <w:szCs w:val="20"/>
          <w:color w:val="auto"/>
        </w:rPr>
      </w:pPr>
    </w:p>
    <w:p>
      <w:pPr>
        <w:jc w:val="both"/>
        <w:ind w:firstLine="280"/>
        <w:spacing w:after="0" w:line="285" w:lineRule="auto"/>
        <w:rPr>
          <w:sz w:val="20"/>
          <w:szCs w:val="20"/>
          <w:color w:val="auto"/>
        </w:rPr>
      </w:pPr>
      <w:r>
        <w:rPr>
          <w:rFonts w:ascii="Arial" w:cs="Arial" w:eastAsia="Arial" w:hAnsi="Arial"/>
          <w:sz w:val="16"/>
          <w:szCs w:val="16"/>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managed care organizations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ind w:firstLine="280"/>
        <w:spacing w:after="0" w:line="273" w:lineRule="auto"/>
        <w:rPr>
          <w:sz w:val="20"/>
          <w:szCs w:val="20"/>
          <w:color w:val="auto"/>
        </w:rPr>
      </w:pPr>
      <w:r>
        <w:rPr>
          <w:rFonts w:ascii="Arial" w:cs="Arial" w:eastAsia="Arial" w:hAnsi="Arial"/>
          <w:sz w:val="17"/>
          <w:szCs w:val="17"/>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97" w:lineRule="exact"/>
        <w:rPr>
          <w:sz w:val="20"/>
          <w:szCs w:val="20"/>
          <w:color w:val="auto"/>
        </w:rPr>
      </w:pPr>
    </w:p>
    <w:p>
      <w:pPr>
        <w:jc w:val="both"/>
        <w:ind w:firstLine="280"/>
        <w:spacing w:after="0" w:line="251"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101"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reasonably estimable and would exceed the aggregate legal reserve. When loss contingencies are not both probable and reasonably estimable, the Company does not establish separate reserves.</w:t>
      </w:r>
    </w:p>
    <w:p>
      <w:pPr>
        <w:spacing w:after="0" w:line="90" w:lineRule="exact"/>
        <w:rPr>
          <w:sz w:val="20"/>
          <w:szCs w:val="20"/>
          <w:color w:val="auto"/>
        </w:rPr>
      </w:pPr>
    </w:p>
    <w:p>
      <w:pPr>
        <w:jc w:val="both"/>
        <w:ind w:firstLine="240"/>
        <w:spacing w:after="0" w:line="291" w:lineRule="auto"/>
        <w:rPr>
          <w:sz w:val="20"/>
          <w:szCs w:val="20"/>
          <w:color w:val="auto"/>
        </w:rPr>
      </w:pPr>
      <w:r>
        <w:rPr>
          <w:rFonts w:ascii="Arial" w:cs="Arial" w:eastAsia="Arial" w:hAnsi="Arial"/>
          <w:sz w:val="16"/>
          <w:szCs w:val="16"/>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84"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6"/>
          <w:szCs w:val="16"/>
          <w:color w:val="auto"/>
        </w:rPr>
        <w:t>The Company has received various subpoenas and other civil investigative demands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has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The Company will vigorously defend the lawsuit.</w:t>
      </w:r>
    </w:p>
    <w:p>
      <w:pPr>
        <w:spacing w:after="0" w:line="8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 xml:space="preserve">On August 31, 2015, the Company was served with a putative class action lawsuit, </w:t>
      </w:r>
      <w:r>
        <w:rPr>
          <w:rFonts w:ascii="Arial" w:cs="Arial" w:eastAsia="Arial" w:hAnsi="Arial"/>
          <w:sz w:val="17"/>
          <w:szCs w:val="17"/>
          <w:i w:val="1"/>
          <w:iCs w:val="1"/>
          <w:color w:val="auto"/>
        </w:rPr>
        <w:t>Patty Davis v. Laboratory Corporation of America, et al.</w:t>
      </w:r>
      <w:r>
        <w:rPr>
          <w:rFonts w:ascii="Arial" w:cs="Arial" w:eastAsia="Arial" w:hAnsi="Arial"/>
          <w:sz w:val="17"/>
          <w:szCs w:val="17"/>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opinion approving the result of the Florida Second District Court of Appeal in favor of the Plaintiff. The Company will vigorously defend the lawsuit.</w:t>
      </w:r>
    </w:p>
    <w:p>
      <w:pPr>
        <w:spacing w:after="0" w:line="151"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6"/>
          <w:szCs w:val="16"/>
          <w:color w:val="auto"/>
        </w:rPr>
        <w:t xml:space="preserve">On March 10, 2017, the Company was served with a putative class action lawsuit, </w:t>
      </w:r>
      <w:r>
        <w:rPr>
          <w:rFonts w:ascii="Arial" w:cs="Arial" w:eastAsia="Arial" w:hAnsi="Arial"/>
          <w:sz w:val="16"/>
          <w:szCs w:val="16"/>
          <w:i w:val="1"/>
          <w:iCs w:val="1"/>
          <w:color w:val="auto"/>
        </w:rPr>
        <w:t>Victoria Bouffard, et al. v. Laboratory Corporation of America</w:t>
      </w:r>
      <w:r>
        <w:rPr>
          <w:rFonts w:ascii="Arial" w:cs="Arial" w:eastAsia="Arial" w:hAnsi="Arial"/>
          <w:sz w:val="16"/>
          <w:szCs w:val="16"/>
          <w:color w:val="auto"/>
        </w:rPr>
        <w:t xml:space="preserve"> </w:t>
      </w:r>
      <w:r>
        <w:rPr>
          <w:rFonts w:ascii="Arial" w:cs="Arial" w:eastAsia="Arial" w:hAnsi="Arial"/>
          <w:sz w:val="16"/>
          <w:szCs w:val="16"/>
          <w:i w:val="1"/>
          <w:iCs w:val="1"/>
          <w:color w:val="auto"/>
        </w:rPr>
        <w:t>Holdings</w:t>
      </w:r>
      <w:r>
        <w:rPr>
          <w:rFonts w:ascii="Arial" w:cs="Arial" w:eastAsia="Arial" w:hAnsi="Arial"/>
          <w:sz w:val="16"/>
          <w:szCs w:val="16"/>
          <w:color w:val="auto"/>
        </w:rPr>
        <w:t>, filed in the U.S. District Court for the Middle District of North Carolina. The complaint alleges that the Company's patient list prices unlawfully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Arial" w:cs="Arial" w:eastAsia="Arial" w:hAnsi="Arial"/>
          <w:sz w:val="16"/>
          <w:szCs w:val="16"/>
          <w:i w:val="1"/>
          <w:iCs w:val="1"/>
          <w:color w:val="auto"/>
        </w:rPr>
        <w:t>Sheryl</w:t>
      </w:r>
      <w:r>
        <w:rPr>
          <w:rFonts w:ascii="Arial" w:cs="Arial" w:eastAsia="Arial" w:hAnsi="Arial"/>
          <w:sz w:val="16"/>
          <w:szCs w:val="16"/>
          <w:color w:val="auto"/>
        </w:rPr>
        <w:t xml:space="preserve"> </w:t>
      </w:r>
      <w:r>
        <w:rPr>
          <w:rFonts w:ascii="Arial" w:cs="Arial" w:eastAsia="Arial" w:hAnsi="Arial"/>
          <w:sz w:val="16"/>
          <w:szCs w:val="16"/>
          <w:i w:val="1"/>
          <w:iCs w:val="1"/>
          <w:color w:val="auto"/>
        </w:rPr>
        <w:t>Anderson, et al. v. Laboratory Corporation of America Holdings</w:t>
      </w:r>
      <w:r>
        <w:rPr>
          <w:rFonts w:ascii="Arial" w:cs="Arial" w:eastAsia="Arial" w:hAnsi="Arial"/>
          <w:sz w:val="16"/>
          <w:szCs w:val="16"/>
          <w:color w:val="auto"/>
        </w:rPr>
        <w:t>, was filed in the U.S. District Court for the Middle District of North Carolina. The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contained similar allegations and sought similar relief to the </w:t>
      </w:r>
      <w:r>
        <w:rPr>
          <w:rFonts w:ascii="Arial" w:cs="Arial" w:eastAsia="Arial" w:hAnsi="Arial"/>
          <w:sz w:val="16"/>
          <w:szCs w:val="16"/>
          <w:i w:val="1"/>
          <w:iCs w:val="1"/>
          <w:color w:val="auto"/>
        </w:rPr>
        <w:t>Bouffard</w:t>
      </w:r>
      <w:r>
        <w:rPr>
          <w:rFonts w:ascii="Arial" w:cs="Arial" w:eastAsia="Arial" w:hAnsi="Arial"/>
          <w:sz w:val="16"/>
          <w:szCs w:val="16"/>
          <w:color w:val="auto"/>
        </w:rPr>
        <w:t xml:space="preserve"> complaint, and added additional counts regarding state consumer protection laws. On August 10, 2018, the Plaintiffs filed an Amended Complaint, which consolidated the </w:t>
      </w:r>
      <w:r>
        <w:rPr>
          <w:rFonts w:ascii="Arial" w:cs="Arial" w:eastAsia="Arial" w:hAnsi="Arial"/>
          <w:sz w:val="16"/>
          <w:szCs w:val="16"/>
          <w:i w:val="1"/>
          <w:iCs w:val="1"/>
          <w:color w:val="auto"/>
        </w:rPr>
        <w:t>Bouffard</w:t>
      </w:r>
      <w:r>
        <w:rPr>
          <w:rFonts w:ascii="Arial" w:cs="Arial" w:eastAsia="Arial" w:hAnsi="Arial"/>
          <w:sz w:val="16"/>
          <w:szCs w:val="16"/>
          <w:color w:val="auto"/>
        </w:rPr>
        <w:t xml:space="preserve"> and </w:t>
      </w:r>
      <w:r>
        <w:rPr>
          <w:rFonts w:ascii="Arial" w:cs="Arial" w:eastAsia="Arial" w:hAnsi="Arial"/>
          <w:sz w:val="16"/>
          <w:szCs w:val="16"/>
          <w:i w:val="1"/>
          <w:iCs w:val="1"/>
          <w:color w:val="auto"/>
        </w:rPr>
        <w:t>Anderson</w:t>
      </w:r>
      <w:r>
        <w:rPr>
          <w:rFonts w:ascii="Arial" w:cs="Arial" w:eastAsia="Arial" w:hAnsi="Arial"/>
          <w:sz w:val="16"/>
          <w:szCs w:val="16"/>
          <w:color w:val="auto"/>
        </w:rPr>
        <w:t xml:space="preserve"> actions. In September 2023, the lawsuit was dismissed with prejudice. On December 29, 2021, a related lawsuit, </w:t>
      </w:r>
      <w:r>
        <w:rPr>
          <w:rFonts w:ascii="Arial" w:cs="Arial" w:eastAsia="Arial" w:hAnsi="Arial"/>
          <w:sz w:val="16"/>
          <w:szCs w:val="16"/>
          <w:i w:val="1"/>
          <w:iCs w:val="1"/>
          <w:color w:val="auto"/>
        </w:rPr>
        <w:t>Nathaniel J. Nolan, et al. v. Laboratory Corporation of America Holdings</w:t>
      </w:r>
      <w:r>
        <w:rPr>
          <w:rFonts w:ascii="Arial" w:cs="Arial" w:eastAsia="Arial" w:hAnsi="Arial"/>
          <w:sz w:val="16"/>
          <w:szCs w:val="16"/>
          <w:color w:val="auto"/>
        </w:rPr>
        <w:t xml:space="preserve">, was filed in the U.S. District Court for the Middle District of North Carolina. The complaint alleges that the Company's patient acknowledgement of 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On March 13, 2023, Plaintiffs filed a Notice of Appeal. The Company will vigorously defend the </w:t>
      </w:r>
      <w:r>
        <w:rPr>
          <w:rFonts w:ascii="Arial" w:cs="Arial" w:eastAsia="Arial" w:hAnsi="Arial"/>
          <w:sz w:val="16"/>
          <w:szCs w:val="16"/>
          <w:i w:val="1"/>
          <w:iCs w:val="1"/>
          <w:color w:val="auto"/>
        </w:rPr>
        <w:t>Nolan</w:t>
      </w:r>
      <w:r>
        <w:rPr>
          <w:rFonts w:ascii="Arial" w:cs="Arial" w:eastAsia="Arial" w:hAnsi="Arial"/>
          <w:sz w:val="16"/>
          <w:szCs w:val="16"/>
          <w:color w:val="auto"/>
        </w:rPr>
        <w:t xml:space="preserve"> lawsuit.</w:t>
      </w:r>
    </w:p>
    <w:p>
      <w:pPr>
        <w:spacing w:after="0" w:line="87" w:lineRule="exact"/>
        <w:rPr>
          <w:sz w:val="20"/>
          <w:szCs w:val="20"/>
          <w:color w:val="auto"/>
        </w:rPr>
      </w:pPr>
    </w:p>
    <w:p>
      <w:pPr>
        <w:jc w:val="both"/>
        <w:ind w:firstLine="240"/>
        <w:spacing w:after="0" w:line="279" w:lineRule="auto"/>
        <w:rPr>
          <w:sz w:val="20"/>
          <w:szCs w:val="20"/>
          <w:color w:val="auto"/>
        </w:rPr>
      </w:pPr>
      <w:r>
        <w:rPr>
          <w:rFonts w:ascii="Arial" w:cs="Arial" w:eastAsia="Arial" w:hAnsi="Arial"/>
          <w:sz w:val="17"/>
          <w:szCs w:val="17"/>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78" w:lineRule="exact"/>
        <w:rPr>
          <w:sz w:val="20"/>
          <w:szCs w:val="20"/>
          <w:color w:val="auto"/>
        </w:rPr>
      </w:pPr>
    </w:p>
    <w:p>
      <w:pPr>
        <w:jc w:val="both"/>
        <w:ind w:firstLine="240"/>
        <w:spacing w:after="0" w:line="282" w:lineRule="auto"/>
        <w:rPr>
          <w:sz w:val="20"/>
          <w:szCs w:val="20"/>
          <w:color w:val="auto"/>
        </w:rPr>
      </w:pPr>
      <w:r>
        <w:rPr>
          <w:rFonts w:ascii="Arial" w:cs="Arial" w:eastAsia="Arial" w:hAnsi="Arial"/>
          <w:sz w:val="16"/>
          <w:szCs w:val="16"/>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95"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 xml:space="preserve">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w:t>
      </w:r>
      <w:r>
        <w:rPr>
          <w:rFonts w:ascii="Arial" w:cs="Arial" w:eastAsia="Arial" w:hAnsi="Arial"/>
          <w:sz w:val="17"/>
          <w:szCs w:val="17"/>
          <w:i w:val="1"/>
          <w:iCs w:val="1"/>
          <w:color w:val="auto"/>
        </w:rPr>
        <w:t>per se</w:t>
      </w:r>
      <w:r>
        <w:rPr>
          <w:rFonts w:ascii="Arial" w:cs="Arial" w:eastAsia="Arial" w:hAnsi="Arial"/>
          <w:sz w:val="17"/>
          <w:szCs w:val="17"/>
          <w:color w:val="auto"/>
        </w:rPr>
        <w:t>,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The Company will vigorously defend the remaining claims in the multi-district litigation.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 xml:space="preserve">The Company was served with a shareholder derivative lawsuit, </w:t>
      </w:r>
      <w:r>
        <w:rPr>
          <w:rFonts w:ascii="Arial" w:cs="Arial" w:eastAsia="Arial" w:hAnsi="Arial"/>
          <w:sz w:val="17"/>
          <w:szCs w:val="17"/>
          <w:i w:val="1"/>
          <w:iCs w:val="1"/>
          <w:color w:val="auto"/>
        </w:rPr>
        <w:t>Raymond Eugenio, Derivatively on Behalf of Nominal Defendant, 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v. Lance Berberian, et al.</w:t>
      </w:r>
      <w:r>
        <w:rPr>
          <w:rFonts w:ascii="Arial" w:cs="Arial" w:eastAsia="Arial" w:hAnsi="Arial"/>
          <w:sz w:val="17"/>
          <w:szCs w:val="17"/>
          <w:color w:val="auto"/>
        </w:rPr>
        <w:t>, filed in the Court of Chancery of the State of Delaware on April 23, 2020. The complaint asserts</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lawsuit will be vigorously defended.</w:t>
      </w:r>
    </w:p>
    <w:p>
      <w:pPr>
        <w:spacing w:after="0" w:line="10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100"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 xml:space="preserve">On January 31, 2020, the Company was served with a putative class action lawsuit, </w:t>
      </w:r>
      <w:r>
        <w:rPr>
          <w:rFonts w:ascii="Arial" w:cs="Arial" w:eastAsia="Arial" w:hAnsi="Arial"/>
          <w:sz w:val="17"/>
          <w:szCs w:val="17"/>
          <w:i w:val="1"/>
          <w:iCs w:val="1"/>
          <w:color w:val="auto"/>
        </w:rPr>
        <w:t>Luke Davis and Julian Vargas, et al. v. Laboratory Corporation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America Holdings</w:t>
      </w:r>
      <w:r>
        <w:rPr>
          <w:rFonts w:ascii="Arial" w:cs="Arial" w:eastAsia="Arial" w:hAnsi="Arial"/>
          <w:sz w:val="17"/>
          <w:szCs w:val="17"/>
          <w:color w:val="auto"/>
        </w:rPr>
        <w:t>, filed in the U.S. District Court for the Central District of California. The lawsuit alleges that visually impaired patients are unable to use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The Company will vigorously defend the lawsuit.</w:t>
      </w:r>
    </w:p>
    <w:p>
      <w:pPr>
        <w:spacing w:after="0" w:line="89"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 xml:space="preserve">On October 16, 2020, Ravgen Inc. filed a patent infringement lawsuit, </w:t>
      </w:r>
      <w:r>
        <w:rPr>
          <w:rFonts w:ascii="Arial" w:cs="Arial" w:eastAsia="Arial" w:hAnsi="Arial"/>
          <w:sz w:val="16"/>
          <w:szCs w:val="16"/>
          <w:i w:val="1"/>
          <w:iCs w:val="1"/>
          <w:color w:val="auto"/>
        </w:rPr>
        <w:t>Ravgen Inc. v. Laboratory Corporation of America Holdings</w:t>
      </w:r>
      <w:r>
        <w:rPr>
          <w:rFonts w:ascii="Arial" w:cs="Arial" w:eastAsia="Arial" w:hAnsi="Arial"/>
          <w:sz w:val="16"/>
          <w:szCs w:val="16"/>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93" w:lineRule="exact"/>
        <w:rPr>
          <w:sz w:val="20"/>
          <w:szCs w:val="20"/>
          <w:color w:val="auto"/>
        </w:rPr>
      </w:pPr>
    </w:p>
    <w:p>
      <w:pPr>
        <w:jc w:val="both"/>
        <w:ind w:firstLine="280"/>
        <w:spacing w:after="0" w:line="282" w:lineRule="auto"/>
        <w:rPr>
          <w:sz w:val="20"/>
          <w:szCs w:val="20"/>
          <w:color w:val="auto"/>
        </w:rPr>
      </w:pPr>
      <w:r>
        <w:rPr>
          <w:rFonts w:ascii="Arial" w:cs="Arial" w:eastAsia="Arial" w:hAnsi="Arial"/>
          <w:sz w:val="16"/>
          <w:szCs w:val="16"/>
          <w:color w:val="auto"/>
        </w:rPr>
        <w:t xml:space="preserve">On May 14, 2020, the Company was served with a putative class action lawsuit, </w:t>
      </w:r>
      <w:r>
        <w:rPr>
          <w:rFonts w:ascii="Arial" w:cs="Arial" w:eastAsia="Arial" w:hAnsi="Arial"/>
          <w:sz w:val="16"/>
          <w:szCs w:val="16"/>
          <w:i w:val="1"/>
          <w:iCs w:val="1"/>
          <w:color w:val="auto"/>
        </w:rPr>
        <w:t>Jose Bermejo v. Laboratory Corporation of America (Bermejo I)</w:t>
      </w:r>
      <w:r>
        <w:rPr>
          <w:rFonts w:ascii="Arial" w:cs="Arial" w:eastAsia="Arial" w:hAnsi="Arial"/>
          <w:sz w:val="16"/>
          <w:szCs w:val="16"/>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Arial" w:cs="Arial" w:eastAsia="Arial" w:hAnsi="Arial"/>
          <w:sz w:val="16"/>
          <w:szCs w:val="16"/>
          <w:i w:val="1"/>
          <w:iCs w:val="1"/>
          <w:color w:val="auto"/>
        </w:rPr>
        <w:t>Jose Bermejo v. Laboratory Corporation of America (Bermejo II),</w:t>
      </w:r>
      <w:r>
        <w:rPr>
          <w:rFonts w:ascii="Arial" w:cs="Arial" w:eastAsia="Arial" w:hAnsi="Arial"/>
          <w:sz w:val="16"/>
          <w:szCs w:val="16"/>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pending resolution of </w:t>
      </w:r>
      <w:r>
        <w:rPr>
          <w:rFonts w:ascii="Arial" w:cs="Arial" w:eastAsia="Arial" w:hAnsi="Arial"/>
          <w:sz w:val="16"/>
          <w:szCs w:val="16"/>
          <w:i w:val="1"/>
          <w:iCs w:val="1"/>
          <w:color w:val="auto"/>
        </w:rPr>
        <w:t>Bermejo I</w:t>
      </w:r>
      <w:r>
        <w:rPr>
          <w:rFonts w:ascii="Arial" w:cs="Arial" w:eastAsia="Arial" w:hAnsi="Arial"/>
          <w:sz w:val="16"/>
          <w:szCs w:val="16"/>
          <w:color w:val="auto"/>
        </w:rPr>
        <w:t xml:space="preserve">. The second lawsuit seeks to recover civil penalties and recovery of attorney's fees and costs. On February 24, 2022, the parties entered into a Memorandum of Understanding of the terms of a settlement of the </w:t>
      </w:r>
      <w:r>
        <w:rPr>
          <w:rFonts w:ascii="Arial" w:cs="Arial" w:eastAsia="Arial" w:hAnsi="Arial"/>
          <w:sz w:val="16"/>
          <w:szCs w:val="16"/>
          <w:i w:val="1"/>
          <w:iCs w:val="1"/>
          <w:color w:val="auto"/>
        </w:rPr>
        <w:t>Bermejo I</w:t>
      </w:r>
      <w:r>
        <w:rPr>
          <w:rFonts w:ascii="Arial" w:cs="Arial" w:eastAsia="Arial" w:hAnsi="Arial"/>
          <w:sz w:val="16"/>
          <w:szCs w:val="16"/>
          <w:color w:val="auto"/>
        </w:rPr>
        <w:t xml:space="preserve"> and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lawsuits and on March 17, 2023, the court issued a preliminary approval of the parties’ settlement agreement of the </w:t>
      </w:r>
      <w:r>
        <w:rPr>
          <w:rFonts w:ascii="Arial" w:cs="Arial" w:eastAsia="Arial" w:hAnsi="Arial"/>
          <w:sz w:val="16"/>
          <w:szCs w:val="16"/>
          <w:i w:val="1"/>
          <w:iCs w:val="1"/>
          <w:color w:val="auto"/>
        </w:rPr>
        <w:t>Bermejo I</w:t>
      </w:r>
      <w:r>
        <w:rPr>
          <w:rFonts w:ascii="Arial" w:cs="Arial" w:eastAsia="Arial" w:hAnsi="Arial"/>
          <w:sz w:val="16"/>
          <w:szCs w:val="16"/>
          <w:color w:val="auto"/>
        </w:rPr>
        <w:t xml:space="preserve"> lawsuit, but the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lawsuit settlement is still pending Court approval.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 xml:space="preserve">On June 14, 2021, a single plaintiff filed a Private Attorney General Act lawsuit, </w:t>
      </w:r>
      <w:r>
        <w:rPr>
          <w:rFonts w:ascii="Arial" w:cs="Arial" w:eastAsia="Arial" w:hAnsi="Arial"/>
          <w:sz w:val="18"/>
          <w:szCs w:val="18"/>
          <w:i w:val="1"/>
          <w:iCs w:val="1"/>
          <w:color w:val="auto"/>
        </w:rPr>
        <w:t>Becker v. Laboratory Corporation of America</w:t>
      </w:r>
      <w:r>
        <w:rPr>
          <w:rFonts w:ascii="Arial" w:cs="Arial" w:eastAsia="Arial" w:hAnsi="Arial"/>
          <w:sz w:val="18"/>
          <w:szCs w:val="18"/>
          <w:color w:val="auto"/>
        </w:rPr>
        <w:t xml:space="preserve">,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A settlement of the </w:t>
      </w:r>
      <w:r>
        <w:rPr>
          <w:rFonts w:ascii="Arial" w:cs="Arial" w:eastAsia="Arial" w:hAnsi="Arial"/>
          <w:sz w:val="18"/>
          <w:szCs w:val="18"/>
          <w:i w:val="1"/>
          <w:iCs w:val="1"/>
          <w:color w:val="auto"/>
        </w:rPr>
        <w:t>Bermejo I</w:t>
      </w:r>
      <w:r>
        <w:rPr>
          <w:rFonts w:ascii="Arial" w:cs="Arial" w:eastAsia="Arial" w:hAnsi="Arial"/>
          <w:sz w:val="18"/>
          <w:szCs w:val="18"/>
          <w:color w:val="auto"/>
        </w:rPr>
        <w:t xml:space="preserve"> and </w:t>
      </w:r>
      <w:r>
        <w:rPr>
          <w:rFonts w:ascii="Arial" w:cs="Arial" w:eastAsia="Arial" w:hAnsi="Arial"/>
          <w:sz w:val="18"/>
          <w:szCs w:val="18"/>
          <w:i w:val="1"/>
          <w:iCs w:val="1"/>
          <w:color w:val="auto"/>
        </w:rPr>
        <w:t>Bermejo II</w:t>
      </w:r>
      <w:r>
        <w:rPr>
          <w:rFonts w:ascii="Arial" w:cs="Arial" w:eastAsia="Arial" w:hAnsi="Arial"/>
          <w:sz w:val="18"/>
          <w:szCs w:val="18"/>
          <w:color w:val="auto"/>
        </w:rPr>
        <w:t xml:space="preserve"> lawsuits, if approved by the court, will resolve the </w:t>
      </w:r>
      <w:r>
        <w:rPr>
          <w:rFonts w:ascii="Arial" w:cs="Arial" w:eastAsia="Arial" w:hAnsi="Arial"/>
          <w:sz w:val="18"/>
          <w:szCs w:val="18"/>
          <w:i w:val="1"/>
          <w:iCs w:val="1"/>
          <w:color w:val="auto"/>
        </w:rPr>
        <w:t>Becker</w:t>
      </w:r>
      <w:r>
        <w:rPr>
          <w:rFonts w:ascii="Arial" w:cs="Arial" w:eastAsia="Arial" w:hAnsi="Arial"/>
          <w:sz w:val="18"/>
          <w:szCs w:val="18"/>
          <w:color w:val="auto"/>
        </w:rPr>
        <w:t xml:space="preserve"> lawsuit.</w:t>
      </w:r>
    </w:p>
    <w:p>
      <w:pPr>
        <w:spacing w:after="0" w:line="113"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 xml:space="preserve">On November 23, 2021, the Company was served with a single plaintiff Private Attorney General Act lawsuit, </w:t>
      </w:r>
      <w:r>
        <w:rPr>
          <w:rFonts w:ascii="Arial" w:cs="Arial" w:eastAsia="Arial" w:hAnsi="Arial"/>
          <w:sz w:val="16"/>
          <w:szCs w:val="16"/>
          <w:i w:val="1"/>
          <w:iCs w:val="1"/>
          <w:color w:val="auto"/>
        </w:rPr>
        <w:t>Poole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w:t>
      </w:r>
      <w:r>
        <w:rPr>
          <w:rFonts w:ascii="Arial" w:cs="Arial" w:eastAsia="Arial" w:hAnsi="Arial"/>
          <w:sz w:val="16"/>
          <w:szCs w:val="16"/>
          <w:color w:val="auto"/>
        </w:rPr>
        <w:t>, filed in the Superior Court of California, County of Kern, alleging various violations of the California Labor Code, including that Plaintiff was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Arial" w:cs="Arial" w:eastAsia="Arial" w:hAnsi="Arial"/>
          <w:sz w:val="16"/>
          <w:szCs w:val="16"/>
          <w:i w:val="1"/>
          <w:iCs w:val="1"/>
          <w:color w:val="auto"/>
        </w:rPr>
        <w:t>Bermejo I</w:t>
      </w:r>
      <w:r>
        <w:rPr>
          <w:rFonts w:ascii="Arial" w:cs="Arial" w:eastAsia="Arial" w:hAnsi="Arial"/>
          <w:sz w:val="16"/>
          <w:szCs w:val="16"/>
          <w:color w:val="auto"/>
        </w:rPr>
        <w:t xml:space="preserve"> and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lawsuits, if approved by the court, will resolve the portion of the </w:t>
      </w:r>
      <w:r>
        <w:rPr>
          <w:rFonts w:ascii="Arial" w:cs="Arial" w:eastAsia="Arial" w:hAnsi="Arial"/>
          <w:sz w:val="16"/>
          <w:szCs w:val="16"/>
          <w:i w:val="1"/>
          <w:iCs w:val="1"/>
          <w:color w:val="auto"/>
        </w:rPr>
        <w:t>Poole</w:t>
      </w:r>
      <w:r>
        <w:rPr>
          <w:rFonts w:ascii="Arial" w:cs="Arial" w:eastAsia="Arial" w:hAnsi="Arial"/>
          <w:sz w:val="16"/>
          <w:szCs w:val="16"/>
          <w:color w:val="auto"/>
        </w:rPr>
        <w:t xml:space="preserve"> lawsuit relating to service representatives and senior service representatives.</w:t>
      </w:r>
    </w:p>
    <w:p>
      <w:pPr>
        <w:spacing w:after="0" w:line="75"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 xml:space="preserve">On October 5, 2020, the Company was served with a putative class action lawsuit, </w:t>
      </w:r>
      <w:r>
        <w:rPr>
          <w:rFonts w:ascii="Arial" w:cs="Arial" w:eastAsia="Arial" w:hAnsi="Arial"/>
          <w:sz w:val="16"/>
          <w:szCs w:val="16"/>
          <w:i w:val="1"/>
          <w:iCs w:val="1"/>
          <w:color w:val="auto"/>
        </w:rPr>
        <w:t>Williams v. LabCorp Employer Services, Inc. et al.</w:t>
      </w:r>
      <w:r>
        <w:rPr>
          <w:rFonts w:ascii="Arial" w:cs="Arial" w:eastAsia="Arial" w:hAnsi="Arial"/>
          <w:sz w:val="16"/>
          <w:szCs w:val="16"/>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parties entered into a settlement agreement dated September 9, 2022, which is pending court approval.</w:t>
      </w:r>
    </w:p>
    <w:p>
      <w:pPr>
        <w:spacing w:after="0" w:line="7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 xml:space="preserve">On June 7, 2023, the Company was served with a putative class action lawsuit, </w:t>
      </w:r>
      <w:r>
        <w:rPr>
          <w:rFonts w:ascii="Arial" w:cs="Arial" w:eastAsia="Arial" w:hAnsi="Arial"/>
          <w:sz w:val="18"/>
          <w:szCs w:val="18"/>
          <w:i w:val="1"/>
          <w:iCs w:val="1"/>
          <w:color w:val="auto"/>
        </w:rPr>
        <w:t>Connie Howard, Yadira Yazmin Hernandez, and Deborah Reynolds, et al.</w:t>
      </w:r>
      <w:r>
        <w:rPr>
          <w:rFonts w:ascii="Arial" w:cs="Arial" w:eastAsia="Arial" w:hAnsi="Arial"/>
          <w:sz w:val="18"/>
          <w:szCs w:val="18"/>
          <w:color w:val="auto"/>
        </w:rPr>
        <w:t xml:space="preserve"> </w:t>
      </w:r>
      <w:r>
        <w:rPr>
          <w:rFonts w:ascii="Arial" w:cs="Arial" w:eastAsia="Arial" w:hAnsi="Arial"/>
          <w:sz w:val="18"/>
          <w:szCs w:val="18"/>
          <w:i w:val="1"/>
          <w:iCs w:val="1"/>
          <w:color w:val="auto"/>
        </w:rPr>
        <w:t>v. Laboratory Corporation of America, Laboratory Corporation of America Holdings, and Meta Platforms, Inc.</w:t>
      </w:r>
      <w:r>
        <w:rPr>
          <w:rFonts w:ascii="Arial" w:cs="Arial" w:eastAsia="Arial" w:hAnsi="Arial"/>
          <w:sz w:val="18"/>
          <w:szCs w:val="18"/>
          <w:color w:val="auto"/>
        </w:rPr>
        <w:t>, filed in the U.S.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The Company will vigorously defend the lawsuit.</w:t>
      </w:r>
    </w:p>
    <w:p>
      <w:pPr>
        <w:spacing w:after="0" w:line="118"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86"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On February 7, 2022, the Company was served with a Subpoena Duces Tecum issued by the DOJ in Camden, New Jersey requiring the production of documents related to non-invasive prenatal screening tests. The Company is cooperating with the DOJ.</w:t>
      </w:r>
    </w:p>
    <w:p>
      <w:pPr>
        <w:spacing w:after="0" w:line="86"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99" w:lineRule="exact"/>
        <w:rPr>
          <w:sz w:val="20"/>
          <w:szCs w:val="20"/>
          <w:color w:val="auto"/>
        </w:rPr>
      </w:pPr>
    </w:p>
    <w:p>
      <w:pPr>
        <w:jc w:val="both"/>
        <w:ind w:right="20" w:firstLine="240"/>
        <w:spacing w:after="0" w:line="330" w:lineRule="auto"/>
        <w:rPr>
          <w:sz w:val="20"/>
          <w:szCs w:val="20"/>
          <w:color w:val="auto"/>
        </w:rPr>
      </w:pPr>
      <w:r>
        <w:rPr>
          <w:rFonts w:ascii="Arial" w:cs="Arial" w:eastAsia="Arial" w:hAnsi="Arial"/>
          <w:sz w:val="16"/>
          <w:szCs w:val="16"/>
          <w:color w:val="auto"/>
        </w:rPr>
        <w:t>In April 2023, the Company received Civil Investigative Demands issued by the DOJ in Washington, D.C. requiring the production of information related to the Medicare billing rule regarding reimbursement for laboratory testing performed for hospital patients. The Company is cooperating with the DOJ.</w:t>
      </w:r>
    </w:p>
    <w:p>
      <w:pPr>
        <w:spacing w:after="0" w:line="40"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associated with the resolution of such proceedings is not expected to be material to the Company’s financial condition, results of operations, or cash flows, either individually or in the aggregate.</w:t>
      </w:r>
    </w:p>
    <w:p>
      <w:pPr>
        <w:spacing w:after="0" w:line="99" w:lineRule="exact"/>
        <w:rPr>
          <w:sz w:val="20"/>
          <w:szCs w:val="20"/>
          <w:color w:val="auto"/>
        </w:rPr>
      </w:pPr>
    </w:p>
    <w:p>
      <w:pPr>
        <w:jc w:val="both"/>
        <w:ind w:firstLine="240"/>
        <w:spacing w:after="0" w:line="295" w:lineRule="auto"/>
        <w:rPr>
          <w:sz w:val="20"/>
          <w:szCs w:val="20"/>
          <w:color w:val="auto"/>
        </w:rPr>
      </w:pPr>
      <w:r>
        <w:rPr>
          <w:rFonts w:ascii="Arial" w:cs="Arial" w:eastAsia="Arial" w:hAnsi="Arial"/>
          <w:sz w:val="16"/>
          <w:szCs w:val="16"/>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62" w:lineRule="exact"/>
        <w:rPr>
          <w:sz w:val="20"/>
          <w:szCs w:val="20"/>
          <w:color w:val="auto"/>
        </w:rPr>
      </w:pPr>
    </w:p>
    <w:p>
      <w:pPr>
        <w:ind w:left="460" w:hanging="453"/>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32"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The Company’s population of financial assets and liabilities subject to fair value measurements as of September 30, 2023, and December 31, 2022,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15"/>
          </w:tcPr>
          <w:p>
            <w:pPr>
              <w:jc w:val="center"/>
              <w:ind w:right="280"/>
              <w:spacing w:after="0"/>
              <w:rPr>
                <w:sz w:val="20"/>
                <w:szCs w:val="20"/>
                <w:color w:val="auto"/>
              </w:rPr>
            </w:pPr>
            <w:r>
              <w:rPr>
                <w:rFonts w:ascii="Arial" w:cs="Arial" w:eastAsia="Arial" w:hAnsi="Arial"/>
                <w:sz w:val="18"/>
                <w:szCs w:val="18"/>
                <w:color w:val="auto"/>
                <w:w w:val="87"/>
              </w:rPr>
              <w:t>Fair Value Measurements as of</w:t>
            </w:r>
          </w:p>
        </w:tc>
      </w:tr>
      <w:tr>
        <w:trPr>
          <w:trHeight w:val="227"/>
        </w:trPr>
        <w:tc>
          <w:tcPr>
            <w:tcW w:w="4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11"/>
          </w:tcPr>
          <w:p>
            <w:pPr>
              <w:jc w:val="center"/>
              <w:spacing w:after="0"/>
              <w:rPr>
                <w:sz w:val="20"/>
                <w:szCs w:val="20"/>
                <w:color w:val="auto"/>
              </w:rPr>
            </w:pPr>
            <w:r>
              <w:rPr>
                <w:rFonts w:ascii="Arial" w:cs="Arial" w:eastAsia="Arial" w:hAnsi="Arial"/>
                <w:sz w:val="18"/>
                <w:szCs w:val="18"/>
                <w:color w:val="auto"/>
                <w:w w:val="87"/>
              </w:rPr>
              <w:t>September 30, 2023</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4120" w:type="dxa"/>
            <w:vAlign w:val="bottom"/>
          </w:tcPr>
          <w:p>
            <w:pPr>
              <w:spacing w:after="0"/>
              <w:rPr>
                <w:sz w:val="20"/>
                <w:szCs w:val="20"/>
                <w:color w:val="auto"/>
              </w:rPr>
            </w:pP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color w:val="auto"/>
                <w:w w:val="85"/>
              </w:rPr>
              <w:t>Balance Sheet</w:t>
            </w:r>
          </w:p>
        </w:tc>
        <w:tc>
          <w:tcPr>
            <w:tcW w:w="160" w:type="dxa"/>
            <w:vAlign w:val="bottom"/>
          </w:tcPr>
          <w:p>
            <w:pPr>
              <w:spacing w:after="0"/>
              <w:rPr>
                <w:sz w:val="20"/>
                <w:szCs w:val="20"/>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Fair Value as of</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13"/>
          </w:tcPr>
          <w:p>
            <w:pPr>
              <w:jc w:val="center"/>
              <w:ind w:right="71"/>
              <w:spacing w:after="0"/>
              <w:rPr>
                <w:sz w:val="20"/>
                <w:szCs w:val="20"/>
                <w:color w:val="auto"/>
              </w:rPr>
            </w:pPr>
            <w:r>
              <w:rPr>
                <w:rFonts w:ascii="Arial" w:cs="Arial" w:eastAsia="Arial" w:hAnsi="Arial"/>
                <w:sz w:val="18"/>
                <w:szCs w:val="18"/>
                <w:color w:val="auto"/>
                <w:w w:val="91"/>
              </w:rPr>
              <w:t>Using Fair Value Hierarchy</w:t>
            </w:r>
          </w:p>
        </w:tc>
        <w:tc>
          <w:tcPr>
            <w:tcW w:w="120" w:type="dxa"/>
            <w:vAlign w:val="bottom"/>
            <w:gridSpan w:val="2"/>
          </w:tcPr>
          <w:p>
            <w:pPr>
              <w:spacing w:after="0"/>
              <w:rPr>
                <w:sz w:val="20"/>
                <w:szCs w:val="20"/>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Classification</w:t>
            </w:r>
          </w:p>
        </w:tc>
        <w:tc>
          <w:tcPr>
            <w:tcW w:w="120" w:type="dxa"/>
            <w:vAlign w:val="bottom"/>
            <w:tcBorders>
              <w:bottom w:val="single" w:sz="8" w:color="CCEEFF"/>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color w:val="auto"/>
                <w:w w:val="88"/>
              </w:rPr>
              <w:t>September 30, 2023</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w w:val="96"/>
              </w:rPr>
              <w:t>Level 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Level 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Level 3</w:t>
            </w:r>
          </w:p>
        </w:tc>
        <w:tc>
          <w:tcPr>
            <w:tcW w:w="120" w:type="dxa"/>
            <w:vAlign w:val="bottom"/>
            <w:gridSpan w:val="2"/>
          </w:tcPr>
          <w:p>
            <w:pPr>
              <w:spacing w:after="0"/>
              <w:rPr>
                <w:sz w:val="20"/>
                <w:szCs w:val="20"/>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put</w:t>
            </w: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412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22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4120" w:type="dxa"/>
            <w:vAlign w:val="bottom"/>
          </w:tcPr>
          <w:p>
            <w:pPr>
              <w:ind w:left="20"/>
              <w:spacing w:after="0"/>
              <w:rPr>
                <w:sz w:val="20"/>
                <w:szCs w:val="20"/>
                <w:color w:val="auto"/>
              </w:rPr>
            </w:pPr>
            <w:r>
              <w:rPr>
                <w:rFonts w:ascii="Arial" w:cs="Arial" w:eastAsia="Arial" w:hAnsi="Arial"/>
                <w:sz w:val="18"/>
                <w:szCs w:val="18"/>
                <w:color w:val="auto"/>
              </w:rPr>
              <w:t>Cash surrender value of life insurance policies</w:t>
            </w:r>
          </w:p>
        </w:tc>
        <w:tc>
          <w:tcPr>
            <w:tcW w:w="2280" w:type="dxa"/>
            <w:vAlign w:val="bottom"/>
            <w:gridSpan w:val="3"/>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4"/>
        </w:trPr>
        <w:tc>
          <w:tcPr>
            <w:tcW w:w="4120" w:type="dxa"/>
            <w:vAlign w:val="bottom"/>
          </w:tcPr>
          <w:p>
            <w:pPr>
              <w:spacing w:after="0"/>
              <w:rPr>
                <w:sz w:val="15"/>
                <w:szCs w:val="15"/>
                <w:color w:val="auto"/>
              </w:rPr>
            </w:pPr>
          </w:p>
        </w:tc>
        <w:tc>
          <w:tcPr>
            <w:tcW w:w="2280" w:type="dxa"/>
            <w:vAlign w:val="bottom"/>
            <w:gridSpan w:val="3"/>
          </w:tcPr>
          <w:p>
            <w:pPr>
              <w:spacing w:after="0" w:line="175" w:lineRule="exact"/>
              <w:rPr>
                <w:sz w:val="20"/>
                <w:szCs w:val="20"/>
                <w:color w:val="auto"/>
              </w:rPr>
            </w:pPr>
            <w:r>
              <w:rPr>
                <w:rFonts w:ascii="Arial" w:cs="Arial" w:eastAsia="Arial" w:hAnsi="Arial"/>
                <w:sz w:val="18"/>
                <w:szCs w:val="18"/>
                <w:color w:val="auto"/>
                <w:w w:val="96"/>
              </w:rPr>
              <w:t>Accrued expenses and other;</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8"/>
        </w:trPr>
        <w:tc>
          <w:tcPr>
            <w:tcW w:w="41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2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86"/>
        </w:trPr>
        <w:tc>
          <w:tcPr>
            <w:tcW w:w="4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15"/>
          </w:tcPr>
          <w:p>
            <w:pPr>
              <w:jc w:val="center"/>
              <w:ind w:right="240"/>
              <w:spacing w:after="0"/>
              <w:rPr>
                <w:sz w:val="20"/>
                <w:szCs w:val="20"/>
                <w:color w:val="auto"/>
              </w:rPr>
            </w:pPr>
            <w:r>
              <w:rPr>
                <w:rFonts w:ascii="Arial" w:cs="Arial" w:eastAsia="Arial" w:hAnsi="Arial"/>
                <w:sz w:val="18"/>
                <w:szCs w:val="18"/>
                <w:color w:val="auto"/>
                <w:w w:val="87"/>
              </w:rPr>
              <w:t>Fair Value Measurements as of</w:t>
            </w:r>
          </w:p>
        </w:tc>
      </w:tr>
      <w:tr>
        <w:trPr>
          <w:trHeight w:val="227"/>
        </w:trPr>
        <w:tc>
          <w:tcPr>
            <w:tcW w:w="4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gridSpan w:val="11"/>
          </w:tcPr>
          <w:p>
            <w:pPr>
              <w:jc w:val="center"/>
              <w:ind w:left="71"/>
              <w:spacing w:after="0"/>
              <w:rPr>
                <w:sz w:val="20"/>
                <w:szCs w:val="20"/>
                <w:color w:val="auto"/>
              </w:rPr>
            </w:pPr>
            <w:r>
              <w:rPr>
                <w:rFonts w:ascii="Arial" w:cs="Arial" w:eastAsia="Arial" w:hAnsi="Arial"/>
                <w:sz w:val="18"/>
                <w:szCs w:val="18"/>
                <w:color w:val="auto"/>
                <w:w w:val="87"/>
              </w:rPr>
              <w:t>December 31, 2022</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4120" w:type="dxa"/>
            <w:vAlign w:val="bottom"/>
          </w:tcPr>
          <w:p>
            <w:pPr>
              <w:spacing w:after="0"/>
              <w:rPr>
                <w:sz w:val="20"/>
                <w:szCs w:val="20"/>
                <w:color w:val="auto"/>
              </w:rPr>
            </w:pPr>
          </w:p>
        </w:tc>
        <w:tc>
          <w:tcPr>
            <w:tcW w:w="22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Balance Sheet</w:t>
            </w:r>
          </w:p>
        </w:tc>
        <w:tc>
          <w:tcPr>
            <w:tcW w:w="160" w:type="dxa"/>
            <w:vAlign w:val="bottom"/>
          </w:tcPr>
          <w:p>
            <w:pPr>
              <w:spacing w:after="0"/>
              <w:rPr>
                <w:sz w:val="20"/>
                <w:szCs w:val="20"/>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Fair Value as of</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14"/>
          </w:tcPr>
          <w:p>
            <w:pPr>
              <w:jc w:val="center"/>
              <w:ind w:right="180"/>
              <w:spacing w:after="0"/>
              <w:rPr>
                <w:sz w:val="20"/>
                <w:szCs w:val="20"/>
                <w:color w:val="auto"/>
              </w:rPr>
            </w:pPr>
            <w:r>
              <w:rPr>
                <w:rFonts w:ascii="Arial" w:cs="Arial" w:eastAsia="Arial" w:hAnsi="Arial"/>
                <w:sz w:val="18"/>
                <w:szCs w:val="18"/>
                <w:color w:val="auto"/>
                <w:w w:val="91"/>
              </w:rPr>
              <w:t>Using Fair Value Hierarchy</w:t>
            </w:r>
          </w:p>
        </w:tc>
        <w:tc>
          <w:tcPr>
            <w:tcW w:w="60" w:type="dxa"/>
            <w:vAlign w:val="bottom"/>
          </w:tcPr>
          <w:p>
            <w:pPr>
              <w:spacing w:after="0"/>
              <w:rPr>
                <w:sz w:val="20"/>
                <w:szCs w:val="20"/>
                <w:color w:val="auto"/>
              </w:rPr>
            </w:pPr>
          </w:p>
        </w:tc>
      </w:tr>
      <w:tr>
        <w:trPr>
          <w:trHeight w:val="233"/>
        </w:trPr>
        <w:tc>
          <w:tcPr>
            <w:tcW w:w="412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Classification</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color w:val="auto"/>
                <w:w w:val="89"/>
              </w:rPr>
              <w:t>December 31, 2022</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w w:val="96"/>
              </w:rPr>
              <w:t>Level 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2"/>
              </w:rPr>
              <w:t>Level 2</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0"/>
                <w:szCs w:val="20"/>
                <w:color w:val="auto"/>
              </w:rPr>
            </w:pP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put</w:t>
            </w:r>
          </w:p>
        </w:tc>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26"/>
        </w:trPr>
        <w:tc>
          <w:tcPr>
            <w:tcW w:w="4120" w:type="dxa"/>
            <w:vAlign w:val="bottom"/>
          </w:tcPr>
          <w:p>
            <w:pPr>
              <w:ind w:left="20"/>
              <w:spacing w:after="0"/>
              <w:rPr>
                <w:sz w:val="20"/>
                <w:szCs w:val="20"/>
                <w:color w:val="auto"/>
              </w:rPr>
            </w:pPr>
            <w:r>
              <w:rPr>
                <w:rFonts w:ascii="Arial" w:cs="Arial" w:eastAsia="Arial" w:hAnsi="Arial"/>
                <w:sz w:val="18"/>
                <w:szCs w:val="18"/>
                <w:color w:val="auto"/>
              </w:rPr>
              <w:t>Cross currency swaps</w:t>
            </w:r>
          </w:p>
        </w:tc>
        <w:tc>
          <w:tcPr>
            <w:tcW w:w="2280" w:type="dxa"/>
            <w:vAlign w:val="bottom"/>
            <w:gridSpan w:val="3"/>
          </w:tcPr>
          <w:p>
            <w:pPr>
              <w:ind w:left="20"/>
              <w:spacing w:after="0"/>
              <w:rPr>
                <w:sz w:val="20"/>
                <w:szCs w:val="20"/>
                <w:color w:val="auto"/>
              </w:rPr>
            </w:pPr>
            <w:r>
              <w:rPr>
                <w:rFonts w:ascii="Arial" w:cs="Arial" w:eastAsia="Arial" w:hAnsi="Arial"/>
                <w:sz w:val="18"/>
                <w:szCs w:val="18"/>
                <w:color w:val="auto"/>
              </w:rPr>
              <w:t>Other liabilities,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center"/>
              <w:ind w:left="271"/>
              <w:spacing w:after="0"/>
              <w:rPr>
                <w:sz w:val="20"/>
                <w:szCs w:val="20"/>
                <w:color w:val="auto"/>
              </w:rPr>
            </w:pPr>
            <w:r>
              <w:rPr>
                <w:rFonts w:ascii="Arial" w:cs="Arial" w:eastAsia="Arial" w:hAnsi="Arial"/>
                <w:sz w:val="18"/>
                <w:szCs w:val="18"/>
                <w:color w:val="auto"/>
                <w:w w:val="99"/>
              </w:rPr>
              <w:t>—</w:t>
            </w: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 net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26"/>
        </w:trPr>
        <w:tc>
          <w:tcPr>
            <w:tcW w:w="4120" w:type="dxa"/>
            <w:vAlign w:val="bottom"/>
          </w:tcPr>
          <w:p>
            <w:pPr>
              <w:ind w:left="20"/>
              <w:spacing w:after="0"/>
              <w:rPr>
                <w:sz w:val="20"/>
                <w:szCs w:val="20"/>
                <w:color w:val="auto"/>
              </w:rPr>
            </w:pPr>
            <w:r>
              <w:rPr>
                <w:rFonts w:ascii="Arial" w:cs="Arial" w:eastAsia="Arial" w:hAnsi="Arial"/>
                <w:sz w:val="18"/>
                <w:szCs w:val="18"/>
                <w:color w:val="auto"/>
              </w:rPr>
              <w:t>Cash surrender value of life insurance policies</w:t>
            </w:r>
          </w:p>
        </w:tc>
        <w:tc>
          <w:tcPr>
            <w:tcW w:w="2280" w:type="dxa"/>
            <w:vAlign w:val="bottom"/>
            <w:gridSpan w:val="3"/>
          </w:tcPr>
          <w:p>
            <w:pPr>
              <w:ind w:left="20"/>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center"/>
              <w:ind w:left="271"/>
              <w:spacing w:after="0"/>
              <w:rPr>
                <w:sz w:val="20"/>
                <w:szCs w:val="20"/>
                <w:color w:val="auto"/>
              </w:rPr>
            </w:pPr>
            <w:r>
              <w:rPr>
                <w:rFonts w:ascii="Arial" w:cs="Arial" w:eastAsia="Arial" w:hAnsi="Arial"/>
                <w:sz w:val="18"/>
                <w:szCs w:val="18"/>
                <w:color w:val="auto"/>
                <w:w w:val="99"/>
              </w:rPr>
              <w:t>—</w:t>
            </w: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188"/>
        </w:trPr>
        <w:tc>
          <w:tcPr>
            <w:tcW w:w="4120" w:type="dxa"/>
            <w:vAlign w:val="bottom"/>
          </w:tcPr>
          <w:p>
            <w:pPr>
              <w:spacing w:after="0"/>
              <w:rPr>
                <w:sz w:val="16"/>
                <w:szCs w:val="16"/>
                <w:color w:val="auto"/>
              </w:rPr>
            </w:pPr>
          </w:p>
        </w:tc>
        <w:tc>
          <w:tcPr>
            <w:tcW w:w="2280" w:type="dxa"/>
            <w:vAlign w:val="bottom"/>
            <w:gridSpan w:val="3"/>
          </w:tcPr>
          <w:p>
            <w:pPr>
              <w:ind w:left="20"/>
              <w:spacing w:after="0" w:line="188" w:lineRule="exact"/>
              <w:rPr>
                <w:sz w:val="20"/>
                <w:szCs w:val="20"/>
                <w:color w:val="auto"/>
              </w:rPr>
            </w:pPr>
            <w:r>
              <w:rPr>
                <w:rFonts w:ascii="Arial" w:cs="Arial" w:eastAsia="Arial" w:hAnsi="Arial"/>
                <w:sz w:val="18"/>
                <w:szCs w:val="18"/>
                <w:color w:val="auto"/>
                <w:w w:val="95"/>
              </w:rPr>
              <w:t>Accrued expenses and other;</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4"/>
        </w:trPr>
        <w:tc>
          <w:tcPr>
            <w:tcW w:w="41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280" w:type="dxa"/>
            <w:vAlign w:val="bottom"/>
            <w:gridSpan w:val="3"/>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w w:val="85"/>
              </w:rPr>
              <w:t>77.4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8"/>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Measurement of Level 3 Liabilities</w:t>
            </w:r>
          </w:p>
        </w:tc>
        <w:tc>
          <w:tcPr>
            <w:tcW w:w="2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rPr>
              <w:t>Contingent Consideration</w:t>
            </w:r>
          </w:p>
        </w:tc>
      </w:tr>
      <w:tr>
        <w:trPr>
          <w:trHeight w:val="22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351"/>
              <w:spacing w:after="0"/>
              <w:rPr>
                <w:sz w:val="20"/>
                <w:szCs w:val="20"/>
                <w:color w:val="auto"/>
              </w:rPr>
            </w:pPr>
            <w:r>
              <w:rPr>
                <w:rFonts w:ascii="Arial" w:cs="Arial" w:eastAsia="Arial" w:hAnsi="Arial"/>
                <w:sz w:val="18"/>
                <w:szCs w:val="18"/>
                <w:color w:val="auto"/>
                <w:w w:val="91"/>
              </w:rPr>
              <w:t>77.4</w:t>
            </w:r>
          </w:p>
        </w:tc>
        <w:tc>
          <w:tcPr>
            <w:tcW w:w="60" w:type="dxa"/>
            <w:vAlign w:val="bottom"/>
            <w:shd w:val="clear" w:color="auto" w:fill="CCEEFF"/>
          </w:tcPr>
          <w:p>
            <w:pPr>
              <w:spacing w:after="0"/>
              <w:rPr>
                <w:sz w:val="19"/>
                <w:szCs w:val="19"/>
                <w:color w:val="auto"/>
              </w:rPr>
            </w:pPr>
          </w:p>
        </w:tc>
      </w:tr>
      <w:tr>
        <w:trPr>
          <w:trHeight w:val="22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w:t>
            </w:r>
          </w:p>
        </w:tc>
        <w:tc>
          <w:tcPr>
            <w:tcW w:w="2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w w:val="89"/>
              </w:rPr>
              <w:t>(11.3)</w:t>
            </w:r>
          </w:p>
        </w:tc>
      </w:tr>
      <w:tr>
        <w:trPr>
          <w:trHeight w:val="241"/>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2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left="351"/>
              <w:spacing w:after="0"/>
              <w:rPr>
                <w:sz w:val="20"/>
                <w:szCs w:val="20"/>
                <w:color w:val="auto"/>
              </w:rPr>
            </w:pPr>
            <w:r>
              <w:rPr>
                <w:rFonts w:ascii="Arial" w:cs="Arial" w:eastAsia="Arial" w:hAnsi="Arial"/>
                <w:sz w:val="18"/>
                <w:szCs w:val="18"/>
                <w:color w:val="auto"/>
                <w:w w:val="91"/>
              </w:rPr>
              <w:t>66.1</w:t>
            </w:r>
          </w:p>
        </w:tc>
        <w:tc>
          <w:tcPr>
            <w:tcW w:w="60" w:type="dxa"/>
            <w:vAlign w:val="bottom"/>
            <w:shd w:val="clear" w:color="auto" w:fill="CCEEFF"/>
          </w:tcPr>
          <w:p>
            <w:pPr>
              <w:spacing w:after="0"/>
              <w:rPr>
                <w:sz w:val="20"/>
                <w:szCs w:val="20"/>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40"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Company offers certain employees the opportunity to participate in an employee-funded deferred compensation plan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Contingent accrued earn-out business acquisition consideration liabilities are measured at fair value using Level 3 valuations.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113"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$4,936.6 and $4,973.9 as of September 30, 2023, and December 31, 2022, respectively. The Company's note and debt instruments are classified as Level 2 instruments, as the fair market values of these instruments are determined using other observable inputs.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Cross-Currency Swap</w:t>
      </w:r>
    </w:p>
    <w:p>
      <w:pPr>
        <w:spacing w:after="0" w:line="132"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that mature in 2024. These cross currency swaps are included in other long-term liabilities as appropriate with an aggregate fair value of $55.6 and $45.7 as of September 30, 2023 and December 31, 2022, respectively.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Consolidated Statement of Comprehensive Earnings.</w:t>
      </w:r>
    </w:p>
    <w:p>
      <w:pPr>
        <w:spacing w:after="0" w:line="98" w:lineRule="exact"/>
        <w:rPr>
          <w:sz w:val="20"/>
          <w:szCs w:val="20"/>
          <w:color w:val="auto"/>
        </w:rPr>
      </w:pPr>
    </w:p>
    <w:p>
      <w:pPr>
        <w:ind w:left="440" w:hanging="433"/>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40" w:type="dxa"/>
            <w:vAlign w:val="bottom"/>
          </w:tcPr>
          <w:p>
            <w:pPr>
              <w:spacing w:after="0"/>
              <w:rPr>
                <w:sz w:val="20"/>
                <w:szCs w:val="20"/>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480" w:type="dxa"/>
            <w:vAlign w:val="bottom"/>
            <w:tcBorders>
              <w:bottom w:val="single" w:sz="8" w:color="auto"/>
            </w:tcBorders>
          </w:tcPr>
          <w:p>
            <w:pPr>
              <w:spacing w:after="0"/>
              <w:rPr>
                <w:sz w:val="20"/>
                <w:szCs w:val="20"/>
                <w:color w:val="auto"/>
              </w:rPr>
            </w:pPr>
          </w:p>
        </w:tc>
      </w:tr>
      <w:tr>
        <w:trPr>
          <w:trHeight w:val="220"/>
        </w:trPr>
        <w:tc>
          <w:tcPr>
            <w:tcW w:w="77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period for:</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6"/>
        </w:trPr>
        <w:tc>
          <w:tcPr>
            <w:tcW w:w="7740" w:type="dxa"/>
            <w:vAlign w:val="bottom"/>
          </w:tcPr>
          <w:p>
            <w:pPr>
              <w:ind w:left="20"/>
              <w:spacing w:after="0"/>
              <w:rPr>
                <w:sz w:val="20"/>
                <w:szCs w:val="20"/>
                <w:color w:val="auto"/>
              </w:rPr>
            </w:pPr>
            <w:r>
              <w:rPr>
                <w:rFonts w:ascii="Arial" w:cs="Arial" w:eastAsia="Arial" w:hAnsi="Arial"/>
                <w:sz w:val="18"/>
                <w:szCs w:val="18"/>
                <w:color w:val="auto"/>
              </w:rPr>
              <w:t>Interest</w:t>
            </w:r>
          </w:p>
        </w:tc>
        <w:tc>
          <w:tcPr>
            <w:tcW w:w="1140" w:type="dxa"/>
            <w:vAlign w:val="bottom"/>
          </w:tcPr>
          <w:p>
            <w:pPr>
              <w:jc w:val="right"/>
              <w:ind w:right="9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9"/>
                <w:szCs w:val="19"/>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159.2</w:t>
            </w: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net of refunds</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391.7</w:t>
            </w:r>
          </w:p>
        </w:tc>
      </w:tr>
      <w:tr>
        <w:trPr>
          <w:trHeight w:val="226"/>
        </w:trPr>
        <w:tc>
          <w:tcPr>
            <w:tcW w:w="7740" w:type="dxa"/>
            <w:vAlign w:val="bottom"/>
          </w:tcPr>
          <w:p>
            <w:pPr>
              <w:ind w:left="20"/>
              <w:spacing w:after="0"/>
              <w:rPr>
                <w:sz w:val="20"/>
                <w:szCs w:val="20"/>
                <w:color w:val="auto"/>
              </w:rPr>
            </w:pPr>
            <w:r>
              <w:rPr>
                <w:rFonts w:ascii="Arial" w:cs="Arial" w:eastAsia="Arial" w:hAnsi="Arial"/>
                <w:sz w:val="18"/>
                <w:szCs w:val="18"/>
                <w:color w:val="auto"/>
              </w:rPr>
              <w:t>Disclosure of non-cash financing and investing activities:</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accrued property, plant and equipment</w:t>
            </w:r>
          </w:p>
        </w:tc>
        <w:tc>
          <w:tcPr>
            <w:tcW w:w="1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pacing w:after="0" w:line="221" w:lineRule="exact"/>
        <w:rPr>
          <w:sz w:val="20"/>
          <w:szCs w:val="20"/>
          <w:color w:val="auto"/>
        </w:rPr>
      </w:pPr>
    </w:p>
    <w:p>
      <w:pPr>
        <w:ind w:left="460" w:hanging="453"/>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32"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following table is a summary of segment information for the three and nine months ended September 30, 2023, and 2022.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113"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As a result of the spin-off, the Company recast the segment results to exclude the historical results of Fortrea. Additionally, the remaining operations of the Drug Development segment has been renamed as the BLS segment. Prior periods have been conformed for comparability.</w:t>
      </w:r>
    </w:p>
    <w:p>
      <w:pPr>
        <w:spacing w:after="0" w:line="8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The Corporate costs not allocated to segments include the costs of centralized functions, other charges such as acquisition expenses, spin-off costs, remaining unallocated costs of the CDCS business, and COVID-19 related costs not deemed to relate to segment. Centralized functions include corporate governance, executive management and related human resources, finance, legal, risk management, and information technology functions.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340" w:right="214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4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September</w:t>
            </w:r>
          </w:p>
        </w:tc>
        <w:tc>
          <w:tcPr>
            <w:tcW w:w="120" w:type="dxa"/>
            <w:vAlign w:val="bottom"/>
          </w:tcPr>
          <w:p>
            <w:pPr>
              <w:spacing w:after="0"/>
              <w:rPr>
                <w:sz w:val="17"/>
                <w:szCs w:val="17"/>
                <w:color w:val="auto"/>
              </w:rPr>
            </w:pPr>
          </w:p>
        </w:tc>
        <w:tc>
          <w:tcPr>
            <w:tcW w:w="252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27"/>
        </w:trPr>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right"/>
              <w:ind w:right="171"/>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151"/>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19"/>
                <w:szCs w:val="19"/>
                <w:color w:val="auto"/>
              </w:rPr>
            </w:pPr>
          </w:p>
        </w:tc>
      </w:tr>
      <w:tr>
        <w:trPr>
          <w:trHeight w:val="238"/>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r>
      <w:tr>
        <w:trPr>
          <w:trHeight w:val="21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6,917.1</w:t>
            </w:r>
          </w:p>
        </w:tc>
      </w:tr>
      <w:tr>
        <w:trPr>
          <w:trHeight w:val="226"/>
        </w:trPr>
        <w:tc>
          <w:tcPr>
            <w:tcW w:w="5280" w:type="dxa"/>
            <w:vAlign w:val="bottom"/>
          </w:tcPr>
          <w:p>
            <w:pPr>
              <w:ind w:left="20"/>
              <w:spacing w:after="0"/>
              <w:rPr>
                <w:sz w:val="20"/>
                <w:szCs w:val="20"/>
                <w:color w:val="auto"/>
              </w:rPr>
            </w:pPr>
            <w:r>
              <w:rPr>
                <w:rFonts w:ascii="Arial" w:cs="Arial" w:eastAsia="Arial" w:hAnsi="Arial"/>
                <w:sz w:val="18"/>
                <w:szCs w:val="18"/>
                <w:color w:val="auto"/>
              </w:rPr>
              <w:t>BLS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2,048.5</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eliminations and other</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9,128.3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8,934.2</w:t>
            </w:r>
          </w:p>
        </w:tc>
      </w:tr>
      <w:tr>
        <w:trPr>
          <w:trHeight w:val="194"/>
        </w:trPr>
        <w:tc>
          <w:tcPr>
            <w:tcW w:w="5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7"/>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 segment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w:t>
            </w:r>
          </w:p>
        </w:tc>
      </w:tr>
      <w:tr>
        <w:trPr>
          <w:trHeight w:val="22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BLS segment operating income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r>
      <w:tr>
        <w:trPr>
          <w:trHeight w:val="221"/>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1,932.4</w:t>
            </w:r>
          </w:p>
        </w:tc>
      </w:tr>
      <w:tr>
        <w:trPr>
          <w:trHeight w:val="226"/>
        </w:trPr>
        <w:tc>
          <w:tcPr>
            <w:tcW w:w="5280" w:type="dxa"/>
            <w:vAlign w:val="bottom"/>
          </w:tcPr>
          <w:p>
            <w:pPr>
              <w:ind w:left="20"/>
              <w:spacing w:after="0"/>
              <w:rPr>
                <w:sz w:val="20"/>
                <w:szCs w:val="20"/>
                <w:color w:val="auto"/>
              </w:rPr>
            </w:pPr>
            <w:r>
              <w:rPr>
                <w:rFonts w:ascii="Arial" w:cs="Arial" w:eastAsia="Arial" w:hAnsi="Arial"/>
                <w:sz w:val="18"/>
                <w:szCs w:val="18"/>
                <w:color w:val="auto"/>
              </w:rPr>
              <w:t>General corporate and unallocated expenses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(329.2)</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26"/>
        </w:trPr>
        <w:tc>
          <w:tcPr>
            <w:tcW w:w="5280" w:type="dxa"/>
            <w:vAlign w:val="bottom"/>
          </w:tcPr>
          <w:p>
            <w:pPr>
              <w:ind w:left="20"/>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1"/>
        </w:trPr>
        <w:tc>
          <w:tcPr>
            <w:tcW w:w="528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848.4</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1,408.0</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4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October 4, 2023, the Company announced it had entered into an agreement with Baystate Health, Inc. (Baystate Health) to acquire its outreach laboratory business and select operating assets, including laboratory service centers operated by Baystate Health throughout Massachusetts for $151.1 in cash. This strategic relationship will build upon Labcorp's and Baystate Health's existing reference laboratory relationship to improve the efficiency of routine and specialty lab testing.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4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 w:lineRule="exact"/>
        <w:rPr>
          <w:sz w:val="20"/>
          <w:szCs w:val="20"/>
          <w:color w:val="auto"/>
        </w:rPr>
      </w:pPr>
    </w:p>
    <w:p>
      <w:pPr>
        <w:jc w:val="both"/>
        <w:ind w:firstLine="280"/>
        <w:spacing w:after="0" w:line="264" w:lineRule="auto"/>
        <w:rPr>
          <w:sz w:val="20"/>
          <w:szCs w:val="20"/>
          <w:color w:val="auto"/>
        </w:rPr>
      </w:pPr>
      <w:r>
        <w:rPr>
          <w:rFonts w:ascii="Arial" w:cs="Arial" w:eastAsia="Arial" w:hAnsi="Arial"/>
          <w:sz w:val="17"/>
          <w:szCs w:val="17"/>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and “Risk Factors” section of the Annual Report on Form 10-K, and in the Company’s other public filings, press releases, and discussions with Company management, including:</w:t>
      </w:r>
    </w:p>
    <w:p>
      <w:pPr>
        <w:spacing w:after="0" w:line="186" w:lineRule="exact"/>
        <w:rPr>
          <w:sz w:val="20"/>
          <w:szCs w:val="20"/>
          <w:color w:val="auto"/>
        </w:rPr>
      </w:pPr>
    </w:p>
    <w:p>
      <w:pPr>
        <w:jc w:val="both"/>
        <w:ind w:left="640" w:hanging="553"/>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86" w:lineRule="exact"/>
        <w:rPr>
          <w:rFonts w:ascii="Arial" w:cs="Arial" w:eastAsia="Arial" w:hAnsi="Arial"/>
          <w:sz w:val="18"/>
          <w:szCs w:val="18"/>
          <w:color w:val="auto"/>
        </w:rPr>
      </w:pPr>
    </w:p>
    <w:p>
      <w:pPr>
        <w:jc w:val="both"/>
        <w:ind w:left="640" w:hanging="553"/>
        <w:spacing w:after="0" w:line="304"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47" w:lineRule="exact"/>
        <w:rPr>
          <w:rFonts w:ascii="Arial" w:cs="Arial" w:eastAsia="Arial" w:hAnsi="Arial"/>
          <w:sz w:val="16"/>
          <w:szCs w:val="16"/>
          <w:color w:val="auto"/>
        </w:rPr>
      </w:pPr>
    </w:p>
    <w:p>
      <w:pPr>
        <w:jc w:val="both"/>
        <w:ind w:left="640" w:hanging="553"/>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86" w:lineRule="exact"/>
        <w:rPr>
          <w:rFonts w:ascii="Arial" w:cs="Arial" w:eastAsia="Arial" w:hAnsi="Arial"/>
          <w:sz w:val="18"/>
          <w:szCs w:val="18"/>
          <w:color w:val="auto"/>
        </w:rPr>
      </w:pPr>
    </w:p>
    <w:p>
      <w:pPr>
        <w:jc w:val="both"/>
        <w:ind w:left="640" w:hanging="553"/>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or suspension of a license or imposition of fines or penalties under, or future changes in, or interpretations of applicable licensing laws or regulations regarding the operation of clinical laboratories and the delivery of clinical laboratory test results, including, but not limited to, the U.S. Clinical Laboratory Improvement Act of 1967 and the U.S. Clinical Laboratory Improvement Amendments of 1988 and similar laws and regulations in jurisdictions in which the Company conducts business;</w:t>
      </w:r>
    </w:p>
    <w:p>
      <w:pPr>
        <w:spacing w:after="0" w:line="86"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81"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81"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81"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72" w:lineRule="exact"/>
        <w:rPr>
          <w:rFonts w:ascii="Arial" w:cs="Arial" w:eastAsia="Arial" w:hAnsi="Arial"/>
          <w:sz w:val="18"/>
          <w:szCs w:val="18"/>
          <w:color w:val="auto"/>
        </w:rPr>
      </w:pPr>
    </w:p>
    <w:p>
      <w:pPr>
        <w:jc w:val="both"/>
        <w:ind w:left="640" w:hanging="553"/>
        <w:spacing w:after="0" w:line="25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the National Medical Products Administration in China, the Pharmaceutical and Medical Devices Agency in Japan, the European Medicines Agency, the European Union and similar regulations and policies of agencies in other jurisdictions in which the Company conducts business;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40" w:hanging="553"/>
        <w:spacing w:after="0" w:line="25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81"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liabilities that result from the failure to comply with corporate governance requirements;</w:t>
      </w:r>
    </w:p>
    <w:p>
      <w:pPr>
        <w:spacing w:after="0" w:line="112" w:lineRule="exact"/>
        <w:rPr>
          <w:rFonts w:ascii="Arial" w:cs="Arial" w:eastAsia="Arial" w:hAnsi="Arial"/>
          <w:sz w:val="18"/>
          <w:szCs w:val="18"/>
          <w:color w:val="auto"/>
        </w:rPr>
      </w:pPr>
    </w:p>
    <w:p>
      <w:pPr>
        <w:jc w:val="both"/>
        <w:ind w:left="640" w:hanging="553"/>
        <w:spacing w:after="0" w:line="25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laws or regulations or otherwise disregard compliance standards in the industry;</w:t>
      </w:r>
    </w:p>
    <w:p>
      <w:pPr>
        <w:spacing w:after="0" w:line="81" w:lineRule="exact"/>
        <w:rPr>
          <w:rFonts w:ascii="Arial" w:cs="Arial" w:eastAsia="Arial" w:hAnsi="Arial"/>
          <w:sz w:val="18"/>
          <w:szCs w:val="18"/>
          <w:color w:val="auto"/>
        </w:rPr>
      </w:pPr>
    </w:p>
    <w:p>
      <w:pPr>
        <w:jc w:val="both"/>
        <w:ind w:left="640" w:hanging="553"/>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86" w:lineRule="exact"/>
        <w:rPr>
          <w:rFonts w:ascii="Arial" w:cs="Arial" w:eastAsia="Arial" w:hAnsi="Arial"/>
          <w:sz w:val="18"/>
          <w:szCs w:val="18"/>
          <w:color w:val="auto"/>
        </w:rPr>
      </w:pPr>
    </w:p>
    <w:p>
      <w:pPr>
        <w:ind w:left="640" w:hanging="553"/>
        <w:spacing w:after="0" w:line="297"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retain or attract MCO business as a result of changes in business models, including risk based or network approaches, out-sourced laboratory network management or utilization management companies, or other changes in strategy or business models by MCOs;</w:t>
      </w:r>
    </w:p>
    <w:p>
      <w:pPr>
        <w:spacing w:after="0" w:line="49" w:lineRule="exact"/>
        <w:rPr>
          <w:rFonts w:ascii="Arial" w:cs="Arial" w:eastAsia="Arial" w:hAnsi="Arial"/>
          <w:sz w:val="17"/>
          <w:szCs w:val="17"/>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72" w:lineRule="exact"/>
        <w:rPr>
          <w:rFonts w:ascii="Arial" w:cs="Arial" w:eastAsia="Arial" w:hAnsi="Arial"/>
          <w:sz w:val="18"/>
          <w:szCs w:val="18"/>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and convergence of customers, competitors, and suppliers, potentially causing material shifts in insourcing, utilization, pricing, reimbursement and supply chain access;</w:t>
      </w:r>
    </w:p>
    <w:p>
      <w:pPr>
        <w:spacing w:after="0" w:line="72" w:lineRule="exact"/>
        <w:rPr>
          <w:rFonts w:ascii="Arial" w:cs="Arial" w:eastAsia="Arial" w:hAnsi="Arial"/>
          <w:sz w:val="18"/>
          <w:szCs w:val="18"/>
          <w:color w:val="auto"/>
        </w:rPr>
      </w:pPr>
    </w:p>
    <w:p>
      <w:pPr>
        <w:ind w:left="640" w:right="2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effectively develop and deploy new systems, system modifications or enhancements required in response to evolving market and business needs;</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2" w:lineRule="exact"/>
        <w:rPr>
          <w:rFonts w:ascii="Arial" w:cs="Arial" w:eastAsia="Arial" w:hAnsi="Arial"/>
          <w:sz w:val="18"/>
          <w:szCs w:val="18"/>
          <w:color w:val="auto"/>
        </w:rPr>
      </w:pPr>
    </w:p>
    <w:p>
      <w:pPr>
        <w:ind w:left="640" w:right="2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72" w:lineRule="exact"/>
        <w:rPr>
          <w:rFonts w:ascii="Arial" w:cs="Arial" w:eastAsia="Arial" w:hAnsi="Arial"/>
          <w:sz w:val="18"/>
          <w:szCs w:val="18"/>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liability arising from errors or omissions in the performance of testing services, contract research services or other contractual arrangements;</w:t>
      </w:r>
    </w:p>
    <w:p>
      <w:pPr>
        <w:spacing w:after="0" w:line="124" w:lineRule="exact"/>
        <w:rPr>
          <w:rFonts w:ascii="Arial" w:cs="Arial" w:eastAsia="Arial" w:hAnsi="Arial"/>
          <w:sz w:val="17"/>
          <w:szCs w:val="17"/>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2" w:lineRule="exact"/>
        <w:rPr>
          <w:rFonts w:ascii="Arial" w:cs="Arial" w:eastAsia="Arial" w:hAnsi="Arial"/>
          <w:sz w:val="18"/>
          <w:szCs w:val="18"/>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activists or potential harm and/or liability arising from animal research activities;</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2" w:lineRule="exact"/>
        <w:rPr>
          <w:rFonts w:ascii="Arial" w:cs="Arial" w:eastAsia="Arial" w:hAnsi="Arial"/>
          <w:sz w:val="18"/>
          <w:szCs w:val="18"/>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 or the loss of significant personnel as a result of illness, increased competition for talent, wage growth, or other market factors;</w:t>
      </w:r>
    </w:p>
    <w:p>
      <w:pPr>
        <w:spacing w:after="0" w:line="72" w:lineRule="exact"/>
        <w:rPr>
          <w:rFonts w:ascii="Arial" w:cs="Arial" w:eastAsia="Arial" w:hAnsi="Arial"/>
          <w:sz w:val="18"/>
          <w:szCs w:val="18"/>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72" w:lineRule="exact"/>
        <w:rPr>
          <w:rFonts w:ascii="Arial" w:cs="Arial" w:eastAsia="Arial" w:hAnsi="Arial"/>
          <w:sz w:val="18"/>
          <w:szCs w:val="18"/>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72" w:lineRule="exact"/>
        <w:rPr>
          <w:rFonts w:ascii="Arial" w:cs="Arial" w:eastAsia="Arial" w:hAnsi="Arial"/>
          <w:sz w:val="18"/>
          <w:szCs w:val="18"/>
          <w:color w:val="auto"/>
        </w:rPr>
      </w:pPr>
    </w:p>
    <w:p>
      <w:pPr>
        <w:ind w:left="640" w:hanging="553"/>
        <w:spacing w:after="0" w:line="26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maintain, and enforce intellectual property rights for protection of the Company's products and services and defend against challenges to those rights;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553"/>
        <w:spacing w:after="0" w:line="26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72" w:lineRule="exact"/>
        <w:rPr>
          <w:rFonts w:ascii="Arial" w:cs="Arial" w:eastAsia="Arial" w:hAnsi="Arial"/>
          <w:sz w:val="18"/>
          <w:szCs w:val="18"/>
          <w:color w:val="auto"/>
        </w:rPr>
      </w:pPr>
    </w:p>
    <w:p>
      <w:pPr>
        <w:jc w:val="both"/>
        <w:ind w:left="640" w:hanging="553"/>
        <w:spacing w:after="0" w:line="25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political crises, including terrorism and war; public health crises and disease epidemics and pandemics; changes in the global economy; and other events outside of the Company's control;</w:t>
      </w:r>
    </w:p>
    <w:p>
      <w:pPr>
        <w:spacing w:after="0" w:line="86"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2" w:lineRule="exact"/>
        <w:rPr>
          <w:rFonts w:ascii="Arial" w:cs="Arial" w:eastAsia="Arial" w:hAnsi="Arial"/>
          <w:sz w:val="18"/>
          <w:szCs w:val="18"/>
          <w:color w:val="auto"/>
        </w:rPr>
      </w:pPr>
    </w:p>
    <w:p>
      <w:pPr>
        <w:jc w:val="both"/>
        <w:ind w:left="640" w:hanging="553"/>
        <w:spacing w:after="0" w:line="288" w:lineRule="auto"/>
        <w:tabs>
          <w:tab w:leader="none" w:pos="635" w:val="left"/>
        </w:tabs>
        <w:numPr>
          <w:ilvl w:val="0"/>
          <w:numId w:val="8"/>
        </w:numPr>
        <w:rPr>
          <w:rFonts w:ascii="Arial" w:cs="Arial" w:eastAsia="Arial" w:hAnsi="Arial"/>
          <w:sz w:val="16"/>
          <w:szCs w:val="16"/>
          <w:color w:val="auto"/>
        </w:rPr>
      </w:pPr>
      <w:r>
        <w:rPr>
          <w:rFonts w:ascii="Arial" w:cs="Arial" w:eastAsia="Arial" w:hAnsi="Arial"/>
          <w:sz w:val="16"/>
          <w:szCs w:val="16"/>
          <w:color w:val="auto"/>
        </w:rPr>
        <w:t>a failure in the Company's information technology systems, including with respect to testing turnaround time and billing processes, or the failure of the Company or its third-party suppliers and vendors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61" w:lineRule="exact"/>
        <w:rPr>
          <w:rFonts w:ascii="Arial" w:cs="Arial" w:eastAsia="Arial" w:hAnsi="Arial"/>
          <w:sz w:val="16"/>
          <w:szCs w:val="16"/>
          <w:color w:val="auto"/>
        </w:rPr>
      </w:pPr>
    </w:p>
    <w:p>
      <w:pPr>
        <w:ind w:left="640" w:hanging="553"/>
        <w:spacing w:after="0" w:line="26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72" w:lineRule="exact"/>
        <w:rPr>
          <w:rFonts w:ascii="Arial" w:cs="Arial" w:eastAsia="Arial" w:hAnsi="Arial"/>
          <w:sz w:val="18"/>
          <w:szCs w:val="18"/>
          <w:color w:val="auto"/>
        </w:rPr>
      </w:pPr>
    </w:p>
    <w:p>
      <w:pPr>
        <w:jc w:val="both"/>
        <w:ind w:left="640" w:hanging="553"/>
        <w:spacing w:after="0" w:line="25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81" w:lineRule="exact"/>
        <w:rPr>
          <w:rFonts w:ascii="Arial" w:cs="Arial" w:eastAsia="Arial" w:hAnsi="Arial"/>
          <w:sz w:val="18"/>
          <w:szCs w:val="18"/>
          <w:color w:val="auto"/>
        </w:rPr>
      </w:pPr>
    </w:p>
    <w:p>
      <w:pPr>
        <w:ind w:left="640" w:hanging="553"/>
        <w:spacing w:after="0" w:line="297"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49" w:lineRule="exact"/>
        <w:rPr>
          <w:rFonts w:ascii="Arial" w:cs="Arial" w:eastAsia="Arial" w:hAnsi="Arial"/>
          <w:sz w:val="17"/>
          <w:szCs w:val="17"/>
          <w:color w:val="auto"/>
        </w:rPr>
      </w:pPr>
    </w:p>
    <w:p>
      <w:pPr>
        <w:ind w:left="640" w:hanging="553"/>
        <w:spacing w:after="0" w:line="26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2" w:lineRule="exact"/>
        <w:rPr>
          <w:rFonts w:ascii="Arial" w:cs="Arial" w:eastAsia="Arial" w:hAnsi="Arial"/>
          <w:sz w:val="18"/>
          <w:szCs w:val="18"/>
          <w:color w:val="auto"/>
        </w:rPr>
      </w:pPr>
    </w:p>
    <w:p>
      <w:pPr>
        <w:ind w:left="640" w:hanging="553"/>
        <w:spacing w:after="0" w:line="26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72" w:lineRule="exact"/>
        <w:rPr>
          <w:rFonts w:ascii="Arial" w:cs="Arial" w:eastAsia="Arial" w:hAnsi="Arial"/>
          <w:sz w:val="18"/>
          <w:szCs w:val="18"/>
          <w:color w:val="auto"/>
        </w:rPr>
      </w:pPr>
    </w:p>
    <w:p>
      <w:pPr>
        <w:jc w:val="both"/>
        <w:ind w:left="640" w:hanging="553"/>
        <w:spacing w:after="0" w:line="25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U.S. Foreign Corrupt Practices Act (FPCA), the U.K. Bribery Act, other applicable anti-corruption laws and regulations, trade sanction laws and regulations, and economic, political, legal and other operational risks associated with foreign jurisdictions;</w:t>
      </w:r>
    </w:p>
    <w:p>
      <w:pPr>
        <w:spacing w:after="0" w:line="81"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business process improvement initiatives;</w:t>
      </w:r>
    </w:p>
    <w:p>
      <w:pPr>
        <w:spacing w:after="0" w:line="112"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regulations or changes in their interpretation;</w:t>
      </w:r>
    </w:p>
    <w:p>
      <w:pPr>
        <w:spacing w:after="0" w:line="112"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w:t>
      </w:r>
    </w:p>
    <w:p>
      <w:pPr>
        <w:spacing w:after="0" w:line="112" w:lineRule="exact"/>
        <w:rPr>
          <w:rFonts w:ascii="Arial" w:cs="Arial" w:eastAsia="Arial" w:hAnsi="Arial"/>
          <w:sz w:val="18"/>
          <w:szCs w:val="18"/>
          <w:color w:val="auto"/>
        </w:rPr>
      </w:pPr>
    </w:p>
    <w:p>
      <w:pPr>
        <w:jc w:val="both"/>
        <w:ind w:left="640" w:hanging="553"/>
        <w:spacing w:after="0" w:line="25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the impacts and expected benefits and costs of the recently completed spin-off of Fortrea, including but not limited to factors that could adversely affect the Company's ability to realize the expected benefits of the spin-off, the failure of the spin-off to qualify as a tax-free transaction for U.S. federal income tax purposes, and potential exposure to unexpected claims, liabilities, or costs under the Company's agreements with Fortrea and/or otherwise in connection with the spin-off; and</w:t>
      </w:r>
    </w:p>
    <w:p>
      <w:pPr>
        <w:spacing w:after="0" w:line="86" w:lineRule="exact"/>
        <w:rPr>
          <w:rFonts w:ascii="Arial" w:cs="Arial" w:eastAsia="Arial" w:hAnsi="Arial"/>
          <w:sz w:val="18"/>
          <w:szCs w:val="18"/>
          <w:color w:val="auto"/>
        </w:rPr>
      </w:pPr>
    </w:p>
    <w:p>
      <w:pPr>
        <w:jc w:val="both"/>
        <w:ind w:left="640" w:hanging="553"/>
        <w:spacing w:after="0" w:line="25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duration, and severity of the ongoing COVID-19 pandemic, including the impact on operations, personnel, supplies, liquidity, and collections, as well as the impact of past or future actions or omissions by the Company or governments in response to the COVID-19 pandemic including, but not limited to, the end of the federal Public Health Emergency, and damage to the Company's reputation or loss of business resulting from the perception of the Company's response to the COVID-19 pandemic.</w:t>
      </w:r>
    </w:p>
    <w:p>
      <w:pPr>
        <w:spacing w:after="0" w:line="87" w:lineRule="exact"/>
        <w:rPr>
          <w:sz w:val="20"/>
          <w:szCs w:val="20"/>
          <w:color w:val="auto"/>
        </w:rPr>
      </w:pPr>
    </w:p>
    <w:p>
      <w:pPr>
        <w:ind w:firstLine="240"/>
        <w:spacing w:after="0" w:line="330" w:lineRule="auto"/>
        <w:rPr>
          <w:sz w:val="20"/>
          <w:szCs w:val="20"/>
          <w:color w:val="auto"/>
        </w:rPr>
      </w:pPr>
      <w:r>
        <w:rPr>
          <w:rFonts w:ascii="Arial" w:cs="Arial" w:eastAsia="Arial" w:hAnsi="Arial"/>
          <w:sz w:val="16"/>
          <w:szCs w:val="16"/>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(dollars in millions, except per share data)</w:t>
      </w:r>
    </w:p>
    <w:p>
      <w:pPr>
        <w:spacing w:after="0" w:line="14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Revenues for the nine months ended September 30, 2023, were $9,128.3, an increase of 2.2% from $8,934.2 during the nine months ended September 30, 2022. The increase was due to acquisitions, net of divestitures, of 1.8%, organic revenue of 0.3% and favorable foreign currency translation of 0.1%. The 0.3% increase in organic revenue was driven by a 10.0% increase in the company's organic Base Business, partially offset by a 9.6% decrease COVID-19 Testing. Base Business includes Labcorp's operations except for COVID-19 Testing.</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Company defines organic growth as the increase in revenue excluding the year-over-year impact of acquisitions, divestitures, and currency.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divestiture impact is considered for a twelve month period following the close of each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Fortrea Holdings Inc.</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June 30, 2023, Labcorp completed the previously announced separation of Fortrea from the Company.</w:t>
      </w:r>
    </w:p>
    <w:p>
      <w:pPr>
        <w:spacing w:after="0" w:line="126" w:lineRule="exact"/>
        <w:rPr>
          <w:sz w:val="20"/>
          <w:szCs w:val="20"/>
          <w:color w:val="auto"/>
        </w:rPr>
      </w:pPr>
    </w:p>
    <w:p>
      <w:pPr>
        <w:jc w:val="both"/>
        <w:ind w:firstLine="280"/>
        <w:spacing w:after="0" w:line="304" w:lineRule="auto"/>
        <w:rPr>
          <w:sz w:val="20"/>
          <w:szCs w:val="20"/>
          <w:color w:val="auto"/>
        </w:rPr>
      </w:pPr>
      <w:r>
        <w:rPr>
          <w:rFonts w:ascii="Arial" w:cs="Arial" w:eastAsia="Arial" w:hAnsi="Arial"/>
          <w:sz w:val="16"/>
          <w:szCs w:val="16"/>
          <w:color w:val="auto"/>
        </w:rPr>
        <w:t>The spin-off of Fortrea from Labcorp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w:t>
      </w:r>
    </w:p>
    <w:p>
      <w:pPr>
        <w:spacing w:after="0" w:line="61" w:lineRule="exact"/>
        <w:rPr>
          <w:sz w:val="20"/>
          <w:szCs w:val="20"/>
          <w:color w:val="auto"/>
        </w:rPr>
      </w:pPr>
    </w:p>
    <w:p>
      <w:pPr>
        <w:jc w:val="both"/>
        <w:ind w:firstLine="280"/>
        <w:spacing w:after="0" w:line="252" w:lineRule="auto"/>
        <w:rPr>
          <w:sz w:val="20"/>
          <w:szCs w:val="20"/>
          <w:color w:val="auto"/>
        </w:rPr>
      </w:pPr>
      <w:r>
        <w:rPr>
          <w:rFonts w:ascii="Arial" w:cs="Arial" w:eastAsia="Arial" w:hAnsi="Arial"/>
          <w:sz w:val="18"/>
          <w:szCs w:val="18"/>
          <w:color w:val="auto"/>
        </w:rPr>
        <w:t>In June 2023, Fortrea, prior to the Separation and while a subsidiary of the Company, issued $570.0 of 7.500% senior secured notes due 2030 (the Fortrea Notes). The proceeds from the Fortrea Notes were used to fund cash payments of approximately $1,600.0 to the Company in connection with the Separation. The Company does not guarantee the Fortrea Notes following the Separation. Also in June 2023, Fortrea Holdings Inc. entered into three floating secured overnight financing rate (SOFR) credit facilities totaling $1,520.0. These are comprised of $450.0 Revolver maturing June 30, 2028; $500.0 Term Loan A maturing June 30, 2028; and $570.0 Term Loan B maturing June 30, 2030.</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Upon closing of the spin transaction, Fortrea made a cash distribution to the Company of approximately $1,600.0 as partial consideration for the assets that the Company contributed to Fortrea in connection with the spin-off. The Company intends to use these proceeds toward a $1,000.0 accelerated share repurchase program and paying down $300.0 of debt maturing this year, with the remaining funds to be returned to shareholders through additional future share repurchases and/or cash dividends.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current and historical operating results of Fortrea are presented as Discontinued Operations, net of tax, in the consolidated statement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spin-off is expected to be treated as tax-free for the Company and its shareholders for U.S. federal income tax purposes.</w:t>
      </w:r>
    </w:p>
    <w:p>
      <w:pPr>
        <w:spacing w:after="0" w:line="115" w:lineRule="exact"/>
        <w:rPr>
          <w:sz w:val="20"/>
          <w:szCs w:val="20"/>
          <w:color w:val="auto"/>
        </w:rPr>
      </w:pPr>
    </w:p>
    <w:p>
      <w:pPr>
        <w:jc w:val="both"/>
        <w:ind w:firstLine="280"/>
        <w:spacing w:after="0" w:line="330" w:lineRule="auto"/>
        <w:rPr>
          <w:sz w:val="20"/>
          <w:szCs w:val="20"/>
          <w:color w:val="auto"/>
        </w:rPr>
      </w:pPr>
      <w:r>
        <w:rPr>
          <w:rFonts w:ascii="Arial" w:cs="Arial" w:eastAsia="Arial" w:hAnsi="Arial"/>
          <w:sz w:val="16"/>
          <w:szCs w:val="16"/>
          <w:color w:val="auto"/>
        </w:rPr>
        <w:t>As a result of the separation of Fortrea, the Company recast segment results to exclude the historical results of the CDCS business for all periods presented. The remaining operations of the previously reported Drug Development segment has been renamed the Biopharma Laboratory Services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(dollars in millions)</w:t>
      </w:r>
    </w:p>
    <w:p>
      <w:pPr>
        <w:spacing w:after="0" w:line="252" w:lineRule="exact"/>
        <w:rPr>
          <w:sz w:val="20"/>
          <w:szCs w:val="20"/>
          <w:color w:val="auto"/>
        </w:rPr>
      </w:pPr>
    </w:p>
    <w:p>
      <w:pPr>
        <w:ind w:right="4120"/>
        <w:spacing w:after="0" w:line="339" w:lineRule="auto"/>
        <w:rPr>
          <w:sz w:val="20"/>
          <w:szCs w:val="20"/>
          <w:color w:val="auto"/>
        </w:rPr>
      </w:pPr>
      <w:r>
        <w:rPr>
          <w:rFonts w:ascii="Arial" w:cs="Arial" w:eastAsia="Arial" w:hAnsi="Arial"/>
          <w:sz w:val="18"/>
          <w:szCs w:val="18"/>
          <w:b w:val="1"/>
          <w:bCs w:val="1"/>
          <w:i w:val="1"/>
          <w:iCs w:val="1"/>
          <w:color w:val="auto"/>
        </w:rPr>
        <w:t xml:space="preserve">Three months ended September 30, 2023, compared with three months ended September 30, 2022 </w:t>
      </w:r>
      <w:r>
        <w:rPr>
          <w:rFonts w:ascii="Arial" w:cs="Arial" w:eastAsia="Arial" w:hAnsi="Arial"/>
          <w:sz w:val="18"/>
          <w:szCs w:val="18"/>
          <w:b w:val="1"/>
          <w:bCs w:val="1"/>
          <w:u w:val="single" w:color="auto"/>
          <w:color w:val="auto"/>
        </w:rPr>
        <w:t>Revenues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596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8"/>
                <w:szCs w:val="18"/>
                <w:color w:val="auto"/>
              </w:rPr>
              <w:t>Three Months Ended September 30,</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3"/>
        </w:trPr>
        <w:tc>
          <w:tcPr>
            <w:tcW w:w="59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Change</w:t>
            </w:r>
          </w:p>
        </w:tc>
      </w:tr>
      <w:tr>
        <w:trPr>
          <w:trHeight w:val="22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w:t>
            </w:r>
          </w:p>
        </w:tc>
        <w:tc>
          <w:tcPr>
            <w:tcW w:w="18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1"/>
              </w:rPr>
              <w:t>6.2 %</w:t>
            </w:r>
          </w:p>
        </w:tc>
      </w:tr>
      <w:tr>
        <w:trPr>
          <w:trHeight w:val="226"/>
        </w:trPr>
        <w:tc>
          <w:tcPr>
            <w:tcW w:w="5960" w:type="dxa"/>
            <w:vAlign w:val="bottom"/>
          </w:tcPr>
          <w:p>
            <w:pPr>
              <w:spacing w:after="0"/>
              <w:rPr>
                <w:sz w:val="20"/>
                <w:szCs w:val="20"/>
                <w:color w:val="auto"/>
              </w:rPr>
            </w:pPr>
            <w:r>
              <w:rPr>
                <w:rFonts w:ascii="Arial" w:cs="Arial" w:eastAsia="Arial" w:hAnsi="Arial"/>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666.4</w:t>
            </w:r>
          </w:p>
        </w:tc>
        <w:tc>
          <w:tcPr>
            <w:tcW w:w="1880" w:type="dxa"/>
            <w:vAlign w:val="bottom"/>
            <w:gridSpan w:val="2"/>
          </w:tcPr>
          <w:p>
            <w:pPr>
              <w:ind w:left="1440"/>
              <w:spacing w:after="0"/>
              <w:rPr>
                <w:sz w:val="20"/>
                <w:szCs w:val="20"/>
                <w:color w:val="auto"/>
              </w:rPr>
            </w:pPr>
            <w:r>
              <w:rPr>
                <w:rFonts w:ascii="Arial" w:cs="Arial" w:eastAsia="Arial" w:hAnsi="Arial"/>
                <w:sz w:val="18"/>
                <w:szCs w:val="18"/>
                <w:color w:val="auto"/>
                <w:w w:val="91"/>
              </w:rPr>
              <w:t>7.9 %</w:t>
            </w:r>
          </w:p>
        </w:tc>
      </w:tr>
      <w:tr>
        <w:trPr>
          <w:trHeight w:val="22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1"/>
              </w:rPr>
              <w:t>2.8 %</w:t>
            </w:r>
          </w:p>
        </w:tc>
      </w:tr>
      <w:tr>
        <w:trPr>
          <w:trHeight w:val="221"/>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3,056.8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2,866.8</w:t>
            </w:r>
          </w:p>
        </w:tc>
        <w:tc>
          <w:tcPr>
            <w:tcW w:w="1880" w:type="dxa"/>
            <w:vAlign w:val="bottom"/>
            <w:gridSpan w:val="2"/>
          </w:tcPr>
          <w:p>
            <w:pPr>
              <w:ind w:left="1440"/>
              <w:spacing w:after="0"/>
              <w:rPr>
                <w:sz w:val="20"/>
                <w:szCs w:val="20"/>
                <w:color w:val="auto"/>
              </w:rPr>
            </w:pPr>
            <w:r>
              <w:rPr>
                <w:rFonts w:ascii="Arial" w:cs="Arial" w:eastAsia="Arial" w:hAnsi="Arial"/>
                <w:sz w:val="18"/>
                <w:szCs w:val="18"/>
                <w:color w:val="auto"/>
                <w:w w:val="91"/>
              </w:rPr>
              <w:t>6.6 %</w:t>
            </w:r>
          </w:p>
        </w:tc>
      </w:tr>
      <w:tr>
        <w:trPr>
          <w:trHeight w:val="20"/>
        </w:trPr>
        <w:tc>
          <w:tcPr>
            <w:tcW w:w="5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Total revenues for the three months ended September 30, 2023, were $3,056.8, an increase of 6.6% over $2,866.8 in the third quarter of 2022. The increase was due to an increase in organic revenue of 3.7%, acquisitions, net of divestitures, of 2.2%, and favorable foreign currency translation of 0.7%. The 3.7% increase in organic revenue was driven by a 10.1% increase in the company's organic Base Business, partially offset by a 6.3% decrease in COVID-19 PCR and antibody testing (COVID-19 Testing). Base Business includes Labcorp's operations except for COVID-19 Testing.</w:t>
      </w:r>
    </w:p>
    <w:p>
      <w:pPr>
        <w:spacing w:after="0" w:line="97"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Dx revenues for the three months ended September 30, 2023, were $2,344.7, an increase of 6.2% over $2,207.6 in the third quarter of 2022. The increase was due to organic revenue of 3.4% and acquisitions of 3.0%, partially offset by unfavorable foreign currency translation of 0.1%. The 3.4% increase in organic growth was due to an 11.6% increase in the Base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partially offset by a 8.2% decrease in COVID-19 Testing. Total Base Business growth compared to the Base Business in the prior year was 15.9%. The Ascension lab management agreement contributed approximately 6.0% of the Base Business growth.</w:t>
      </w:r>
    </w:p>
    <w:p>
      <w:pPr>
        <w:spacing w:after="0" w:line="99"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Dx total volume (measured by requisitions) for the three months ended September 30, 2023, increased by 2.3% as acquisition volume contributed 3.4%, while organic volume decreased by 1.1%. Organic volume was impacted by a 4.5% decrease in COVID-19 Testing, partially offset by a 3.4% increase in the Base Business. Price/mix increased by 3.9% due to organic Base Business growth of 8.2%, partially offset by a decrease in COVID-19 Testing of 3.7%, lower acquisitions of 0.4%, and an unfavorable currency translation of 0.1%. Base Business volume increased 7.2% compared to the Base Business last year. Price/mix was up 8.8% in the Base Business compared to the Base Business last year, which includes the benefit of the Ascension lab management agreement.</w:t>
      </w:r>
    </w:p>
    <w:p>
      <w:pPr>
        <w:spacing w:after="0" w:line="101"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BLS revenues for the three months ended September 30, 2023, were $719.1, an increase of 7.9% over $666.4 in the third quarter of 2022. The increase was primarily due to organic growth of 4.9% and favorable foreign currency translation of 3.3%, partially offset by an unfavorable impact of divestitures of 0.2%.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3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6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154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2,205.6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1,980.6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Cost of revenues as a % of revenues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Cost of revenues increased 11.4% during the three months ended September 30, 2023, as compared with the corresponding period in 2022. Cost of revenues as a percentage of revenues during the three months ended September 30, 2023, increased to 72.2% as compared to 69.1% in the corresponding period in 2022. This increase in cost of revenues as a percent of revenues was primarily due to a reduction in COVID-19 Testing revenues, partially offset by the impact of the Ascension lab management agreement.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3660" w:type="dxa"/>
            <w:vAlign w:val="bottom"/>
            <w:gridSpan w:val="6"/>
          </w:tcPr>
          <w:p>
            <w:pPr>
              <w:ind w:left="500"/>
              <w:spacing w:after="0"/>
              <w:rPr>
                <w:sz w:val="20"/>
                <w:szCs w:val="20"/>
                <w:color w:val="auto"/>
              </w:rPr>
            </w:pPr>
            <w:r>
              <w:rPr>
                <w:rFonts w:ascii="Arial" w:cs="Arial" w:eastAsia="Arial" w:hAnsi="Arial"/>
                <w:sz w:val="18"/>
                <w:szCs w:val="18"/>
                <w:color w:val="auto"/>
              </w:rPr>
              <w:t>Three Months Ended September 30,</w:t>
            </w: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8"/>
              </w:rPr>
              <w:t>525.5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453.2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 as a % of revenues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Selling, general and administrative expenses as a percentage of revenues was 17.2% and 15.8% during the three months ended September 30, 2023, and 2022, respectively. The increase is primarily due to a reduction in COVID-19 Testing revenues and spin-related costs, partially offset by the impact of the Ascension lab management agreement.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Amortization of Intangibles and Other Assets</w:t>
            </w: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3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346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Amortization of intangibles and other assets</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r>
    </w:tbl>
    <w:p>
      <w:pPr>
        <w:spacing w:after="0" w:line="134" w:lineRule="exact"/>
        <w:rPr>
          <w:sz w:val="20"/>
          <w:szCs w:val="20"/>
          <w:color w:val="auto"/>
        </w:rPr>
      </w:pPr>
    </w:p>
    <w:p>
      <w:pPr>
        <w:ind w:firstLine="280"/>
        <w:spacing w:after="0" w:line="267" w:lineRule="auto"/>
        <w:rPr>
          <w:sz w:val="20"/>
          <w:szCs w:val="20"/>
          <w:color w:val="auto"/>
        </w:rPr>
      </w:pPr>
      <w:r>
        <w:rPr>
          <w:rFonts w:ascii="Arial" w:cs="Arial" w:eastAsia="Arial" w:hAnsi="Arial"/>
          <w:sz w:val="18"/>
          <w:szCs w:val="18"/>
          <w:color w:val="auto"/>
        </w:rPr>
        <w:t>The increase in amortization of intangibles and other assets primarily reflects additional amortization for assets acquired subsequent to September 30,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Goodwill and Other Asset Impairments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3"/>
        </w:trPr>
        <w:tc>
          <w:tcPr>
            <w:tcW w:w="30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30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bl>
    <w:p>
      <w:pPr>
        <w:spacing w:after="0" w:line="201" w:lineRule="exact"/>
        <w:rPr>
          <w:sz w:val="20"/>
          <w:szCs w:val="20"/>
          <w:color w:val="auto"/>
        </w:rPr>
      </w:pPr>
    </w:p>
    <w:p>
      <w:pPr>
        <w:ind w:firstLine="280"/>
        <w:spacing w:after="0" w:line="330" w:lineRule="auto"/>
        <w:rPr>
          <w:sz w:val="20"/>
          <w:szCs w:val="20"/>
          <w:color w:val="auto"/>
        </w:rPr>
      </w:pPr>
      <w:r>
        <w:rPr>
          <w:rFonts w:ascii="Arial" w:cs="Arial" w:eastAsia="Arial" w:hAnsi="Arial"/>
          <w:sz w:val="16"/>
          <w:szCs w:val="16"/>
          <w:color w:val="auto"/>
        </w:rPr>
        <w:t>The Company recorded impairment charges of $10.2 in intangible assets during the three months ended September 30, 2023 primarily due to a license impairment related to the divestiture of a joint venture. The Company recorded no impairment charges during the three months ended 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Charges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25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bl>
    <w:p>
      <w:pPr>
        <w:spacing w:after="0" w:line="188" w:lineRule="exact"/>
        <w:rPr>
          <w:sz w:val="20"/>
          <w:szCs w:val="20"/>
          <w:color w:val="auto"/>
        </w:rPr>
      </w:pPr>
    </w:p>
    <w:p>
      <w:pPr>
        <w:ind w:firstLine="280"/>
        <w:spacing w:after="0" w:line="267" w:lineRule="auto"/>
        <w:rPr>
          <w:sz w:val="20"/>
          <w:szCs w:val="20"/>
          <w:color w:val="auto"/>
        </w:rPr>
      </w:pPr>
      <w:r>
        <w:rPr>
          <w:rFonts w:ascii="Arial" w:cs="Arial" w:eastAsia="Arial" w:hAnsi="Arial"/>
          <w:sz w:val="18"/>
          <w:szCs w:val="18"/>
          <w:color w:val="auto"/>
        </w:rPr>
        <w:t>During the three months ended September 30, 2023, the Company recorded net restructuring and other charges of $7.5. The charges were comprised of $11.2 related to severance and other personnel costs and $0.9 in facility closures, lease terminations,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and general integration activities. The charges were adjusted by the reversal of a previously established liability of $0.1 in unused severance liabilities and the reversal of a previously established liability of $4.5 in unused facility-related costs.</w:t>
      </w:r>
    </w:p>
    <w:p>
      <w:pPr>
        <w:spacing w:after="0" w:line="86"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During the three months ended September 30, 2022, the Company recorded net restructuring and other charges of $10.0. The charges were comprised of $2.8 related to severance and other personnel costs and $7.5 in facility closures, lease terminations, and general integration activities. The charges were adjusted by the reversal of a previously established liability of $0.3 in unused facility-related costs.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128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bl>
    <w:p>
      <w:pPr>
        <w:spacing w:after="0" w:line="121"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The increase in interest expense for the three months ended September 30, 2023, as compared with the corresponding period in 2022, is primarily due to the increased interest rates on variable rate debt and higher borrowings under the Credit Facility.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17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ind w:left="14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17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method income, net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r>
    </w:tbl>
    <w:p>
      <w:pPr>
        <w:spacing w:after="0" w:line="121" w:lineRule="exact"/>
        <w:rPr>
          <w:sz w:val="20"/>
          <w:szCs w:val="20"/>
          <w:color w:val="auto"/>
        </w:rPr>
      </w:pPr>
    </w:p>
    <w:p>
      <w:pPr>
        <w:jc w:val="both"/>
        <w:ind w:firstLine="294"/>
        <w:spacing w:after="0" w:line="257"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The decrease in income for the three months ended September 30, 2023, as compared with the corresponding period in 2022, was primarily due to the decreased profitability of the Company's joint ventures in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Other, net</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5"/>
          </w:tcPr>
          <w:p>
            <w:pPr>
              <w:ind w:left="160"/>
              <w:spacing w:after="0"/>
              <w:rPr>
                <w:sz w:val="20"/>
                <w:szCs w:val="20"/>
                <w:color w:val="auto"/>
              </w:rPr>
            </w:pPr>
            <w:r>
              <w:rPr>
                <w:rFonts w:ascii="Arial" w:cs="Arial" w:eastAsia="Arial" w:hAnsi="Arial"/>
                <w:sz w:val="18"/>
                <w:szCs w:val="18"/>
                <w:color w:val="auto"/>
              </w:rPr>
              <w:t>Three Months Ended September 30,</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r>
    </w:tbl>
    <w:p>
      <w:pPr>
        <w:spacing w:after="0" w:line="134" w:lineRule="exact"/>
        <w:rPr>
          <w:sz w:val="20"/>
          <w:szCs w:val="20"/>
          <w:color w:val="auto"/>
        </w:rPr>
      </w:pPr>
    </w:p>
    <w:p>
      <w:pPr>
        <w:jc w:val="both"/>
        <w:ind w:firstLine="286"/>
        <w:spacing w:after="0" w:line="291" w:lineRule="auto"/>
        <w:rPr>
          <w:sz w:val="20"/>
          <w:szCs w:val="20"/>
          <w:color w:val="auto"/>
        </w:rPr>
      </w:pPr>
      <w:r>
        <w:rPr>
          <w:rFonts w:ascii="Arial" w:cs="Arial" w:eastAsia="Arial" w:hAnsi="Arial"/>
          <w:sz w:val="16"/>
          <w:szCs w:val="16"/>
          <w:color w:val="auto"/>
        </w:rPr>
        <w:t>The change in Other, net for the three months ended September 30, 2023, as compared to the three months ended September 30, 2022, is primarily due to $22.7 of transition services fees charged to Fortrea related to administrative and IT systems support. The costs to provide these services are included in operating income but the service fees are included in other income. In addition, the Company recorded investment gains of $4.0 for the three months ended September 30, 2023 compared to investment losses of $5.2 for the corresponding period of 2022. Foreign currency transaction losses of $2.8 were recognized for the three months ended September 30, 2023, as compared to losses of $8.2 for the corresponding period of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660" w:type="dxa"/>
            <w:vAlign w:val="bottom"/>
            <w:gridSpan w:val="6"/>
          </w:tcPr>
          <w:p>
            <w:pPr>
              <w:ind w:left="500"/>
              <w:spacing w:after="0"/>
              <w:rPr>
                <w:sz w:val="20"/>
                <w:szCs w:val="20"/>
                <w:color w:val="auto"/>
              </w:rPr>
            </w:pPr>
            <w:r>
              <w:rPr>
                <w:rFonts w:ascii="Arial" w:cs="Arial" w:eastAsia="Arial" w:hAnsi="Arial"/>
                <w:sz w:val="18"/>
                <w:szCs w:val="18"/>
                <w:color w:val="auto"/>
              </w:rPr>
              <w:t>Three Months Ended September 30,</w:t>
            </w:r>
          </w:p>
        </w:tc>
        <w:tc>
          <w:tcPr>
            <w:tcW w:w="1540" w:type="dxa"/>
            <w:vAlign w:val="bottom"/>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12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Income tax expense as a % of earnings before income taxes</w:t>
            </w:r>
          </w:p>
        </w:tc>
        <w:tc>
          <w:tcPr>
            <w:tcW w:w="112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w w:val="89"/>
              </w:rPr>
              <w:t>23.1 %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8"/>
                <w:szCs w:val="18"/>
                <w:color w:val="auto"/>
                <w:w w:val="89"/>
              </w:rPr>
              <w:t>12.1 %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The current year effective tax rate differs from the U.S. federal statutory rate of 21.0% primarily due to state income taxes and the disallowance of certain executive compensation, which are partially offset by research and development tax credits and favorable foreign rate differentials. The prior year effective tax rate differed from the U.S. federal statutory rate of 21.0% primarily due to state income taxes, which were partially offset by windfall stock compensation deductions and favorable foreign rate differentials.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by Segment</w:t>
      </w:r>
    </w:p>
    <w:p>
      <w:pPr>
        <w:spacing w:after="0" w:line="132" w:lineRule="exact"/>
        <w:rPr>
          <w:sz w:val="20"/>
          <w:szCs w:val="20"/>
          <w:color w:val="auto"/>
        </w:rPr>
      </w:pPr>
    </w:p>
    <w:p>
      <w:pPr>
        <w:jc w:val="both"/>
        <w:ind w:firstLine="320"/>
        <w:spacing w:after="0" w:line="257" w:lineRule="auto"/>
        <w:rPr>
          <w:sz w:val="20"/>
          <w:szCs w:val="20"/>
          <w:color w:val="auto"/>
        </w:rPr>
      </w:pPr>
      <w:r>
        <w:rPr>
          <w:rFonts w:ascii="Arial" w:cs="Arial" w:eastAsia="Arial" w:hAnsi="Arial"/>
          <w:sz w:val="18"/>
          <w:szCs w:val="18"/>
          <w:color w:val="auto"/>
        </w:rPr>
        <w:t>As a result of the spin-off of Fortrea, which was completed on June 30, 2023, the Company recast the segment results to exclude the historical results of the CDCS business for all periods presented. The remaining operations of the previously reported Drug Development segment have been renamed the Biopharma Laboratory Services segment.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sz w:val="20"/>
                <w:szCs w:val="20"/>
                <w:color w:val="auto"/>
              </w:rPr>
            </w:pPr>
            <w:r>
              <w:rPr>
                <w:rFonts w:ascii="Arial" w:cs="Arial" w:eastAsia="Arial" w:hAnsi="Arial"/>
                <w:sz w:val="18"/>
                <w:szCs w:val="18"/>
                <w:color w:val="0000FF"/>
              </w:rPr>
              <w:t>INDEX</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946"/>
        </w:trPr>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gridSpan w:val="5"/>
          </w:tcPr>
          <w:p>
            <w:pPr>
              <w:ind w:left="200"/>
              <w:spacing w:after="0"/>
              <w:rPr>
                <w:sz w:val="20"/>
                <w:szCs w:val="20"/>
                <w:color w:val="auto"/>
              </w:rPr>
            </w:pPr>
            <w:r>
              <w:rPr>
                <w:rFonts w:ascii="Arial" w:cs="Arial" w:eastAsia="Arial" w:hAnsi="Arial"/>
                <w:sz w:val="18"/>
                <w:szCs w:val="18"/>
                <w:color w:val="auto"/>
              </w:rPr>
              <w:t>Three Months Ended September 30,</w:t>
            </w:r>
          </w:p>
        </w:tc>
        <w:tc>
          <w:tcPr>
            <w:tcW w:w="1380" w:type="dxa"/>
            <w:vAlign w:val="bottom"/>
          </w:tcPr>
          <w:p>
            <w:pPr>
              <w:spacing w:after="0"/>
              <w:rPr>
                <w:sz w:val="24"/>
                <w:szCs w:val="24"/>
                <w:color w:val="auto"/>
              </w:rPr>
            </w:pPr>
          </w:p>
        </w:tc>
      </w:tr>
      <w:tr>
        <w:trPr>
          <w:trHeight w:val="233"/>
        </w:trPr>
        <w:tc>
          <w:tcPr>
            <w:tcW w:w="320" w:type="dxa"/>
            <w:vAlign w:val="bottom"/>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7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Change</w:t>
            </w:r>
          </w:p>
        </w:tc>
      </w:tr>
      <w:tr>
        <w:trPr>
          <w:trHeight w:val="227"/>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Dx segment operating income</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439.8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6"/>
        </w:trPr>
        <w:tc>
          <w:tcPr>
            <w:tcW w:w="3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Dx segment operating margin</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16.5 %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19.9 %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(3.4)</w:t>
            </w:r>
          </w:p>
        </w:tc>
      </w:tr>
      <w:tr>
        <w:trPr>
          <w:trHeight w:val="227"/>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BLS segment operating income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6"/>
        </w:trPr>
        <w:tc>
          <w:tcPr>
            <w:tcW w:w="320" w:type="dxa"/>
            <w:vAlign w:val="bottom"/>
          </w:tcPr>
          <w:p>
            <w:pPr>
              <w:spacing w:after="0"/>
              <w:rPr>
                <w:sz w:val="19"/>
                <w:szCs w:val="19"/>
                <w:color w:val="auto"/>
              </w:rPr>
            </w:pPr>
          </w:p>
        </w:tc>
        <w:tc>
          <w:tcPr>
            <w:tcW w:w="5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BLS segment operating margin</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15.2 %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15.8 %</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(0.6)</w:t>
            </w:r>
          </w:p>
        </w:tc>
      </w:tr>
      <w:tr>
        <w:trPr>
          <w:trHeight w:val="221"/>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544.8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6"/>
        </w:trPr>
        <w:tc>
          <w:tcPr>
            <w:tcW w:w="3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General corporate and unallocated expenses</w:t>
            </w:r>
          </w:p>
        </w:tc>
        <w:tc>
          <w:tcPr>
            <w:tcW w:w="30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27"/>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6"/>
        </w:trPr>
        <w:tc>
          <w:tcPr>
            <w:tcW w:w="3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7"/>
        </w:trPr>
        <w:tc>
          <w:tcPr>
            <w:tcW w:w="3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1"/>
        </w:trPr>
        <w:tc>
          <w:tcPr>
            <w:tcW w:w="3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Total operating income</w:t>
            </w: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00" w:firstLine="280"/>
        <w:spacing w:after="0" w:line="273" w:lineRule="auto"/>
        <w:rPr>
          <w:sz w:val="20"/>
          <w:szCs w:val="20"/>
          <w:color w:val="auto"/>
        </w:rPr>
      </w:pPr>
      <w:r>
        <w:rPr>
          <w:rFonts w:ascii="Arial" w:cs="Arial" w:eastAsia="Arial" w:hAnsi="Arial"/>
          <w:sz w:val="17"/>
          <w:szCs w:val="17"/>
          <w:color w:val="auto"/>
        </w:rPr>
        <w:t>Dx operating income was $386.3 for the three months ended September 30, 2023, a decrease of $53.5 over operating income of $439.8 in the corresponding period of 2022, and Dx operating margin decreased 340 basis points year-over-year. The decrease in adjusted operating income was due to a reduction in COVID-19 Testing, while the margin was also affected by the mix impact from Ascension. Excluding the mix impact from Ascension, Base Business margin was up as the benefit of organic growth and Launchpad savings were partially offset by higher personnel expense.</w:t>
      </w:r>
    </w:p>
    <w:p>
      <w:pPr>
        <w:spacing w:after="0" w:line="83" w:lineRule="exact"/>
        <w:rPr>
          <w:sz w:val="20"/>
          <w:szCs w:val="20"/>
          <w:color w:val="auto"/>
        </w:rPr>
      </w:pPr>
    </w:p>
    <w:p>
      <w:pPr>
        <w:jc w:val="both"/>
        <w:ind w:right="100" w:firstLine="280"/>
        <w:spacing w:after="0" w:line="257" w:lineRule="auto"/>
        <w:rPr>
          <w:sz w:val="20"/>
          <w:szCs w:val="20"/>
          <w:color w:val="auto"/>
        </w:rPr>
      </w:pPr>
      <w:r>
        <w:rPr>
          <w:rFonts w:ascii="Arial" w:cs="Arial" w:eastAsia="Arial" w:hAnsi="Arial"/>
          <w:sz w:val="18"/>
          <w:szCs w:val="18"/>
          <w:color w:val="auto"/>
        </w:rPr>
        <w:t>BLS operating income was $109.0 for the three months ended September 30, 2023, an increase of $4.0 over operating income of $105.0 in the corresponding period of 2022. The increase was due to demand growth and LaunchPad savings, partially offset by higher personnel expense. The improvement in operating income and margin was impacted by the NHP-related constraints..</w:t>
      </w:r>
    </w:p>
    <w:p>
      <w:pPr>
        <w:spacing w:after="0" w:line="108" w:lineRule="exact"/>
        <w:rPr>
          <w:sz w:val="20"/>
          <w:szCs w:val="20"/>
          <w:color w:val="auto"/>
        </w:rPr>
      </w:pPr>
    </w:p>
    <w:p>
      <w:pPr>
        <w:jc w:val="both"/>
        <w:ind w:right="100" w:firstLine="280"/>
        <w:spacing w:after="0" w:line="253" w:lineRule="auto"/>
        <w:rPr>
          <w:sz w:val="20"/>
          <w:szCs w:val="20"/>
          <w:color w:val="auto"/>
        </w:rPr>
      </w:pPr>
      <w:r>
        <w:rPr>
          <w:rFonts w:ascii="Arial" w:cs="Arial" w:eastAsia="Arial" w:hAnsi="Arial"/>
          <w:sz w:val="18"/>
          <w:szCs w:val="18"/>
          <w:color w:val="auto"/>
        </w:rPr>
        <w:t>General corporate expenses are comprised primarily of administrative services such as executive management, human resources, legal, finance, corporate affairs, and information technology. Corporate expenses were $169.6 for the three months ended September 30, 2023, an increase of $57.8 over corporate expenses of $111.8 in the corresponding period of 2022, primarily due to spin-off transaction costs, personnel costs, bonus allocation, and research and development costs.</w:t>
      </w:r>
    </w:p>
    <w:p>
      <w:pPr>
        <w:spacing w:after="0" w:line="100" w:lineRule="exact"/>
        <w:rPr>
          <w:sz w:val="20"/>
          <w:szCs w:val="20"/>
          <w:color w:val="auto"/>
        </w:rPr>
      </w:pPr>
    </w:p>
    <w:p>
      <w:pPr>
        <w:ind w:left="280" w:right="1160"/>
        <w:spacing w:after="0" w:line="390" w:lineRule="auto"/>
        <w:rPr>
          <w:sz w:val="20"/>
          <w:szCs w:val="20"/>
          <w:color w:val="auto"/>
        </w:rPr>
      </w:pPr>
      <w:r>
        <w:rPr>
          <w:rFonts w:ascii="Arial" w:cs="Arial" w:eastAsia="Arial" w:hAnsi="Arial"/>
          <w:sz w:val="18"/>
          <w:szCs w:val="18"/>
          <w:color w:val="auto"/>
        </w:rPr>
        <w:t xml:space="preserve">The Company remains on track to deliver approximately $350.0 of net savings from its three-year LaunchPad initiative by the end of 2024. </w:t>
      </w:r>
      <w:r>
        <w:rPr>
          <w:rFonts w:ascii="Arial" w:cs="Arial" w:eastAsia="Arial" w:hAnsi="Arial"/>
          <w:sz w:val="18"/>
          <w:szCs w:val="18"/>
          <w:b w:val="1"/>
          <w:bCs w:val="1"/>
          <w:i w:val="1"/>
          <w:iCs w:val="1"/>
          <w:color w:val="auto"/>
        </w:rPr>
        <w:t>Nine Months Ended September 30, 2023, compared with nine months ended September 30, 2022</w:t>
      </w:r>
    </w:p>
    <w:tbl>
      <w:tblPr>
        <w:tblLayout w:type="fixed"/>
        <w:tblInd w:w="0" w:type="dxa"/>
        <w:tblCellMar>
          <w:top w:w="0" w:type="dxa"/>
          <w:left w:w="0" w:type="dxa"/>
          <w:bottom w:w="0" w:type="dxa"/>
          <w:right w:w="0" w:type="dxa"/>
        </w:tblCellMar>
      </w:tblPr>
      <w:tr>
        <w:trPr>
          <w:trHeight w:val="193"/>
        </w:trPr>
        <w:tc>
          <w:tcPr>
            <w:tcW w:w="6000" w:type="dxa"/>
            <w:vAlign w:val="bottom"/>
            <w:gridSpan w:val="3"/>
          </w:tcPr>
          <w:p>
            <w:pPr>
              <w:spacing w:after="0" w:line="193" w:lineRule="exact"/>
              <w:rPr>
                <w:sz w:val="20"/>
                <w:szCs w:val="20"/>
                <w:color w:val="auto"/>
              </w:rPr>
            </w:pPr>
            <w:r>
              <w:rPr>
                <w:rFonts w:ascii="Arial" w:cs="Arial" w:eastAsia="Arial" w:hAnsi="Arial"/>
                <w:sz w:val="18"/>
                <w:szCs w:val="18"/>
                <w:b w:val="1"/>
                <w:bCs w:val="1"/>
                <w:color w:val="auto"/>
              </w:rPr>
              <w:t>Revenues</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80"/>
        </w:trPr>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331"/>
              <w:spacing w:after="0"/>
              <w:rPr>
                <w:sz w:val="20"/>
                <w:szCs w:val="20"/>
                <w:color w:val="auto"/>
              </w:rPr>
            </w:pPr>
            <w:r>
              <w:rPr>
                <w:rFonts w:ascii="Arial" w:cs="Arial" w:eastAsia="Arial" w:hAnsi="Arial"/>
                <w:sz w:val="18"/>
                <w:szCs w:val="18"/>
                <w:color w:val="auto"/>
              </w:rPr>
              <w:t>Nine Months Ended September 30,</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3"/>
        </w:trPr>
        <w:tc>
          <w:tcPr>
            <w:tcW w:w="40" w:type="dxa"/>
            <w:vAlign w:val="bottom"/>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Change</w:t>
            </w:r>
          </w:p>
        </w:tc>
      </w:tr>
      <w:tr>
        <w:trPr>
          <w:trHeight w:val="227"/>
        </w:trPr>
        <w:tc>
          <w:tcPr>
            <w:tcW w:w="4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6"/>
        </w:trPr>
        <w:tc>
          <w:tcPr>
            <w:tcW w:w="4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2,079.4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2,048.5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27"/>
        </w:trPr>
        <w:tc>
          <w:tcPr>
            <w:tcW w:w="40" w:type="dxa"/>
            <w:vAlign w:val="bottom"/>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38.2 %</w:t>
            </w:r>
          </w:p>
        </w:tc>
      </w:tr>
      <w:tr>
        <w:trPr>
          <w:trHeight w:val="221"/>
        </w:trPr>
        <w:tc>
          <w:tcPr>
            <w:tcW w:w="4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9,128.3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right="100" w:firstLine="240"/>
        <w:spacing w:after="0" w:line="304" w:lineRule="auto"/>
        <w:rPr>
          <w:sz w:val="20"/>
          <w:szCs w:val="20"/>
          <w:color w:val="auto"/>
        </w:rPr>
      </w:pPr>
      <w:r>
        <w:rPr>
          <w:rFonts w:ascii="Arial" w:cs="Arial" w:eastAsia="Arial" w:hAnsi="Arial"/>
          <w:sz w:val="16"/>
          <w:szCs w:val="16"/>
          <w:color w:val="auto"/>
        </w:rPr>
        <w:t>The increase in revenues for the nine months ended September 30, 2023, as compared with the corresponding period in 2022 was 2.2%. The increase was due to acquisitions, net of divestitures, of 1.8%, organic revenue of 0.3% and favorable foreign currency translation of 0.1%. The 0.3% increase in organic revenue was driven by a 10.0% increase in the Company's organic Base Business, partially offset by a 9.6% decrease in COVID-19 Testing.</w:t>
      </w:r>
    </w:p>
    <w:p>
      <w:pPr>
        <w:spacing w:after="0" w:line="61" w:lineRule="exact"/>
        <w:rPr>
          <w:sz w:val="20"/>
          <w:szCs w:val="20"/>
          <w:color w:val="auto"/>
        </w:rPr>
      </w:pPr>
    </w:p>
    <w:p>
      <w:pPr>
        <w:jc w:val="both"/>
        <w:ind w:right="100" w:firstLine="240"/>
        <w:spacing w:after="0" w:line="295" w:lineRule="auto"/>
        <w:rPr>
          <w:sz w:val="20"/>
          <w:szCs w:val="20"/>
          <w:color w:val="auto"/>
        </w:rPr>
      </w:pPr>
      <w:r>
        <w:rPr>
          <w:rFonts w:ascii="Arial" w:cs="Arial" w:eastAsia="Arial" w:hAnsi="Arial"/>
          <w:sz w:val="16"/>
          <w:szCs w:val="16"/>
          <w:color w:val="auto"/>
        </w:rPr>
        <w:t>Dx revenues for the nine months ended September 30, 2023, were $7,068.3, an increase of 2.2% over $6,917.1 during the nine months ended September 30, 2022. The increase was due to acquisitions of 2.4%, partially offset by unfavorable foreign currency translation of 0.2%. Organic revenue was flat due to a 12.4% decrease in COVID-19 Testing, offset by a 12.4% increase in the Base Business. Total Base Business growth compared to the Base Business in the prior year was 17.1%, which includes the benefit from the Ascension lab management agreement of approximately 7%.</w:t>
      </w:r>
    </w:p>
    <w:p>
      <w:pPr>
        <w:spacing w:after="0" w:line="82" w:lineRule="exact"/>
        <w:rPr>
          <w:sz w:val="20"/>
          <w:szCs w:val="20"/>
          <w:color w:val="auto"/>
        </w:rPr>
      </w:pPr>
    </w:p>
    <w:p>
      <w:pPr>
        <w:jc w:val="both"/>
        <w:ind w:right="100" w:firstLine="240"/>
        <w:spacing w:after="0" w:line="291" w:lineRule="auto"/>
        <w:rPr>
          <w:sz w:val="20"/>
          <w:szCs w:val="20"/>
          <w:color w:val="auto"/>
        </w:rPr>
      </w:pPr>
      <w:r>
        <w:rPr>
          <w:rFonts w:ascii="Arial" w:cs="Arial" w:eastAsia="Arial" w:hAnsi="Arial"/>
          <w:sz w:val="16"/>
          <w:szCs w:val="16"/>
          <w:color w:val="auto"/>
        </w:rPr>
        <w:t>Dx total volume (measured by requisitions) for the nine months ended September 30, 2023 was flat as organic volume decreased by 2.6% and acquisition volume contributed 2.7%. Organic volume was impacted by a 7.9% decrease in COVID-19 Testing, partially offset by a 5.2% increase in Base Business. Price/mix increased by 2.1% due to organic Base Business growth of 7.2%, partially offset by a decrease in COVID-19 Testing of 4.6%, unfavorable foreign currency translation of 0.2%, and lower acquisitions of 0.3%. Base Business volume increased 8.7% compared to the Base Business last year. Price/mix was up 8.4% in the Base Business compared to the Base Business last year, which includes the benefit of the Ascension lab management agreement.</w:t>
      </w: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BLS revenues for the nine months ended September 30, 2023, were $2,079.4, an increase of 1.5% over $2,048.5 during the nine months ended September 30, 2022. The increase was primarily due to an organic growth of 0.8%, favorable foreign currency translation of 1.0%, and divestitures, net of acquisitions, of 0.3%. The decrease in organic revenue was negatively impacted by approximately 4.0% due to NHP related constraints. BLS backlog expected to convert to revenue in the next 12 months is $2,410.0 or 30.9%.</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3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6,584.8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6,023.4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Cost of revenues as a % of revenues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67.4 %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22" w:lineRule="exact"/>
        <w:rPr>
          <w:sz w:val="20"/>
          <w:szCs w:val="20"/>
          <w:color w:val="auto"/>
        </w:rPr>
      </w:pPr>
    </w:p>
    <w:p>
      <w:pPr>
        <w:jc w:val="both"/>
        <w:ind w:firstLine="280"/>
        <w:spacing w:after="0" w:line="295" w:lineRule="auto"/>
        <w:rPr>
          <w:sz w:val="20"/>
          <w:szCs w:val="20"/>
          <w:color w:val="auto"/>
        </w:rPr>
      </w:pPr>
      <w:r>
        <w:rPr>
          <w:rFonts w:ascii="Arial" w:cs="Arial" w:eastAsia="Arial" w:hAnsi="Arial"/>
          <w:sz w:val="16"/>
          <w:szCs w:val="16"/>
          <w:color w:val="auto"/>
        </w:rPr>
        <w:t>Cost of revenues increased 9.3% during the nine months ended September 30, 2023, as compared with the corresponding period in 2022. Cost of revenues as a percentage of revenues during the nine months ended September 30, 2023, increased to 72.1% as compared to 67.4% in the corresponding period in 2022. This increase in cost of revenues as a percent of revenues was primarily due to a reduction in COVID-19 Testing revenues, the impact of the Ascension Management Service Agreement, and higher personnel expenses, partially offset by organic Base Business growth and LaunchPad savings.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gridSpan w:val="5"/>
          </w:tcPr>
          <w:p>
            <w:pPr>
              <w:ind w:left="200"/>
              <w:spacing w:after="0"/>
              <w:rPr>
                <w:sz w:val="20"/>
                <w:szCs w:val="20"/>
                <w:color w:val="auto"/>
              </w:rPr>
            </w:pPr>
            <w:r>
              <w:rPr>
                <w:rFonts w:ascii="Arial" w:cs="Arial" w:eastAsia="Arial" w:hAnsi="Arial"/>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1,488.5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 as a % of revenues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22"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Selling, general and administrative expenses as a percentage of revenues were 16.3% and 14.6% during the nine months ended September 30, 2023, and 2022, respectively. The increase is primarily due to a reduction in COVID-19 Testing revenues and spin-related costs, partially offset by the impact of the Ascension lab management agreement.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Amortization of Intangibles and Other Assets</w:t>
            </w:r>
          </w:p>
        </w:tc>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3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346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Amortization of intangibles and other assets</w:t>
            </w: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121" w:lineRule="exact"/>
        <w:rPr>
          <w:sz w:val="20"/>
          <w:szCs w:val="20"/>
          <w:color w:val="auto"/>
        </w:rPr>
      </w:pPr>
    </w:p>
    <w:p>
      <w:pPr>
        <w:jc w:val="both"/>
        <w:ind w:firstLine="280"/>
        <w:spacing w:after="0" w:line="267" w:lineRule="auto"/>
        <w:rPr>
          <w:sz w:val="20"/>
          <w:szCs w:val="20"/>
          <w:color w:val="auto"/>
        </w:rPr>
      </w:pPr>
      <w:r>
        <w:rPr>
          <w:rFonts w:ascii="Arial" w:cs="Arial" w:eastAsia="Arial" w:hAnsi="Arial"/>
          <w:sz w:val="18"/>
          <w:szCs w:val="18"/>
          <w:color w:val="auto"/>
        </w:rPr>
        <w:t>The increase in amortization of intangibles and other assets primarily reflects additional amortization for assets acquired subsequent to September 30,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Goodwill and Other Asset Impairments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00"/>
        </w:trPr>
        <w:tc>
          <w:tcPr>
            <w:tcW w:w="30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30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1,158.5 %</w:t>
            </w:r>
          </w:p>
        </w:tc>
      </w:tr>
    </w:tbl>
    <w:p>
      <w:pPr>
        <w:spacing w:after="0" w:line="201"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The Company recorded impairment charges of $15.2 in licenses, capitalized software costs and other intangible assets during the nine months ended September 30, 2023. The Company recorded impairment charges of $1.2 in other assets in Ukraine and Russia during the nine months ended September 30,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Restructuring and Other Charges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25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bl>
    <w:p>
      <w:pPr>
        <w:spacing w:after="0" w:line="188"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During the nine months ended September 30, 2023, the Company recorded net restructuring and other charges of $30.8. The charges were comprised of $20.4 related to severance and other personnel costs and $14.0 in facility closures, lease terminations, and general integration activities. The charges were adjusted by the reversal of $1.1 of previously established severance liabilities and the increase of a previously established liability of $2.5 in unused facility-related costs.</w:t>
      </w:r>
    </w:p>
    <w:p>
      <w:pPr>
        <w:spacing w:after="0" w:line="100" w:lineRule="exact"/>
        <w:rPr>
          <w:sz w:val="20"/>
          <w:szCs w:val="20"/>
          <w:color w:val="auto"/>
        </w:rPr>
      </w:pPr>
    </w:p>
    <w:p>
      <w:pPr>
        <w:jc w:val="both"/>
        <w:ind w:firstLine="280"/>
        <w:spacing w:after="0" w:line="304" w:lineRule="auto"/>
        <w:rPr>
          <w:sz w:val="20"/>
          <w:szCs w:val="20"/>
          <w:color w:val="auto"/>
        </w:rPr>
      </w:pPr>
      <w:r>
        <w:rPr>
          <w:rFonts w:ascii="Arial" w:cs="Arial" w:eastAsia="Arial" w:hAnsi="Arial"/>
          <w:sz w:val="16"/>
          <w:szCs w:val="16"/>
          <w:color w:val="auto"/>
        </w:rPr>
        <w:t>During the nine months ended September 30, 2022, the Company recorded net restructuring and other charges of $45.0. The charges were comprised of $21.2 related to severance and other personnel costs and $25.1 in facility closures, lease terminations, and general integration activities. The charges were adjusted by the reversal of a previously established liability of $0.9 in unused severance costs and $0.4 in unused facility-related costs.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INDEX</w:t>
            </w:r>
          </w:p>
        </w:tc>
        <w:tc>
          <w:tcPr>
            <w:tcW w:w="56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60"/>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80"/>
        </w:trPr>
        <w:tc>
          <w:tcPr>
            <w:tcW w:w="5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r>
    </w:tbl>
    <w:p>
      <w:pPr>
        <w:spacing w:after="0" w:line="13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The increase in interest expense for the nine months ended September 30, 2023, as compared with the corresponding period in 2022, is primarily due to the increased interest rates on variable rate debt and higher borrowings under the Credit Facility.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17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17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method income, net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r>
    </w:tbl>
    <w:p>
      <w:pPr>
        <w:spacing w:after="0" w:line="134" w:lineRule="exact"/>
        <w:rPr>
          <w:sz w:val="20"/>
          <w:szCs w:val="20"/>
          <w:color w:val="auto"/>
        </w:rPr>
      </w:pPr>
    </w:p>
    <w:p>
      <w:pPr>
        <w:jc w:val="both"/>
        <w:ind w:firstLine="294"/>
        <w:spacing w:after="0" w:line="257"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The decrease in income for the nine months ended September 30, 2023, as compared with the corresponding period in 2022, was primarily due to the decreased profitability of the Company's joint ventures in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Other, net</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760" w:type="dxa"/>
            <w:vAlign w:val="bottom"/>
            <w:tcBorders>
              <w:top w:val="single" w:sz="8" w:color="auto"/>
            </w:tcBorders>
          </w:tcPr>
          <w:p>
            <w:pPr>
              <w:spacing w:after="0"/>
              <w:rPr>
                <w:sz w:val="24"/>
                <w:szCs w:val="24"/>
                <w:color w:val="auto"/>
              </w:rPr>
            </w:pPr>
          </w:p>
        </w:tc>
        <w:tc>
          <w:tcPr>
            <w:tcW w:w="5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rPr>
              <w:t>Nine Months Ended September 30,</w:t>
            </w: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r>
    </w:tbl>
    <w:p>
      <w:pPr>
        <w:spacing w:after="0" w:line="68" w:lineRule="exact"/>
        <w:rPr>
          <w:sz w:val="20"/>
          <w:szCs w:val="20"/>
          <w:color w:val="auto"/>
        </w:rPr>
      </w:pPr>
    </w:p>
    <w:p>
      <w:pPr>
        <w:jc w:val="both"/>
        <w:ind w:firstLine="290"/>
        <w:spacing w:after="0" w:line="291" w:lineRule="auto"/>
        <w:rPr>
          <w:sz w:val="20"/>
          <w:szCs w:val="20"/>
          <w:color w:val="auto"/>
        </w:rPr>
      </w:pPr>
      <w:r>
        <w:rPr>
          <w:rFonts w:ascii="Arial" w:cs="Arial" w:eastAsia="Arial" w:hAnsi="Arial"/>
          <w:sz w:val="16"/>
          <w:szCs w:val="16"/>
          <w:color w:val="auto"/>
        </w:rPr>
        <w:t>The change in Other, net for the nine months ended September 30, 2023, as compared to the nine months ended September 30, 2022, is primarily due to $22.7 of transition services fees charged to Fortrea related to administrative and IT systems support. The costs to provide these services are included in operating income but the service fees are included in other income. In addition, investment losses of $1.6 for the three months ended September 30, 2023 compared to investment losses of $19.4 for the corresponding period of 2022. Foreign currency transaction losses of $15.0 were recognized for the nine months ended September 30, 2023, as compared to losses of $39.3 for the corresponding period of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660" w:type="dxa"/>
            <w:vAlign w:val="bottom"/>
            <w:gridSpan w:val="6"/>
          </w:tcPr>
          <w:p>
            <w:pPr>
              <w:ind w:left="520"/>
              <w:spacing w:after="0"/>
              <w:rPr>
                <w:sz w:val="20"/>
                <w:szCs w:val="20"/>
                <w:color w:val="auto"/>
              </w:rPr>
            </w:pPr>
            <w:r>
              <w:rPr>
                <w:rFonts w:ascii="Arial" w:cs="Arial" w:eastAsia="Arial" w:hAnsi="Arial"/>
                <w:sz w:val="18"/>
                <w:szCs w:val="18"/>
                <w:color w:val="auto"/>
              </w:rPr>
              <w:t>Nine Months Ended September 30,</w:t>
            </w:r>
          </w:p>
        </w:tc>
        <w:tc>
          <w:tcPr>
            <w:tcW w:w="1540" w:type="dxa"/>
            <w:vAlign w:val="bottom"/>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8"/>
              </w:rPr>
              <w:t>168.8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260.8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Income tax expense as a % of earnings before income taxes</w:t>
            </w: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22"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The current year effective tax rate differs from the U.S. federal statutory rate of 21.0% primarily due to state income taxes and the disallowance of certain executive compensation which are partially offset by research and development tax credits and favorable foreign rate differentials. The prior year effective tax rate differed from the U.S. federal statutory rate of 21.0% primarily due to state income taxes, which were partially offset by windfall stock compensation deductions and favorable foreign rate differentials.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by Segment</w:t>
      </w:r>
    </w:p>
    <w:p>
      <w:pPr>
        <w:spacing w:after="0" w:line="13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remaining unallocated costs of the CDCS business, COVID-19-related costs, and other special items. These changes align with how the CODM now evaluates segment performance and allocates resources. Prior periods have been conformed for comparability.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240" w:type="dxa"/>
            <w:vAlign w:val="bottom"/>
            <w:gridSpan w:val="3"/>
          </w:tcPr>
          <w:p>
            <w:pPr>
              <w:spacing w:after="0"/>
              <w:rPr>
                <w:sz w:val="20"/>
                <w:szCs w:val="20"/>
                <w:color w:val="auto"/>
              </w:rPr>
            </w:pPr>
            <w:r>
              <w:rPr>
                <w:rFonts w:ascii="Arial" w:cs="Arial" w:eastAsia="Arial" w:hAnsi="Arial"/>
                <w:sz w:val="18"/>
                <w:szCs w:val="18"/>
                <w:color w:val="0000FF"/>
              </w:rPr>
              <w:t>INDEX</w:t>
            </w: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946"/>
        </w:trPr>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gridSpan w:val="5"/>
          </w:tcPr>
          <w:p>
            <w:pPr>
              <w:ind w:left="220"/>
              <w:spacing w:after="0"/>
              <w:rPr>
                <w:sz w:val="20"/>
                <w:szCs w:val="20"/>
                <w:color w:val="auto"/>
              </w:rPr>
            </w:pPr>
            <w:r>
              <w:rPr>
                <w:rFonts w:ascii="Arial" w:cs="Arial" w:eastAsia="Arial" w:hAnsi="Arial"/>
                <w:sz w:val="18"/>
                <w:szCs w:val="18"/>
                <w:color w:val="auto"/>
              </w:rPr>
              <w:t>Nine Months Ended September 30,</w:t>
            </w:r>
          </w:p>
        </w:tc>
        <w:tc>
          <w:tcPr>
            <w:tcW w:w="1400" w:type="dxa"/>
            <w:vAlign w:val="bottom"/>
          </w:tcPr>
          <w:p>
            <w:pPr>
              <w:spacing w:after="0"/>
              <w:rPr>
                <w:sz w:val="24"/>
                <w:szCs w:val="24"/>
                <w:color w:val="auto"/>
              </w:rPr>
            </w:pPr>
          </w:p>
        </w:tc>
      </w:tr>
      <w:tr>
        <w:trPr>
          <w:trHeight w:val="233"/>
        </w:trPr>
        <w:tc>
          <w:tcPr>
            <w:tcW w:w="320" w:type="dxa"/>
            <w:vAlign w:val="bottom"/>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6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Change</w:t>
            </w:r>
          </w:p>
        </w:tc>
      </w:tr>
      <w:tr>
        <w:trPr>
          <w:trHeight w:val="227"/>
        </w:trPr>
        <w:tc>
          <w:tcPr>
            <w:tcW w:w="32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Dx segment operating income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1,237.5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6"/>
        </w:trPr>
        <w:tc>
          <w:tcPr>
            <w:tcW w:w="32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Dx segment operating margin</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17.5 %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23.7 %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(6.2)</w:t>
            </w:r>
          </w:p>
        </w:tc>
      </w:tr>
      <w:tr>
        <w:trPr>
          <w:trHeight w:val="227"/>
        </w:trPr>
        <w:tc>
          <w:tcPr>
            <w:tcW w:w="32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BLS segment operating income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287.2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6"/>
        </w:trPr>
        <w:tc>
          <w:tcPr>
            <w:tcW w:w="320" w:type="dxa"/>
            <w:vAlign w:val="bottom"/>
          </w:tcPr>
          <w:p>
            <w:pPr>
              <w:spacing w:after="0"/>
              <w:rPr>
                <w:sz w:val="19"/>
                <w:szCs w:val="19"/>
                <w:color w:val="auto"/>
              </w:rPr>
            </w:pPr>
          </w:p>
        </w:tc>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BLS segment operating margin</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13.8 %</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14.3 %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(0.5)</w:t>
            </w:r>
          </w:p>
        </w:tc>
      </w:tr>
      <w:tr>
        <w:trPr>
          <w:trHeight w:val="221"/>
        </w:trPr>
        <w:tc>
          <w:tcPr>
            <w:tcW w:w="32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1,524.7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1,932.4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6"/>
        </w:trPr>
        <w:tc>
          <w:tcPr>
            <w:tcW w:w="32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General corporate and unallocated expenses</w:t>
            </w:r>
          </w:p>
        </w:tc>
        <w:tc>
          <w:tcPr>
            <w:tcW w:w="340" w:type="dxa"/>
            <w:vAlign w:val="bottom"/>
          </w:tcPr>
          <w:p>
            <w:pPr>
              <w:spacing w:after="0"/>
              <w:rPr>
                <w:sz w:val="19"/>
                <w:szCs w:val="19"/>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(469.7)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7"/>
        </w:trPr>
        <w:tc>
          <w:tcPr>
            <w:tcW w:w="32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6"/>
        </w:trPr>
        <w:tc>
          <w:tcPr>
            <w:tcW w:w="32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Pr>
          <w:p>
            <w:pPr>
              <w:spacing w:after="0"/>
              <w:rPr>
                <w:sz w:val="19"/>
                <w:szCs w:val="19"/>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7"/>
        </w:trPr>
        <w:tc>
          <w:tcPr>
            <w:tcW w:w="320" w:type="dxa"/>
            <w:vAlign w:val="bottom"/>
          </w:tcPr>
          <w:p>
            <w:pPr>
              <w:spacing w:after="0"/>
              <w:rPr>
                <w:sz w:val="19"/>
                <w:szCs w:val="19"/>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r>
      <w:tr>
        <w:trPr>
          <w:trHeight w:val="221"/>
        </w:trPr>
        <w:tc>
          <w:tcPr>
            <w:tcW w:w="320" w:type="dxa"/>
            <w:vAlign w:val="bottom"/>
          </w:tcPr>
          <w:p>
            <w:pPr>
              <w:spacing w:after="0"/>
              <w:rPr>
                <w:sz w:val="19"/>
                <w:szCs w:val="19"/>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Total operating income</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00" w:firstLine="280"/>
        <w:spacing w:after="0" w:line="304" w:lineRule="auto"/>
        <w:rPr>
          <w:sz w:val="20"/>
          <w:szCs w:val="20"/>
          <w:color w:val="auto"/>
        </w:rPr>
      </w:pPr>
      <w:r>
        <w:rPr>
          <w:rFonts w:ascii="Arial" w:cs="Arial" w:eastAsia="Arial" w:hAnsi="Arial"/>
          <w:sz w:val="16"/>
          <w:szCs w:val="16"/>
          <w:color w:val="auto"/>
        </w:rPr>
        <w:t>Dx operating income was $1,237.5 for the nine months ended September 30, 2023, a decrease of $401.0 over operating income of $1,638.5 in the corresponding period of 2022, and Dx operating margin decreased 620 basis points year-over-year. The decrease was due to a reduction in COVID-19 Testing, the impact of the Ascension lab management agreement and higher personnel costs, partially offset by a recovery in the Base Business.</w:t>
      </w:r>
    </w:p>
    <w:p>
      <w:pPr>
        <w:spacing w:after="0" w:line="61" w:lineRule="exact"/>
        <w:rPr>
          <w:sz w:val="20"/>
          <w:szCs w:val="20"/>
          <w:color w:val="auto"/>
        </w:rPr>
      </w:pPr>
    </w:p>
    <w:p>
      <w:pPr>
        <w:jc w:val="both"/>
        <w:ind w:right="100" w:firstLine="280"/>
        <w:spacing w:after="0" w:line="257" w:lineRule="auto"/>
        <w:rPr>
          <w:sz w:val="20"/>
          <w:szCs w:val="20"/>
          <w:color w:val="auto"/>
        </w:rPr>
      </w:pPr>
      <w:r>
        <w:rPr>
          <w:rFonts w:ascii="Arial" w:cs="Arial" w:eastAsia="Arial" w:hAnsi="Arial"/>
          <w:sz w:val="18"/>
          <w:szCs w:val="18"/>
          <w:color w:val="auto"/>
        </w:rPr>
        <w:t>BLS operating income was $287.2 for the nine months ended September 30, 2023, a decrease of $6.7 over operating income of $293.9 in the corresponding period of 2022. The decrease was due to NHP-related constraints and higher personnel costs, and stranded costs as a result of the Fortrea spin, partially offset by demand growth and LaunchPad savings.</w:t>
      </w:r>
    </w:p>
    <w:p>
      <w:pPr>
        <w:spacing w:after="0" w:line="108" w:lineRule="exact"/>
        <w:rPr>
          <w:sz w:val="20"/>
          <w:szCs w:val="20"/>
          <w:color w:val="auto"/>
        </w:rPr>
      </w:pPr>
    </w:p>
    <w:p>
      <w:pPr>
        <w:jc w:val="both"/>
        <w:ind w:right="100" w:firstLine="280"/>
        <w:spacing w:after="0" w:line="253" w:lineRule="auto"/>
        <w:rPr>
          <w:sz w:val="20"/>
          <w:szCs w:val="20"/>
          <w:color w:val="auto"/>
        </w:rPr>
      </w:pPr>
      <w:r>
        <w:rPr>
          <w:rFonts w:ascii="Arial" w:cs="Arial" w:eastAsia="Arial" w:hAnsi="Arial"/>
          <w:sz w:val="18"/>
          <w:szCs w:val="18"/>
          <w:color w:val="auto"/>
        </w:rPr>
        <w:t>General corporate expenses are comprised primarily of administrative services such as executive management, human resources, legal, finance, corporate affairs, and information technology. Corporate expenses were $469.7 for the nine months ended September 30, 2023, an increase of $140.5 over corporate expenses of $329.2 in the corresponding period of 2022, primarily due to spin-off transaction costs, personnel costs, bonus allocation, and research and development costs.</w:t>
      </w:r>
    </w:p>
    <w:p>
      <w:pPr>
        <w:spacing w:after="0" w:line="100" w:lineRule="exact"/>
        <w:rPr>
          <w:sz w:val="20"/>
          <w:szCs w:val="20"/>
          <w:color w:val="auto"/>
        </w:rPr>
      </w:pPr>
    </w:p>
    <w:p>
      <w:pPr>
        <w:ind w:left="240" w:right="1160" w:firstLine="40"/>
        <w:spacing w:after="0" w:line="394" w:lineRule="auto"/>
        <w:rPr>
          <w:sz w:val="20"/>
          <w:szCs w:val="20"/>
          <w:color w:val="auto"/>
        </w:rPr>
      </w:pPr>
      <w:r>
        <w:rPr>
          <w:rFonts w:ascii="Arial" w:cs="Arial" w:eastAsia="Arial" w:hAnsi="Arial"/>
          <w:sz w:val="18"/>
          <w:szCs w:val="18"/>
          <w:color w:val="auto"/>
        </w:rPr>
        <w:t xml:space="preserve">The Company remains on track to deliver approximately $350.0 of net savings from its three-year LaunchPad initiative by the end of 2024. </w:t>
      </w:r>
      <w:r>
        <w:rPr>
          <w:rFonts w:ascii="Arial" w:cs="Arial" w:eastAsia="Arial" w:hAnsi="Arial"/>
          <w:sz w:val="18"/>
          <w:szCs w:val="18"/>
          <w:b w:val="1"/>
          <w:bCs w:val="1"/>
          <w:u w:val="single" w:color="auto"/>
          <w:color w:val="auto"/>
        </w:rPr>
        <w:t>LIQUIDITY AND CAPITAL RESOURCES (dollars and shares in millions)</w:t>
      </w:r>
    </w:p>
    <w:p>
      <w:pPr>
        <w:jc w:val="both"/>
        <w:ind w:right="100" w:firstLine="280"/>
        <w:spacing w:after="0" w:line="252" w:lineRule="auto"/>
        <w:rPr>
          <w:sz w:val="20"/>
          <w:szCs w:val="20"/>
          <w:color w:val="auto"/>
        </w:rPr>
      </w:pPr>
      <w:r>
        <w:rPr>
          <w:rFonts w:ascii="Arial" w:cs="Arial" w:eastAsia="Arial" w:hAnsi="Arial"/>
          <w:sz w:val="18"/>
          <w:szCs w:val="18"/>
          <w:color w:val="auto"/>
        </w:rPr>
        <w:t>The Company's cash-generating ability and financial condition typically have provided ready access to capital markets. The Company's principal source of liquidity is operating cash flow, supplemented by proceeds from debt offerings. The Company believes that its balances of cash and cash equivalents and borrowing capacity, along with cash generated from operations, will be sufficient to satisfy its cash requirements, cash dividends, and share repurchases over the next twelve months and beyond. The Company's senior unsecured revolving credit facility is further discussed in Note 7 (Debt) to the Company's condensed consolidated financial statements.</w:t>
      </w:r>
    </w:p>
    <w:p>
      <w:pPr>
        <w:spacing w:after="0" w:line="99" w:lineRule="exact"/>
        <w:rPr>
          <w:sz w:val="20"/>
          <w:szCs w:val="20"/>
          <w:color w:val="auto"/>
        </w:rPr>
      </w:pPr>
    </w:p>
    <w:p>
      <w:pPr>
        <w:jc w:val="both"/>
        <w:ind w:right="100" w:firstLine="240"/>
        <w:spacing w:after="0" w:line="267" w:lineRule="auto"/>
        <w:rPr>
          <w:sz w:val="20"/>
          <w:szCs w:val="20"/>
          <w:color w:val="auto"/>
        </w:rPr>
      </w:pPr>
      <w:r>
        <w:rPr>
          <w:rFonts w:ascii="Arial" w:cs="Arial" w:eastAsia="Arial" w:hAnsi="Arial"/>
          <w:sz w:val="18"/>
          <w:szCs w:val="18"/>
          <w:color w:val="auto"/>
        </w:rPr>
        <w:t>In summary, the Company's cash flows from continuing operations were as follows for the nine months ended September 30, 2023, and 2022, respectively:</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7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8"/>
                <w:szCs w:val="18"/>
                <w:color w:val="auto"/>
                <w:w w:val="93"/>
              </w:rPr>
              <w:t>Nine Months Ended September 30,</w:t>
            </w:r>
          </w:p>
        </w:tc>
      </w:tr>
      <w:tr>
        <w:trPr>
          <w:trHeight w:val="233"/>
        </w:trPr>
        <w:tc>
          <w:tcPr>
            <w:tcW w:w="7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r>
      <w:tr>
        <w:trPr>
          <w:trHeight w:val="227"/>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w:t>
            </w:r>
          </w:p>
        </w:tc>
      </w:tr>
      <w:tr>
        <w:trPr>
          <w:trHeight w:val="226"/>
        </w:trPr>
        <w:tc>
          <w:tcPr>
            <w:tcW w:w="7800" w:type="dxa"/>
            <w:vAlign w:val="bottom"/>
          </w:tcPr>
          <w:p>
            <w:pPr>
              <w:spacing w:after="0"/>
              <w:rPr>
                <w:sz w:val="20"/>
                <w:szCs w:val="20"/>
                <w:color w:val="auto"/>
              </w:rPr>
            </w:pPr>
            <w:r>
              <w:rPr>
                <w:rFonts w:ascii="Arial" w:cs="Arial" w:eastAsia="Arial" w:hAnsi="Arial"/>
                <w:sz w:val="18"/>
                <w:szCs w:val="18"/>
                <w:color w:val="auto"/>
              </w:rPr>
              <w:t>Net cash used for investing activities from continuing operations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(1,345.1)</w:t>
            </w:r>
          </w:p>
        </w:tc>
      </w:tr>
      <w:tr>
        <w:trPr>
          <w:trHeight w:val="227"/>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 from continuing operations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r>
      <w:tr>
        <w:trPr>
          <w:trHeight w:val="226"/>
        </w:trPr>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4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 from continuing operations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60" w:lineRule="exact"/>
        <w:rPr>
          <w:sz w:val="20"/>
          <w:szCs w:val="20"/>
          <w:color w:val="auto"/>
        </w:rPr>
      </w:pPr>
    </w:p>
    <w:p>
      <w:pPr>
        <w:jc w:val="both"/>
        <w:ind w:right="100" w:firstLine="240"/>
        <w:spacing w:after="0" w:line="330" w:lineRule="auto"/>
        <w:rPr>
          <w:sz w:val="20"/>
          <w:szCs w:val="20"/>
          <w:color w:val="auto"/>
        </w:rPr>
      </w:pPr>
      <w:r>
        <w:rPr>
          <w:rFonts w:ascii="Arial" w:cs="Arial" w:eastAsia="Arial" w:hAnsi="Arial"/>
          <w:sz w:val="16"/>
          <w:szCs w:val="16"/>
          <w:color w:val="auto"/>
        </w:rPr>
        <w:t>Cash and cash equivalents at September 30, 2023, and 2022, totaled $727.9 and $304.9, respectively. Cash and cash equivalents consist of highly liquid instruments, such as time deposits, commercial paper, and other money market investments, which have original maturities of three months or less.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60" w:lineRule="exact"/>
        <w:rPr>
          <w:sz w:val="20"/>
          <w:szCs w:val="20"/>
          <w:color w:val="auto"/>
        </w:rPr>
      </w:pPr>
    </w:p>
    <w:p>
      <w:pPr>
        <w:jc w:val="both"/>
        <w:ind w:right="100" w:firstLine="280"/>
        <w:spacing w:after="0" w:line="304" w:lineRule="auto"/>
        <w:rPr>
          <w:sz w:val="20"/>
          <w:szCs w:val="20"/>
          <w:color w:val="auto"/>
        </w:rPr>
      </w:pPr>
      <w:r>
        <w:rPr>
          <w:rFonts w:ascii="Arial" w:cs="Arial" w:eastAsia="Arial" w:hAnsi="Arial"/>
          <w:sz w:val="16"/>
          <w:szCs w:val="16"/>
          <w:color w:val="auto"/>
        </w:rPr>
        <w:t>During the nine months ended September 30, 2023, the Company's continuing operations provided $622.7 of cash as compared to $1,157.6 during the same period in 2022. The $534.9 decrease in cash provided from operations in 2023 as compared with the corresponding 2022 period is primarily due to lower COVID-19 Testing earnings, spin-related items, and higher working capital, partially offset by increased Base Business earnings.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60"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Net cash used for investing activities from continuing operations for the nine months ended September 30, 2023, was $816.2 as compared to $1,345.1 for the nine months ended September 30, 2022. The change in cash used for investing activities was primarily due to a decrease in business acquisitions and lower capital expenditures during the nine months ended September 30, 2023. Capital expenditures were $286.4 and $330.2 for the nine months ended September 30, 2023, and 2022,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60"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4"/>
          <w:szCs w:val="14"/>
          <w:color w:val="auto"/>
        </w:rPr>
        <w:t>Net cash used by financing activities from continuing operations for the nine months ended September 30, 2023, was $1,112.5 as compared to $949.6 for the nine months ended September 30, 2022. The change in cash flows from financing activities from continuing operations for the nine months ended September 30, 2023, as compared to the nine months ended September 30, 2022, was primarily due to an increase in share repurchase activity during the nine months ended September 30, 2023, due to the ASR, as compared to $800.0 during the corresponding period in 2022. Upon closing of the spin transaction, Fortrea made a cash distribution to the Company of approximately $1,600.0 as partial consideration for the assets that the Company contributed to Fortrea in connection with the spin-off. The Company used $1000.0 of the proceeds to make an aggregate payment under two accelerated share repurchase agreements (as described in more detail below) and intends to use additional proceeds to pay down debt of approximately $300.0 maturing this year.</w:t>
      </w:r>
    </w:p>
    <w:p>
      <w:pPr>
        <w:spacing w:after="0" w:line="62"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18"/>
          <w:szCs w:val="18"/>
          <w:color w:val="auto"/>
        </w:rPr>
        <w:t>At September 30, 2023, the Company had $727.9 of cash and $910.0 of available borrowings under its revolving credit facility, which does not mature until 2026. 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revolving credit facility at September 30, 2023, and expects that it will remain in compliance with its existing debt covenants for the next twelve months.</w:t>
      </w:r>
    </w:p>
    <w:p>
      <w:pPr>
        <w:spacing w:after="0" w:line="99"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August 8, 2023, the Company entered into accelerated share repurchase agreements (collectively, the ASR Agreements) with two different banks, Goldman Sachs &amp; Co. LLC and Morgan Stanley &amp; Co. LLC (collectively, the Financial Institutions), to repurchase approximately $1,000.0 in the aggregate of the Company’s common stock (Common Stock), as part of the Company’s Common Stock repurchase program. The remaining repurchase authorization has no expiration date.</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Under the ASR Agreements, the Company made an aggregate payment of $1,000.0 to the Financial Institutions and received an aggregate initial number of approximately 3.7 shares of Common Stock from the Financial Institutions, which were removed from the outstanding share count in connection with entering into the ASR Agreements. The 3.7 shares reflects the 80% of the shares that would ultimately be repurchased under the ASR Agreements if the price of the Common Stock established in the ASR Agreement as the inception of the ASR Agreements remains constant. The specific number of shares that the Company ultimately will repurchase under the ASR Agreements will be based generally on the average of the daily volume-weighted average price per share of the Common Stock during a repurchase period, less a discount and subject to adjustments pursuant to the terms and conditions of the ASR Agreements. At settlement, under certain circumstances, the Financial Institutions may be required to deliver additional shares of Common Stock to the Company, or the Company may be required, at its election, either to make cash payments or deliver shares of Common Stock to the Financial Institutions. The ASR Agreements contain provisions customary for agreements of this type, including provisions for adjustments to the transaction terms, the circumstances generally under which the ASR Agreements may be accelerated, extended or terminated early by the Financial Institutions and various acknowledgments, representations and warranties made by the parties to one another. Repurchases and settlements under the ASR Agreements are expected to be completed by the end of December 2023.</w:t>
      </w:r>
    </w:p>
    <w:p>
      <w:pPr>
        <w:spacing w:after="0" w:line="89"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As of September 30, 2023, the Company had outstanding authorization from the board of directors to purchase up to $531.5 of the Company's common stock.</w:t>
      </w:r>
    </w:p>
    <w:p>
      <w:pPr>
        <w:spacing w:after="0" w:line="86"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For the nine months ended September 30, 2023, the Company paid $192.9 in common stock dividends. On October 12, 2023, the Company announced a cash dividend of $0.72 per share of common stock for the third quarter, or approximately $62.1 in the aggregate. The dividend will be payable on December 12, 2023, to stockholders of record of all issued and outstanding shares of common stock as of the close of business on November 8, 2023. The declaration and payment of any future dividends will be at the discretion of the Company’s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investment grade debt ratings from Moody’s and from Standard and Poor’s (S&amp;P) contribute to its ability to access capital markets.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 (dollars in millions)</w:t>
      </w:r>
    </w:p>
    <w:p>
      <w:pPr>
        <w:spacing w:after="0" w:line="132"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its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and cross currency swap agreements.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32"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Approximately 13.7% of the Company’s revenues for the nine months ended September 30, 2023, and approximately 14.2% of the Company’s revenue for the nine months ended September 30, 2022,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the third quarter of 2023 and the year ended December 31, 2022,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nine months ended September 30, 2023, by approximately $18.9. Gross accumulated currency translation adjustments recorded as a separate component of shareholders’ equity were $(56.0) and $(256.5) at September 30, 2023 and 2022, respectively. The Company does not have significant operations in countries in which the economy is considered to be highly inflationary.</w:t>
      </w:r>
    </w:p>
    <w:p>
      <w:pPr>
        <w:spacing w:after="0" w:line="80"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Company earns revenue from service contracts over a period of time, ranging from months to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September 30, 2023, the Company had 8 open foreign exchange forward contracts with various amounts maturing monthly through October 2023 with a notional value totaling approximately $473.7. At December 31, 2022, the Company had 27 open foreign exchange forward contracts with various amounts maturing monthly through January 2023 with a notional value totaling approximately $629.5.</w:t>
      </w:r>
    </w:p>
    <w:p>
      <w:pPr>
        <w:spacing w:after="0" w:line="91"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The Company is party to U.S. to Swiss Franc cross-currency swap agreements with an aggregate notional amount of $600.0, $300.0 maturing in 2024 and $300.0 maturing in 2025, as a hedge against the impact of foreign exchange movements on its net investment in a Swiss Franc functional currency subsidiary.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32"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Some of the Company’s debt from time to time is subject to interest at variable rates. As a result, fluctuations in interest rates can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108"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Borrowings under the Company’s term loan credit facility, now repaid, and revolving credit facility are subject to variable interest rates, unless fixed through interest rate swaps or other agreements.</w:t>
      </w:r>
    </w:p>
    <w:p>
      <w:pPr>
        <w:spacing w:after="0" w:line="86"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SOFR plus 1.0706%.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60" w:lineRule="exact"/>
        <w:rPr>
          <w:sz w:val="20"/>
          <w:szCs w:val="20"/>
          <w:color w:val="auto"/>
        </w:rPr>
      </w:pPr>
    </w:p>
    <w:p>
      <w:pPr>
        <w:jc w:val="both"/>
        <w:ind w:firstLine="280"/>
        <w:spacing w:after="0" w:line="252" w:lineRule="auto"/>
        <w:rPr>
          <w:sz w:val="20"/>
          <w:szCs w:val="20"/>
          <w:color w:val="auto"/>
        </w:rPr>
      </w:pPr>
      <w:r>
        <w:rPr>
          <w:rFonts w:ascii="Arial" w:cs="Arial" w:eastAsia="Arial" w:hAnsi="Arial"/>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 and 15d-15(e) under the Securities Exchange Act of 1934, as amended). Based upon this evaluation, the Company’s principal executive officer and principal financial officer concluded that the Company’s disclosure controls and procedures were effective as of September 30,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60"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Rules13a-15(f) and 15d-15(f) under the Securities Exchange Act of 1934, as amended) that occurred during the quarter ended September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ind w:right="340" w:firstLine="240"/>
        <w:spacing w:after="0" w:line="267" w:lineRule="auto"/>
        <w:rPr>
          <w:sz w:val="20"/>
          <w:szCs w:val="20"/>
          <w:color w:val="auto"/>
        </w:rPr>
      </w:pPr>
      <w:r>
        <w:rPr>
          <w:rFonts w:ascii="Arial" w:cs="Arial" w:eastAsia="Arial" w:hAnsi="Arial"/>
          <w:sz w:val="18"/>
          <w:szCs w:val="18"/>
          <w:color w:val="auto"/>
        </w:rPr>
        <w:t>See Note 9 (Commitments and Contingencies) to the Company’s condensed consolidated financial statements, above, which is incorporated herein by reference.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6"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The risk factors set forth below revise and supplement the corresponding risk factors set forth in the Company's Annual Report on Form 10-K for the year ended December 31, 2022. With the exception of the following, there have been no material changes in the risk factors that appear in the Company's Annual Report on Form 10-K for the year ended December 31, 2022.</w:t>
      </w:r>
    </w:p>
    <w:p>
      <w:pPr>
        <w:spacing w:after="0" w:line="89"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7"/>
          <w:szCs w:val="17"/>
          <w:b w:val="1"/>
          <w:bCs w:val="1"/>
          <w:color w:val="auto"/>
        </w:rPr>
        <w:t>The Company depends on a variety of U.S. and international financial institutions to provide us with banking services. The default or failure of one or more of the financial institutions that we rely on may adversely affect the Company's business and financial condition.</w:t>
      </w:r>
    </w:p>
    <w:p>
      <w:pPr>
        <w:spacing w:after="0" w:line="7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Company maintains the majority of its cash and cash equivalents in accounts with major U.S. and international financial institutions, and our deposits at certain of these institutions exceed insured limits. Market conditions can impact the viability of these institutions. In the event of failure of any of the financial institutions where the Company maintains its cash and cash equivalents, there can be no assurance that the Company would be able to access uninsured funds in a timely manner or at all. Additionally, bank payment processes could become unavailable which could temporarily impact the Company's ability to conduct business with suppliers and pay its employees on a timely basis. Any inability to access or delay in accessing these funds could adversely affect the Company's business and financial condition.</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recently completed spin-off of Fortrea Holdings Inc. may not achieve the intended results.</w:t>
      </w:r>
    </w:p>
    <w:p>
      <w:pPr>
        <w:spacing w:after="0" w:line="132"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June 30, 2023, Labcorp completed the previously announced spin-off of Fortrea Holdings Inc. (Fortrea). The spin-off poses risks and challenges that could impact the Company’s business, including, but not limited to, the failure to achieve the intended benefits from the spin-off, the failure to receive tax-free treatment for U.S. federal income purposes, and potential exposure to unexpected claims, liabilities, or costs under the Company’s agreements with Fortrea in connection with the spin-off.</w:t>
      </w:r>
    </w:p>
    <w:p>
      <w:pPr>
        <w:spacing w:after="0" w:line="113"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The spin-off may adversely impact relationships with customers, suppliers, employees, and other business counterparties and the Company may experience delays, business disruption, increased costs, including from lost synergies, which could adversely affect the Company’s business, financial condition, and results of operations. The Company may also experience increased challenges in attracting, retaining, and motivating key personnel, which could harm the Company’s business. The Company's ongoing transitional and commercial arrangements with Fortrea intend to provide for a seamless delivery of services to the customers and other stakeholders of the independent companies following the spin-off, but those arrangements may not meet the intended objectives and could have unexpected costs or challenges, which could negatively impact the Company’s business, including relationships with customers and other business counterparties, and which could also result in a decline in value of the Company.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Company might not be able to engage in certain desirable capital-raising or strategic transactions.</w:t>
      </w:r>
    </w:p>
    <w:p>
      <w:pPr>
        <w:spacing w:after="0" w:line="132"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The Company’s ability to engage in certain transactions could be limited or restricted in order to preserve, for U.S. federal income tax purposes, the tax-free qualification of the Fortrea spin-off and certain related transactions under Sections 355 and 368(a)(1)(D) of the Internal Revenue Code. Even if the spin-off and certain related transactions otherwise qualify for tax-free treatment under Section 355 of the Code, they may result in corporate-level taxable gain to the Company if there is a 50% or greater change in ownership, by vote or value, of shares of the Company’s stock, Fortrea’s stock, or the stock of a successor of either occurring as part of a plan or series of related transactions that includes the spin-off, which is generally presumed to include any acquisitions or issuances of stock within two years of the spin-off. To avoid realizing such taxable gain, the Company may be restricted or limited in its capital-raising or in the strategic transactions that it elects to pursue during such time period.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(dollars and shares in millions, except per share data)</w:t>
      </w:r>
    </w:p>
    <w:p>
      <w:pPr>
        <w:spacing w:after="0" w:line="132" w:lineRule="exact"/>
        <w:rPr>
          <w:sz w:val="20"/>
          <w:szCs w:val="20"/>
          <w:color w:val="auto"/>
        </w:rPr>
      </w:pPr>
    </w:p>
    <w:p>
      <w:pPr>
        <w:jc w:val="both"/>
        <w:ind w:firstLine="240"/>
        <w:spacing w:after="0" w:line="279" w:lineRule="auto"/>
        <w:rPr>
          <w:sz w:val="20"/>
          <w:szCs w:val="20"/>
          <w:color w:val="auto"/>
        </w:rPr>
      </w:pPr>
      <w:r>
        <w:rPr>
          <w:rFonts w:ascii="Arial" w:cs="Arial" w:eastAsia="Arial" w:hAnsi="Arial"/>
          <w:sz w:val="17"/>
          <w:szCs w:val="17"/>
          <w:color w:val="auto"/>
        </w:rPr>
        <w:t>During the three months ended September 30, 2023, the Company did not repurchase any of its common stock, other than as contemplated by the ASR Agreements. The following table sets forth information with respect to purchases of shares of the Company’s common stock based on activity under the ASR Agreements during the three months ended September 30, 2023, by or on behalf of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Arial" w:cs="Arial" w:eastAsia="Arial" w:hAnsi="Arial"/>
                <w:sz w:val="18"/>
                <w:szCs w:val="18"/>
                <w:color w:val="0000FF"/>
              </w:rPr>
              <w:t>INDEX</w:t>
            </w: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1"/>
        </w:trPr>
        <w:tc>
          <w:tcPr>
            <w:tcW w:w="56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Total Number of</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Total Number of Shares</w:t>
            </w:r>
          </w:p>
        </w:tc>
        <w:tc>
          <w:tcPr>
            <w:tcW w:w="160" w:type="dxa"/>
            <w:vAlign w:val="bottom"/>
          </w:tcPr>
          <w:p>
            <w:pPr>
              <w:spacing w:after="0"/>
              <w:rPr>
                <w:sz w:val="24"/>
                <w:szCs w:val="24"/>
                <w:color w:val="auto"/>
              </w:rPr>
            </w:pPr>
          </w:p>
        </w:tc>
        <w:tc>
          <w:tcPr>
            <w:tcW w:w="2140" w:type="dxa"/>
            <w:vAlign w:val="bottom"/>
          </w:tcPr>
          <w:p>
            <w:pPr>
              <w:jc w:val="center"/>
              <w:ind w:right="51"/>
              <w:spacing w:after="0"/>
              <w:rPr>
                <w:sz w:val="20"/>
                <w:szCs w:val="20"/>
                <w:color w:val="auto"/>
              </w:rPr>
            </w:pPr>
            <w:r>
              <w:rPr>
                <w:rFonts w:ascii="Arial" w:cs="Arial" w:eastAsia="Arial" w:hAnsi="Arial"/>
                <w:sz w:val="18"/>
                <w:szCs w:val="18"/>
                <w:color w:val="auto"/>
                <w:w w:val="93"/>
              </w:rPr>
              <w:t>Maximum Dollar Value of</w:t>
            </w: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8"/>
                <w:szCs w:val="18"/>
                <w:color w:val="auto"/>
              </w:rPr>
              <w:t>Average Price</w:t>
            </w:r>
          </w:p>
        </w:tc>
        <w:tc>
          <w:tcPr>
            <w:tcW w:w="2060" w:type="dxa"/>
            <w:vAlign w:val="bottom"/>
            <w:gridSpan w:val="2"/>
          </w:tcPr>
          <w:p>
            <w:pPr>
              <w:jc w:val="center"/>
              <w:ind w:right="100"/>
              <w:spacing w:after="0" w:line="173" w:lineRule="exact"/>
              <w:rPr>
                <w:sz w:val="20"/>
                <w:szCs w:val="20"/>
                <w:color w:val="auto"/>
              </w:rPr>
            </w:pPr>
            <w:r>
              <w:rPr>
                <w:rFonts w:ascii="Arial" w:cs="Arial" w:eastAsia="Arial" w:hAnsi="Arial"/>
                <w:sz w:val="18"/>
                <w:szCs w:val="18"/>
                <w:color w:val="auto"/>
                <w:w w:val="86"/>
              </w:rPr>
              <w:t>Repurchased as Part of</w:t>
            </w:r>
          </w:p>
        </w:tc>
        <w:tc>
          <w:tcPr>
            <w:tcW w:w="160" w:type="dxa"/>
            <w:vAlign w:val="bottom"/>
          </w:tcPr>
          <w:p>
            <w:pPr>
              <w:spacing w:after="0"/>
              <w:rPr>
                <w:sz w:val="15"/>
                <w:szCs w:val="15"/>
                <w:color w:val="auto"/>
              </w:rPr>
            </w:pPr>
          </w:p>
        </w:tc>
        <w:tc>
          <w:tcPr>
            <w:tcW w:w="2140" w:type="dxa"/>
            <w:vAlign w:val="bottom"/>
          </w:tcPr>
          <w:p>
            <w:pPr>
              <w:jc w:val="center"/>
              <w:ind w:right="51"/>
              <w:spacing w:after="0" w:line="173" w:lineRule="exact"/>
              <w:rPr>
                <w:sz w:val="20"/>
                <w:szCs w:val="20"/>
                <w:color w:val="auto"/>
              </w:rPr>
            </w:pPr>
            <w:r>
              <w:rPr>
                <w:rFonts w:ascii="Arial" w:cs="Arial" w:eastAsia="Arial" w:hAnsi="Arial"/>
                <w:sz w:val="18"/>
                <w:szCs w:val="18"/>
                <w:color w:val="auto"/>
                <w:w w:val="88"/>
              </w:rPr>
              <w:t>Shares that May Yet Be</w:t>
            </w: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60" w:type="dxa"/>
            <w:vAlign w:val="bottom"/>
          </w:tcPr>
          <w:p>
            <w:pPr>
              <w:jc w:val="center"/>
              <w:spacing w:after="0" w:line="173" w:lineRule="exact"/>
              <w:rPr>
                <w:sz w:val="20"/>
                <w:szCs w:val="20"/>
                <w:color w:val="auto"/>
              </w:rPr>
            </w:pPr>
            <w:r>
              <w:rPr>
                <w:rFonts w:ascii="Arial" w:cs="Arial" w:eastAsia="Arial" w:hAnsi="Arial"/>
                <w:sz w:val="18"/>
                <w:szCs w:val="18"/>
                <w:color w:val="auto"/>
                <w:w w:val="80"/>
              </w:rPr>
              <w:t>Shares</w:t>
            </w:r>
          </w:p>
        </w:tc>
        <w:tc>
          <w:tcPr>
            <w:tcW w:w="3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60" w:type="dxa"/>
            <w:vAlign w:val="bottom"/>
            <w:gridSpan w:val="2"/>
          </w:tcPr>
          <w:p>
            <w:pPr>
              <w:jc w:val="center"/>
              <w:ind w:right="80"/>
              <w:spacing w:after="0" w:line="173" w:lineRule="exact"/>
              <w:rPr>
                <w:sz w:val="20"/>
                <w:szCs w:val="20"/>
                <w:color w:val="auto"/>
              </w:rPr>
            </w:pPr>
            <w:r>
              <w:rPr>
                <w:rFonts w:ascii="Arial" w:cs="Arial" w:eastAsia="Arial" w:hAnsi="Arial"/>
                <w:sz w:val="18"/>
                <w:szCs w:val="18"/>
                <w:color w:val="auto"/>
                <w:w w:val="92"/>
              </w:rPr>
              <w:t>Publicly Announced</w:t>
            </w:r>
          </w:p>
        </w:tc>
        <w:tc>
          <w:tcPr>
            <w:tcW w:w="160" w:type="dxa"/>
            <w:vAlign w:val="bottom"/>
          </w:tcPr>
          <w:p>
            <w:pPr>
              <w:spacing w:after="0"/>
              <w:rPr>
                <w:sz w:val="15"/>
                <w:szCs w:val="15"/>
                <w:color w:val="auto"/>
              </w:rPr>
            </w:pPr>
          </w:p>
        </w:tc>
        <w:tc>
          <w:tcPr>
            <w:tcW w:w="2140" w:type="dxa"/>
            <w:vAlign w:val="bottom"/>
          </w:tcPr>
          <w:p>
            <w:pPr>
              <w:jc w:val="center"/>
              <w:ind w:right="71"/>
              <w:spacing w:after="0" w:line="173" w:lineRule="exact"/>
              <w:rPr>
                <w:sz w:val="20"/>
                <w:szCs w:val="20"/>
                <w:color w:val="auto"/>
              </w:rPr>
            </w:pPr>
            <w:r>
              <w:rPr>
                <w:rFonts w:ascii="Arial" w:cs="Arial" w:eastAsia="Arial" w:hAnsi="Arial"/>
                <w:sz w:val="18"/>
                <w:szCs w:val="18"/>
                <w:color w:val="auto"/>
                <w:w w:val="86"/>
              </w:rPr>
              <w:t>Repurchased Under the</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Repurchased</w:t>
            </w:r>
          </w:p>
        </w:tc>
        <w:tc>
          <w:tcPr>
            <w:tcW w:w="32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94"/>
              </w:rPr>
              <w:t>Paid Per Share</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Program</w:t>
            </w:r>
          </w:p>
        </w:tc>
        <w:tc>
          <w:tcPr>
            <w:tcW w:w="160" w:type="dxa"/>
            <w:vAlign w:val="bottom"/>
          </w:tcPr>
          <w:p>
            <w:pPr>
              <w:spacing w:after="0"/>
              <w:rPr>
                <w:sz w:val="20"/>
                <w:szCs w:val="20"/>
                <w:color w:val="auto"/>
              </w:rPr>
            </w:pPr>
          </w:p>
        </w:tc>
        <w:tc>
          <w:tcPr>
            <w:tcW w:w="2140" w:type="dxa"/>
            <w:vAlign w:val="bottom"/>
          </w:tcPr>
          <w:p>
            <w:pPr>
              <w:jc w:val="center"/>
              <w:ind w:right="71"/>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2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1,531.5</w:t>
            </w:r>
          </w:p>
        </w:tc>
        <w:tc>
          <w:tcPr>
            <w:tcW w:w="0" w:type="dxa"/>
            <w:vAlign w:val="bottom"/>
          </w:tcPr>
          <w:p>
            <w:pPr>
              <w:spacing w:after="0"/>
              <w:rPr>
                <w:sz w:val="1"/>
                <w:szCs w:val="1"/>
                <w:color w:val="auto"/>
              </w:rPr>
            </w:pPr>
          </w:p>
        </w:tc>
      </w:tr>
      <w:tr>
        <w:trPr>
          <w:trHeight w:val="22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August 1 - August 31</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jc w:val="right"/>
              <w:ind w:right="128"/>
              <w:spacing w:after="0"/>
              <w:rPr>
                <w:sz w:val="20"/>
                <w:szCs w:val="20"/>
                <w:color w:val="auto"/>
              </w:rPr>
            </w:pPr>
            <w:r>
              <w:rPr>
                <w:rFonts w:ascii="Arial" w:cs="Arial" w:eastAsia="Arial" w:hAnsi="Arial"/>
                <w:sz w:val="10"/>
                <w:szCs w:val="10"/>
                <w:color w:val="auto"/>
                <w:w w:val="97"/>
              </w:rPr>
              <w:t>(1)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267.34</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34"/>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September 30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25"/>
        </w:trPr>
        <w:tc>
          <w:tcPr>
            <w:tcW w:w="560" w:type="dxa"/>
            <w:vAlign w:val="bottom"/>
            <w:tcBorders>
              <w:top w:val="single" w:sz="8" w:color="CCEEFF"/>
            </w:tcBorders>
          </w:tcPr>
          <w:p>
            <w:pPr>
              <w:spacing w:after="0"/>
              <w:rPr>
                <w:sz w:val="19"/>
                <w:szCs w:val="19"/>
                <w:color w:val="auto"/>
              </w:rPr>
            </w:pPr>
          </w:p>
        </w:tc>
        <w:tc>
          <w:tcPr>
            <w:tcW w:w="3340" w:type="dxa"/>
            <w:vAlign w:val="bottom"/>
            <w:tcBorders>
              <w:top w:val="single" w:sz="8" w:color="CCEEFF"/>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267.34</w:t>
            </w:r>
          </w:p>
        </w:tc>
        <w:tc>
          <w:tcPr>
            <w:tcW w:w="10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320" w:firstLine="6"/>
        <w:spacing w:after="0" w:line="474" w:lineRule="auto"/>
        <w:tabs>
          <w:tab w:leader="none" w:pos="483"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At inception of the ASR Agreements, the Company paid $1,000.0 and received 3.7 shares, which reflects 80% of the shares that would ultimately be repurchased under the ASR Agreements if the price of the Common Stock established in the ASR Agreement at the inception of the ASR agreements remains constant.</w:t>
      </w:r>
    </w:p>
    <w:p>
      <w:pPr>
        <w:spacing w:after="0" w:line="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7"/>
          <w:szCs w:val="17"/>
          <w:color w:val="auto"/>
        </w:rPr>
        <w:t>The board of directors has authorized the repurchase of specified amounts of the Company's stock since 2007. On August 8, 2023, the Company entered into ASR Agreements with the Financial Institutions to repurchase approximately $1,000.0 in the aggregate of the Company’s common stock, as part of the Company’s previously announced common stock repurchase program. The ASR Agreements are more fully discussed in the Notes to the Unaudited Condensed Consolidated Financial Statements. As of September 30, 2023, the Company had outstanding authorization from the board of directors to purchase up to $531.5 of the Company's common stock. The repurchase authorization has no expiration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2"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During the three months ended September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33"/>
        </w:trPr>
        <w:tc>
          <w:tcPr>
            <w:tcW w:w="1580" w:type="dxa"/>
            <w:vAlign w:val="bottom"/>
          </w:tcPr>
          <w:p>
            <w:pPr>
              <w:ind w:left="20"/>
              <w:spacing w:after="0"/>
              <w:rPr>
                <w:sz w:val="20"/>
                <w:szCs w:val="20"/>
                <w:color w:val="auto"/>
              </w:rPr>
            </w:pPr>
            <w:r>
              <w:rPr>
                <w:rFonts w:ascii="Arial" w:cs="Arial" w:eastAsia="Arial" w:hAnsi="Arial"/>
                <w:sz w:val="18"/>
                <w:szCs w:val="18"/>
                <w:color w:val="auto"/>
              </w:rPr>
              <w:t>(a)</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1580" w:type="dxa"/>
            <w:vAlign w:val="bottom"/>
          </w:tcPr>
          <w:p>
            <w:pPr>
              <w:ind w:left="20"/>
              <w:spacing w:after="0" w:line="188" w:lineRule="exact"/>
              <w:rPr>
                <w:sz w:val="20"/>
                <w:szCs w:val="20"/>
                <w:color w:val="auto"/>
              </w:rPr>
            </w:pPr>
            <w:r>
              <w:rPr>
                <w:rFonts w:ascii="Arial" w:cs="Arial" w:eastAsia="Arial" w:hAnsi="Arial"/>
                <w:sz w:val="18"/>
                <w:szCs w:val="18"/>
                <w:color w:val="auto"/>
              </w:rPr>
              <w:t>10.1*</w:t>
            </w:r>
          </w:p>
        </w:tc>
        <w:tc>
          <w:tcPr>
            <w:tcW w:w="9620" w:type="dxa"/>
            <w:vAlign w:val="bottom"/>
            <w:tcBorders>
              <w:bottom w:val="single" w:sz="8" w:color="0000FF"/>
            </w:tcBorders>
            <w:gridSpan w:val="6"/>
          </w:tcPr>
          <w:p>
            <w:pPr>
              <w:spacing w:after="0" w:line="188" w:lineRule="exact"/>
              <w:rPr>
                <w:sz w:val="20"/>
                <w:szCs w:val="20"/>
                <w:color w:val="auto"/>
              </w:rPr>
            </w:pPr>
            <w:r>
              <w:rPr>
                <w:rFonts w:ascii="Arial" w:cs="Arial" w:eastAsia="Arial" w:hAnsi="Arial"/>
                <w:sz w:val="18"/>
                <w:szCs w:val="18"/>
                <w:color w:val="0000FF"/>
                <w:w w:val="91"/>
              </w:rPr>
              <w:t>Employment Separation Agreement and General Released effective September 8, 2023, by and Between Laboratory Corporation of</w:t>
            </w:r>
          </w:p>
        </w:tc>
      </w:tr>
      <w:tr>
        <w:trPr>
          <w:trHeight w:val="180"/>
        </w:trPr>
        <w:tc>
          <w:tcPr>
            <w:tcW w:w="1580" w:type="dxa"/>
            <w:vAlign w:val="bottom"/>
          </w:tcPr>
          <w:p>
            <w:pPr>
              <w:spacing w:after="0"/>
              <w:rPr>
                <w:sz w:val="15"/>
                <w:szCs w:val="15"/>
                <w:color w:val="auto"/>
              </w:rPr>
            </w:pPr>
          </w:p>
        </w:tc>
        <w:tc>
          <w:tcPr>
            <w:tcW w:w="2880" w:type="dxa"/>
            <w:vAlign w:val="bottom"/>
            <w:tcBorders>
              <w:bottom w:val="single" w:sz="8" w:color="0000FF"/>
            </w:tcBorders>
            <w:gridSpan w:val="2"/>
          </w:tcPr>
          <w:p>
            <w:pPr>
              <w:spacing w:after="0" w:line="180" w:lineRule="exact"/>
              <w:rPr>
                <w:sz w:val="20"/>
                <w:szCs w:val="20"/>
                <w:color w:val="auto"/>
              </w:rPr>
            </w:pPr>
            <w:r>
              <w:rPr>
                <w:rFonts w:ascii="Arial" w:cs="Arial" w:eastAsia="Arial" w:hAnsi="Arial"/>
                <w:sz w:val="18"/>
                <w:szCs w:val="18"/>
                <w:color w:val="0000FF"/>
                <w:w w:val="90"/>
              </w:rPr>
              <w:t>America Holdings and Paul Kirchgraber</w:t>
            </w:r>
          </w:p>
        </w:tc>
        <w:tc>
          <w:tcPr>
            <w:tcW w:w="6740" w:type="dxa"/>
            <w:vAlign w:val="bottom"/>
            <w:gridSpan w:val="4"/>
          </w:tcPr>
          <w:p>
            <w:pPr>
              <w:spacing w:after="0"/>
              <w:rPr>
                <w:sz w:val="15"/>
                <w:szCs w:val="15"/>
                <w:color w:val="auto"/>
              </w:rPr>
            </w:pPr>
          </w:p>
        </w:tc>
      </w:tr>
      <w:tr>
        <w:trPr>
          <w:trHeight w:val="220"/>
        </w:trPr>
        <w:tc>
          <w:tcPr>
            <w:tcW w:w="1580" w:type="dxa"/>
            <w:vAlign w:val="bottom"/>
          </w:tcPr>
          <w:p>
            <w:pPr>
              <w:ind w:left="20"/>
              <w:spacing w:after="0"/>
              <w:rPr>
                <w:sz w:val="20"/>
                <w:szCs w:val="20"/>
                <w:color w:val="auto"/>
              </w:rPr>
            </w:pPr>
            <w:r>
              <w:rPr>
                <w:rFonts w:ascii="Arial" w:cs="Arial" w:eastAsia="Arial" w:hAnsi="Arial"/>
                <w:sz w:val="18"/>
                <w:szCs w:val="18"/>
                <w:color w:val="auto"/>
              </w:rPr>
              <w:t>31.1*</w:t>
            </w:r>
          </w:p>
        </w:tc>
        <w:tc>
          <w:tcPr>
            <w:tcW w:w="9620" w:type="dxa"/>
            <w:vAlign w:val="bottom"/>
            <w:gridSpan w:val="6"/>
          </w:tcPr>
          <w:p>
            <w:pPr>
              <w:spacing w:after="0"/>
              <w:rPr>
                <w:sz w:val="20"/>
                <w:szCs w:val="20"/>
                <w:color w:val="auto"/>
              </w:rPr>
            </w:pPr>
            <w:r>
              <w:rPr>
                <w:rFonts w:ascii="Arial" w:cs="Arial" w:eastAsia="Arial" w:hAnsi="Arial"/>
                <w:sz w:val="18"/>
                <w:szCs w:val="18"/>
                <w:color w:val="0000FF"/>
              </w:rPr>
              <w:t>Certification by the Chief Executive Officer pursuant to Rule 13a-14(a) or Rule 15d-14(a)</w:t>
            </w:r>
          </w:p>
        </w:tc>
      </w:tr>
      <w:tr>
        <w:trPr>
          <w:trHeight w:val="220"/>
        </w:trPr>
        <w:tc>
          <w:tcPr>
            <w:tcW w:w="1580" w:type="dxa"/>
            <w:vAlign w:val="bottom"/>
          </w:tcPr>
          <w:p>
            <w:pPr>
              <w:ind w:left="20"/>
              <w:spacing w:after="0"/>
              <w:rPr>
                <w:sz w:val="20"/>
                <w:szCs w:val="20"/>
                <w:color w:val="auto"/>
              </w:rPr>
            </w:pPr>
            <w:r>
              <w:rPr>
                <w:rFonts w:ascii="Arial" w:cs="Arial" w:eastAsia="Arial" w:hAnsi="Arial"/>
                <w:sz w:val="18"/>
                <w:szCs w:val="18"/>
                <w:color w:val="auto"/>
              </w:rPr>
              <w:t>31.2*</w:t>
            </w:r>
          </w:p>
        </w:tc>
        <w:tc>
          <w:tcPr>
            <w:tcW w:w="63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0"/>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220" w:type="dxa"/>
            <w:vAlign w:val="bottom"/>
            <w:gridSpan w:val="2"/>
          </w:tcPr>
          <w:p>
            <w:pPr>
              <w:spacing w:after="0"/>
              <w:rPr>
                <w:sz w:val="19"/>
                <w:szCs w:val="19"/>
                <w:color w:val="auto"/>
              </w:rPr>
            </w:pPr>
          </w:p>
        </w:tc>
      </w:tr>
      <w:tr>
        <w:trPr>
          <w:trHeight w:val="353"/>
        </w:trPr>
        <w:tc>
          <w:tcPr>
            <w:tcW w:w="1580" w:type="dxa"/>
            <w:vAlign w:val="bottom"/>
          </w:tcPr>
          <w:p>
            <w:pPr>
              <w:ind w:left="20"/>
              <w:spacing w:after="0"/>
              <w:rPr>
                <w:sz w:val="20"/>
                <w:szCs w:val="20"/>
                <w:color w:val="auto"/>
              </w:rPr>
            </w:pPr>
            <w:r>
              <w:rPr>
                <w:rFonts w:ascii="Arial" w:cs="Arial" w:eastAsia="Arial" w:hAnsi="Arial"/>
                <w:sz w:val="18"/>
                <w:szCs w:val="18"/>
                <w:color w:val="auto"/>
              </w:rPr>
              <w:t>32**</w:t>
            </w:r>
          </w:p>
        </w:tc>
        <w:tc>
          <w:tcPr>
            <w:tcW w:w="9620" w:type="dxa"/>
            <w:vAlign w:val="bottom"/>
            <w:gridSpan w:val="6"/>
          </w:tcPr>
          <w:p>
            <w:pPr>
              <w:spacing w:after="0"/>
              <w:rPr>
                <w:sz w:val="20"/>
                <w:szCs w:val="20"/>
                <w:color w:val="auto"/>
              </w:rPr>
            </w:pPr>
            <w:r>
              <w:rPr>
                <w:rFonts w:ascii="Arial" w:cs="Arial" w:eastAsia="Arial" w:hAnsi="Arial"/>
                <w:sz w:val="18"/>
                <w:szCs w:val="18"/>
                <w:color w:val="0000FF"/>
                <w:w w:val="91"/>
              </w:rPr>
              <w:t>Written Statement of Chief Executive Officer and Chief Financial Officer pursuant to Section 906 of the Sarbanes-Oxley Act of 2002</w:t>
            </w:r>
          </w:p>
        </w:tc>
      </w:tr>
      <w:tr>
        <w:trPr>
          <w:trHeight w:val="167"/>
        </w:trPr>
        <w:tc>
          <w:tcPr>
            <w:tcW w:w="1580" w:type="dxa"/>
            <w:vAlign w:val="bottom"/>
          </w:tcPr>
          <w:p>
            <w:pPr>
              <w:spacing w:after="0"/>
              <w:rPr>
                <w:sz w:val="14"/>
                <w:szCs w:val="14"/>
                <w:color w:val="auto"/>
              </w:rPr>
            </w:pPr>
          </w:p>
        </w:tc>
        <w:tc>
          <w:tcPr>
            <w:tcW w:w="1800" w:type="dxa"/>
            <w:vAlign w:val="bottom"/>
            <w:tcBorders>
              <w:top w:val="single" w:sz="8" w:color="0000FF"/>
              <w:bottom w:val="single" w:sz="8" w:color="0000FF"/>
            </w:tcBorders>
          </w:tcPr>
          <w:p>
            <w:pPr>
              <w:spacing w:after="0" w:line="167" w:lineRule="exact"/>
              <w:rPr>
                <w:sz w:val="20"/>
                <w:szCs w:val="20"/>
                <w:color w:val="auto"/>
              </w:rPr>
            </w:pPr>
            <w:r>
              <w:rPr>
                <w:rFonts w:ascii="Arial" w:cs="Arial" w:eastAsia="Arial" w:hAnsi="Arial"/>
                <w:sz w:val="18"/>
                <w:szCs w:val="18"/>
                <w:color w:val="0000FF"/>
                <w:w w:val="88"/>
              </w:rPr>
              <w:t>(18 U.S.C. Section 1350)</w:t>
            </w:r>
          </w:p>
        </w:tc>
        <w:tc>
          <w:tcPr>
            <w:tcW w:w="7680" w:type="dxa"/>
            <w:vAlign w:val="bottom"/>
            <w:tcBorders>
              <w:top w:val="single" w:sz="8" w:color="0000FF"/>
            </w:tcBorders>
            <w:gridSpan w:val="4"/>
          </w:tcPr>
          <w:p>
            <w:pPr>
              <w:spacing w:after="0"/>
              <w:rPr>
                <w:sz w:val="14"/>
                <w:szCs w:val="14"/>
                <w:color w:val="auto"/>
              </w:rPr>
            </w:pPr>
          </w:p>
        </w:tc>
        <w:tc>
          <w:tcPr>
            <w:tcW w:w="140" w:type="dxa"/>
            <w:vAlign w:val="bottom"/>
          </w:tcPr>
          <w:p>
            <w:pPr>
              <w:spacing w:after="0"/>
              <w:rPr>
                <w:sz w:val="14"/>
                <w:szCs w:val="14"/>
                <w:color w:val="auto"/>
              </w:rPr>
            </w:pPr>
          </w:p>
        </w:tc>
      </w:tr>
      <w:tr>
        <w:trPr>
          <w:trHeight w:val="208"/>
        </w:trPr>
        <w:tc>
          <w:tcPr>
            <w:tcW w:w="1580" w:type="dxa"/>
            <w:vAlign w:val="bottom"/>
          </w:tcPr>
          <w:p>
            <w:pPr>
              <w:ind w:left="20"/>
              <w:spacing w:after="0"/>
              <w:rPr>
                <w:sz w:val="20"/>
                <w:szCs w:val="20"/>
                <w:color w:val="auto"/>
              </w:rPr>
            </w:pPr>
            <w:r>
              <w:rPr>
                <w:rFonts w:ascii="Arial" w:cs="Arial" w:eastAsia="Arial" w:hAnsi="Arial"/>
                <w:sz w:val="18"/>
                <w:szCs w:val="18"/>
                <w:color w:val="auto"/>
              </w:rPr>
              <w:t>101.INS*</w:t>
            </w:r>
          </w:p>
        </w:tc>
        <w:tc>
          <w:tcPr>
            <w:tcW w:w="9620" w:type="dxa"/>
            <w:vAlign w:val="bottom"/>
            <w:gridSpan w:val="6"/>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r>
      <w:tr>
        <w:trPr>
          <w:trHeight w:val="224"/>
        </w:trPr>
        <w:tc>
          <w:tcPr>
            <w:tcW w:w="1580" w:type="dxa"/>
            <w:vAlign w:val="bottom"/>
          </w:tcPr>
          <w:p>
            <w:pPr>
              <w:spacing w:after="0"/>
              <w:rPr>
                <w:sz w:val="19"/>
                <w:szCs w:val="19"/>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7"/>
        </w:trPr>
        <w:tc>
          <w:tcPr>
            <w:tcW w:w="1580" w:type="dxa"/>
            <w:vAlign w:val="bottom"/>
          </w:tcPr>
          <w:p>
            <w:pPr>
              <w:ind w:left="20"/>
              <w:spacing w:after="0"/>
              <w:rPr>
                <w:sz w:val="20"/>
                <w:szCs w:val="20"/>
                <w:color w:val="auto"/>
              </w:rPr>
            </w:pPr>
            <w:r>
              <w:rPr>
                <w:rFonts w:ascii="Arial" w:cs="Arial" w:eastAsia="Arial" w:hAnsi="Arial"/>
                <w:sz w:val="18"/>
                <w:szCs w:val="18"/>
                <w:color w:val="auto"/>
              </w:rPr>
              <w:t>101.SCH*</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227"/>
        </w:trPr>
        <w:tc>
          <w:tcPr>
            <w:tcW w:w="1580" w:type="dxa"/>
            <w:vAlign w:val="bottom"/>
          </w:tcPr>
          <w:p>
            <w:pPr>
              <w:ind w:left="20"/>
              <w:spacing w:after="0"/>
              <w:rPr>
                <w:sz w:val="20"/>
                <w:szCs w:val="20"/>
                <w:color w:val="auto"/>
              </w:rPr>
            </w:pPr>
            <w:r>
              <w:rPr>
                <w:rFonts w:ascii="Arial" w:cs="Arial" w:eastAsia="Arial" w:hAnsi="Arial"/>
                <w:sz w:val="18"/>
                <w:szCs w:val="18"/>
                <w:color w:val="auto"/>
              </w:rPr>
              <w:t>101.CAL*</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27"/>
        </w:trPr>
        <w:tc>
          <w:tcPr>
            <w:tcW w:w="1580" w:type="dxa"/>
            <w:vAlign w:val="bottom"/>
          </w:tcPr>
          <w:p>
            <w:pPr>
              <w:ind w:left="20"/>
              <w:spacing w:after="0"/>
              <w:rPr>
                <w:sz w:val="20"/>
                <w:szCs w:val="20"/>
                <w:color w:val="auto"/>
              </w:rPr>
            </w:pPr>
            <w:r>
              <w:rPr>
                <w:rFonts w:ascii="Arial" w:cs="Arial" w:eastAsia="Arial" w:hAnsi="Arial"/>
                <w:sz w:val="18"/>
                <w:szCs w:val="18"/>
                <w:color w:val="auto"/>
              </w:rPr>
              <w:t>101.DEF*</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7"/>
        </w:trPr>
        <w:tc>
          <w:tcPr>
            <w:tcW w:w="1580" w:type="dxa"/>
            <w:vAlign w:val="bottom"/>
          </w:tcPr>
          <w:p>
            <w:pPr>
              <w:ind w:left="20"/>
              <w:spacing w:after="0"/>
              <w:rPr>
                <w:sz w:val="20"/>
                <w:szCs w:val="20"/>
                <w:color w:val="auto"/>
              </w:rPr>
            </w:pPr>
            <w:r>
              <w:rPr>
                <w:rFonts w:ascii="Arial" w:cs="Arial" w:eastAsia="Arial" w:hAnsi="Arial"/>
                <w:sz w:val="18"/>
                <w:szCs w:val="18"/>
                <w:color w:val="auto"/>
              </w:rPr>
              <w:t>101.LAB*</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27"/>
        </w:trPr>
        <w:tc>
          <w:tcPr>
            <w:tcW w:w="1580" w:type="dxa"/>
            <w:vAlign w:val="bottom"/>
          </w:tcPr>
          <w:p>
            <w:pPr>
              <w:ind w:left="20"/>
              <w:spacing w:after="0"/>
              <w:rPr>
                <w:sz w:val="20"/>
                <w:szCs w:val="20"/>
                <w:color w:val="auto"/>
              </w:rPr>
            </w:pPr>
            <w:r>
              <w:rPr>
                <w:rFonts w:ascii="Arial" w:cs="Arial" w:eastAsia="Arial" w:hAnsi="Arial"/>
                <w:sz w:val="18"/>
                <w:szCs w:val="18"/>
                <w:color w:val="auto"/>
              </w:rPr>
              <w:t>101.PRE*</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27"/>
        </w:trPr>
        <w:tc>
          <w:tcPr>
            <w:tcW w:w="1580" w:type="dxa"/>
            <w:vAlign w:val="bottom"/>
          </w:tcPr>
          <w:p>
            <w:pPr>
              <w:ind w:left="20"/>
              <w:spacing w:after="0"/>
              <w:rPr>
                <w:sz w:val="20"/>
                <w:szCs w:val="20"/>
                <w:color w:val="auto"/>
              </w:rPr>
            </w:pPr>
            <w:r>
              <w:rPr>
                <w:rFonts w:ascii="Arial" w:cs="Arial" w:eastAsia="Arial" w:hAnsi="Arial"/>
                <w:sz w:val="18"/>
                <w:szCs w:val="18"/>
                <w:color w:val="auto"/>
              </w:rPr>
              <w:t>104</w:t>
            </w:r>
          </w:p>
        </w:tc>
        <w:tc>
          <w:tcPr>
            <w:tcW w:w="96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 101)</w:t>
            </w:r>
          </w:p>
        </w:tc>
      </w:tr>
    </w:tbl>
    <w:p>
      <w:pPr>
        <w:spacing w:after="0" w:line="122" w:lineRule="exact"/>
        <w:rPr>
          <w:sz w:val="20"/>
          <w:szCs w:val="20"/>
          <w:color w:val="auto"/>
        </w:rPr>
      </w:pPr>
    </w:p>
    <w:p>
      <w:pPr>
        <w:ind w:left="1120" w:hanging="1096"/>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p>
    <w:p>
      <w:pPr>
        <w:ind w:left="1120" w:hanging="1096"/>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Registrant</w:t>
      </w:r>
    </w:p>
    <w:p>
      <w:pPr>
        <w:spacing w:after="0" w:line="254" w:lineRule="exact"/>
        <w:rPr>
          <w:sz w:val="20"/>
          <w:szCs w:val="20"/>
          <w:color w:val="auto"/>
        </w:rPr>
      </w:pPr>
    </w:p>
    <w:tbl>
      <w:tblPr>
        <w:tblLayout w:type="fixed"/>
        <w:tblInd w:w="5600" w:type="dxa"/>
        <w:tblCellMar>
          <w:top w:w="0" w:type="dxa"/>
          <w:left w:w="0" w:type="dxa"/>
          <w:bottom w:w="0" w:type="dxa"/>
          <w:right w:w="0" w:type="dxa"/>
        </w:tblCellMar>
      </w:tblPr>
      <w:tr>
        <w:trPr>
          <w:trHeight w:val="207"/>
        </w:trPr>
        <w:tc>
          <w:tcPr>
            <w:tcW w:w="780" w:type="dxa"/>
            <w:vAlign w:val="bottom"/>
          </w:tcPr>
          <w:p>
            <w:pPr>
              <w:ind w:left="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7"/>
                <w:szCs w:val="17"/>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 ADAM H. SCHECHTER</w:t>
            </w:r>
          </w:p>
        </w:tc>
      </w:tr>
      <w:tr>
        <w:trPr>
          <w:trHeight w:val="245"/>
        </w:trPr>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Adam H. Schechter</w:t>
            </w:r>
          </w:p>
        </w:tc>
      </w:tr>
      <w:tr>
        <w:trPr>
          <w:trHeight w:val="227"/>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95"/>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GLENN A. EISENBERG</w:t>
            </w:r>
          </w:p>
        </w:tc>
        <w:tc>
          <w:tcPr>
            <w:tcW w:w="20" w:type="dxa"/>
            <w:vAlign w:val="bottom"/>
          </w:tcPr>
          <w:p>
            <w:pPr>
              <w:spacing w:after="0"/>
              <w:rPr>
                <w:sz w:val="24"/>
                <w:szCs w:val="24"/>
                <w:color w:val="auto"/>
              </w:rPr>
            </w:pPr>
          </w:p>
        </w:tc>
      </w:tr>
      <w:tr>
        <w:trPr>
          <w:trHeight w:val="245"/>
        </w:trPr>
        <w:tc>
          <w:tcPr>
            <w:tcW w:w="780" w:type="dxa"/>
            <w:vAlign w:val="bottom"/>
          </w:tcPr>
          <w:p>
            <w:pPr>
              <w:spacing w:after="0"/>
              <w:rPr>
                <w:sz w:val="21"/>
                <w:szCs w:val="21"/>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Glenn A. Eisenberg</w:t>
            </w: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w w:val="87"/>
              </w:rPr>
              <w:t>Executive Vice President and</w:t>
            </w: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October 30, 2023</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127" w:right="479" w:bottom="1440" w:gutter="0" w:footer="0" w:header="0"/>
        </w:sectPr>
      </w:pPr>
    </w:p>
    <w:bookmarkStart w:id="38" w:name="page39"/>
    <w:bookmarkEnd w:id="38"/>
    <w:p>
      <w:pPr>
        <w:spacing w:after="0"/>
        <w:rPr>
          <w:sz w:val="20"/>
          <w:szCs w:val="20"/>
          <w:color w:val="auto"/>
        </w:rPr>
      </w:pPr>
      <w:r>
        <w:rPr>
          <w:rFonts w:ascii="Arial" w:cs="Arial" w:eastAsia="Arial" w:hAnsi="Arial"/>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684530</wp:posOffset>
            </wp:positionV>
            <wp:extent cx="2606675" cy="719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6675" cy="71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color w:val="auto"/>
        </w:rPr>
        <w:t>September 1, 2023</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Paul Kirchgraber</w:t>
      </w:r>
    </w:p>
    <w:p>
      <w:pPr>
        <w:spacing w:after="0" w:line="211" w:lineRule="auto"/>
        <w:rPr>
          <w:sz w:val="20"/>
          <w:szCs w:val="20"/>
          <w:color w:val="auto"/>
        </w:rPr>
      </w:pPr>
      <w:r>
        <w:rPr>
          <w:rFonts w:ascii="Arial" w:cs="Arial" w:eastAsia="Arial" w:hAnsi="Arial"/>
          <w:sz w:val="21"/>
          <w:szCs w:val="21"/>
          <w:color w:val="auto"/>
        </w:rPr>
        <w:t>113 W. Lake Court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Athens GA 30606</w:t>
      </w:r>
    </w:p>
    <w:p>
      <w:pPr>
        <w:spacing w:after="0" w:line="200" w:lineRule="exact"/>
        <w:rPr>
          <w:sz w:val="20"/>
          <w:szCs w:val="20"/>
          <w:color w:val="auto"/>
        </w:rPr>
      </w:pPr>
    </w:p>
    <w:p>
      <w:pPr>
        <w:spacing w:after="0" w:line="228" w:lineRule="exact"/>
        <w:rPr>
          <w:sz w:val="20"/>
          <w:szCs w:val="20"/>
          <w:color w:val="auto"/>
        </w:rPr>
      </w:pPr>
    </w:p>
    <w:p>
      <w:pPr>
        <w:ind w:right="4860" w:firstLine="640"/>
        <w:spacing w:after="0" w:line="437" w:lineRule="auto"/>
        <w:rPr>
          <w:sz w:val="20"/>
          <w:szCs w:val="20"/>
          <w:color w:val="auto"/>
        </w:rPr>
      </w:pPr>
      <w:r>
        <w:rPr>
          <w:rFonts w:ascii="Arial" w:cs="Arial" w:eastAsia="Arial" w:hAnsi="Arial"/>
          <w:sz w:val="21"/>
          <w:szCs w:val="21"/>
          <w:b w:val="1"/>
          <w:bCs w:val="1"/>
          <w:color w:val="auto"/>
        </w:rPr>
        <w:t xml:space="preserve">Re: Employment Separation Agreement and General Release </w:t>
      </w:r>
      <w:r>
        <w:rPr>
          <w:rFonts w:ascii="Arial" w:cs="Arial" w:eastAsia="Arial" w:hAnsi="Arial"/>
          <w:sz w:val="21"/>
          <w:szCs w:val="21"/>
          <w:color w:val="auto"/>
        </w:rPr>
        <w:t>Dear Paul,</w:t>
      </w:r>
    </w:p>
    <w:p>
      <w:pPr>
        <w:jc w:val="both"/>
        <w:spacing w:after="0" w:line="247" w:lineRule="auto"/>
        <w:rPr>
          <w:sz w:val="20"/>
          <w:szCs w:val="20"/>
          <w:color w:val="auto"/>
        </w:rPr>
      </w:pPr>
      <w:r>
        <w:rPr>
          <w:rFonts w:ascii="Arial" w:cs="Arial" w:eastAsia="Arial" w:hAnsi="Arial"/>
          <w:sz w:val="20"/>
          <w:szCs w:val="20"/>
          <w:color w:val="auto"/>
        </w:rPr>
        <w:t>On behalf of Laboratory Corporation of America Holdings and its subsidiary companies (the “</w:t>
      </w:r>
      <w:r>
        <w:rPr>
          <w:rFonts w:ascii="Arial" w:cs="Arial" w:eastAsia="Arial" w:hAnsi="Arial"/>
          <w:sz w:val="20"/>
          <w:szCs w:val="20"/>
          <w:b w:val="1"/>
          <w:bCs w:val="1"/>
          <w:color w:val="auto"/>
        </w:rPr>
        <w:t>Company</w:t>
      </w:r>
      <w:r>
        <w:rPr>
          <w:rFonts w:ascii="Arial" w:cs="Arial" w:eastAsia="Arial" w:hAnsi="Arial"/>
          <w:sz w:val="20"/>
          <w:szCs w:val="20"/>
          <w:color w:val="auto"/>
        </w:rPr>
        <w:t>”), I write to offer you (the “</w:t>
      </w:r>
      <w:r>
        <w:rPr>
          <w:rFonts w:ascii="Arial" w:cs="Arial" w:eastAsia="Arial" w:hAnsi="Arial"/>
          <w:sz w:val="20"/>
          <w:szCs w:val="20"/>
          <w:b w:val="1"/>
          <w:bCs w:val="1"/>
          <w:color w:val="auto"/>
        </w:rPr>
        <w:t>Employee</w:t>
      </w:r>
      <w:r>
        <w:rPr>
          <w:rFonts w:ascii="Arial" w:cs="Arial" w:eastAsia="Arial" w:hAnsi="Arial"/>
          <w:sz w:val="20"/>
          <w:szCs w:val="20"/>
          <w:color w:val="auto"/>
        </w:rPr>
        <w:t>”) the following Employment Separation Agreement and General Release (the “Agreement”) in accordance with the terms and conditions of the Laboratory Corporation of America Holdings Master Senior Executive Severance Plan (“Plan”).</w:t>
      </w:r>
    </w:p>
    <w:p>
      <w:pPr>
        <w:spacing w:after="0" w:line="143"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19"/>
          <w:szCs w:val="19"/>
          <w:b w:val="1"/>
          <w:bCs w:val="1"/>
          <w:u w:val="single" w:color="auto"/>
          <w:color w:val="auto"/>
        </w:rPr>
        <w:t>Termination of Employment</w:t>
      </w:r>
    </w:p>
    <w:p>
      <w:pPr>
        <w:spacing w:after="0" w:line="185" w:lineRule="exact"/>
        <w:rPr>
          <w:sz w:val="20"/>
          <w:szCs w:val="20"/>
          <w:color w:val="auto"/>
        </w:rPr>
      </w:pPr>
    </w:p>
    <w:p>
      <w:pPr>
        <w:jc w:val="both"/>
        <w:ind w:firstLine="6"/>
        <w:spacing w:after="0" w:line="232"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color w:val="auto"/>
        </w:rPr>
        <w:t>Effective September 1, 2023 (the “Termination Date”), Employee’s employment with the Company was terminated; he/she</w:t>
      </w:r>
      <w:r>
        <w:rPr>
          <w:rFonts w:ascii="Arial" w:cs="Arial" w:eastAsia="Arial" w:hAnsi="Arial"/>
          <w:sz w:val="20"/>
          <w:szCs w:val="20"/>
          <w:b w:val="1"/>
          <w:bCs w:val="1"/>
          <w:color w:val="auto"/>
        </w:rPr>
        <w:t xml:space="preserve"> </w:t>
      </w:r>
      <w:r>
        <w:rPr>
          <w:rFonts w:ascii="Arial" w:cs="Arial" w:eastAsia="Arial" w:hAnsi="Arial"/>
          <w:sz w:val="20"/>
          <w:szCs w:val="20"/>
          <w:color w:val="auto"/>
        </w:rPr>
        <w:t>shall perform no further services for the Company and his/her status as an employee and Officer of the Company shall cease on that date. Notwithstanding the foregoing, Employee will continue to serve as a board member to ACRO for the remainder of 2023. Employee and the Company further agree that the relationship created by this Agreement is purely contractual and that no employer-employee relationship is intended, nor shall such be inferred from the performance of obligations under this Agreement. Employee further agrees that any payments and/or benefits payable pursuant to this Agreement are contingent upon Employee’s execution and fulfillment of his/her obligations under this Agreement.</w:t>
      </w:r>
    </w:p>
    <w:p>
      <w:pPr>
        <w:spacing w:after="0" w:line="150"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2.0</w:t>
      </w:r>
      <w:r>
        <w:rPr>
          <w:sz w:val="20"/>
          <w:szCs w:val="20"/>
          <w:color w:val="auto"/>
        </w:rPr>
        <w:tab/>
      </w:r>
      <w:r>
        <w:rPr>
          <w:rFonts w:ascii="Arial" w:cs="Arial" w:eastAsia="Arial" w:hAnsi="Arial"/>
          <w:sz w:val="19"/>
          <w:szCs w:val="19"/>
          <w:b w:val="1"/>
          <w:bCs w:val="1"/>
          <w:u w:val="single" w:color="auto"/>
          <w:color w:val="auto"/>
        </w:rPr>
        <w:t>Separation Pay</w:t>
      </w:r>
    </w:p>
    <w:p>
      <w:pPr>
        <w:spacing w:after="0" w:line="185" w:lineRule="exact"/>
        <w:rPr>
          <w:sz w:val="20"/>
          <w:szCs w:val="20"/>
          <w:color w:val="auto"/>
        </w:rPr>
      </w:pPr>
    </w:p>
    <w:p>
      <w:pPr>
        <w:jc w:val="both"/>
        <w:ind w:firstLine="6"/>
        <w:spacing w:after="0" w:line="245"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color w:val="auto"/>
        </w:rPr>
        <w:t>In consideration for the covenants, promises and agreements herein and in particular Employee’s release of claims as well as</w:t>
      </w:r>
      <w:r>
        <w:rPr>
          <w:rFonts w:ascii="Arial" w:cs="Arial" w:eastAsia="Arial" w:hAnsi="Arial"/>
          <w:sz w:val="19"/>
          <w:szCs w:val="19"/>
          <w:b w:val="1"/>
          <w:bCs w:val="1"/>
          <w:color w:val="auto"/>
        </w:rPr>
        <w:t xml:space="preserve"> </w:t>
      </w:r>
      <w:r>
        <w:rPr>
          <w:rFonts w:ascii="Arial" w:cs="Arial" w:eastAsia="Arial" w:hAnsi="Arial"/>
          <w:sz w:val="19"/>
          <w:szCs w:val="19"/>
          <w:color w:val="auto"/>
        </w:rPr>
        <w:t>covenants not to solicit, not to compete and not to disclose confidential information, the Company will pay Employee a severance in the total amount of $2,748,997.34, less applicable taxes and withholdings (hereafter referred to as “Severance Pay”), representing two times the sum of the Employee’s annual base salary of $630,000 plus Employee’s MIB Average Bonus as defined in the Plan of $744,498.67. The severance shall be paid in two installments, with the first installment of $1,3744,98.67, less taxes and withholding, made payable within 30 days following the Termination Date and the second installment of $1,374,498.67, less taxes and withholding, made payable within 30 days following the one year anniversary of the Termination Date.</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The Company shall also pay the Employee a Medical Stipend of $20,600, less taxes and withholding, within 30 days</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the Termination Date.</w:t>
      </w:r>
    </w:p>
    <w:p>
      <w:pPr>
        <w:sectPr>
          <w:pgSz w:w="11900" w:h="16838" w:orient="portrait"/>
          <w:cols w:equalWidth="0" w:num="1">
            <w:col w:w="11240"/>
          </w:cols>
          <w:pgMar w:left="320" w:top="100" w:right="339" w:bottom="1440" w:gutter="0" w:footer="0" w:header="0"/>
        </w:sectPr>
      </w:pPr>
    </w:p>
    <w:bookmarkStart w:id="39" w:name="page40"/>
    <w:bookmarkEnd w:id="39"/>
    <w:p>
      <w:pPr>
        <w:jc w:val="both"/>
        <w:spacing w:after="0" w:line="248" w:lineRule="auto"/>
        <w:rPr>
          <w:sz w:val="20"/>
          <w:szCs w:val="20"/>
          <w:color w:val="auto"/>
        </w:rPr>
      </w:pPr>
      <w:r>
        <w:rPr>
          <w:rFonts w:ascii="Arial" w:cs="Arial" w:eastAsia="Arial" w:hAnsi="Arial"/>
          <w:sz w:val="21"/>
          <w:szCs w:val="21"/>
          <w:b w:val="1"/>
          <w:bCs w:val="1"/>
          <w:color w:val="auto"/>
        </w:rPr>
        <w:t xml:space="preserve">2.3 </w:t>
      </w:r>
      <w:r>
        <w:rPr>
          <w:rFonts w:ascii="Arial" w:cs="Arial" w:eastAsia="Arial" w:hAnsi="Arial"/>
          <w:sz w:val="21"/>
          <w:szCs w:val="21"/>
          <w:color w:val="auto"/>
        </w:rPr>
        <w:t>The Company shall not be responsible for making any payment under this Section 2.0 and its sub-parts if Employee has not</w:t>
      </w:r>
      <w:r>
        <w:rPr>
          <w:rFonts w:ascii="Arial" w:cs="Arial" w:eastAsia="Arial" w:hAnsi="Arial"/>
          <w:sz w:val="21"/>
          <w:szCs w:val="21"/>
          <w:b w:val="1"/>
          <w:bCs w:val="1"/>
          <w:color w:val="auto"/>
        </w:rPr>
        <w:t xml:space="preserve"> </w:t>
      </w:r>
      <w:r>
        <w:rPr>
          <w:rFonts w:ascii="Arial" w:cs="Arial" w:eastAsia="Arial" w:hAnsi="Arial"/>
          <w:sz w:val="21"/>
          <w:szCs w:val="21"/>
          <w:color w:val="auto"/>
        </w:rPr>
        <w:t>complied in all material respects with the terms and conditions of this Agreement.</w:t>
      </w:r>
    </w:p>
    <w:p>
      <w:pPr>
        <w:spacing w:after="0" w:line="141"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3.0</w:t>
      </w:r>
      <w:r>
        <w:rPr>
          <w:sz w:val="20"/>
          <w:szCs w:val="20"/>
          <w:color w:val="auto"/>
        </w:rPr>
        <w:tab/>
      </w:r>
      <w:r>
        <w:rPr>
          <w:rFonts w:ascii="Arial" w:cs="Arial" w:eastAsia="Arial" w:hAnsi="Arial"/>
          <w:sz w:val="18"/>
          <w:szCs w:val="18"/>
          <w:b w:val="1"/>
          <w:bCs w:val="1"/>
          <w:u w:val="single" w:color="auto"/>
          <w:color w:val="auto"/>
        </w:rPr>
        <w:t>Benefits</w:t>
      </w:r>
    </w:p>
    <w:p>
      <w:pPr>
        <w:spacing w:after="0" w:line="185"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3.1</w:t>
      </w:r>
      <w:r>
        <w:rPr>
          <w:sz w:val="20"/>
          <w:szCs w:val="20"/>
          <w:color w:val="auto"/>
        </w:rPr>
        <w:tab/>
      </w:r>
      <w:r>
        <w:rPr>
          <w:rFonts w:ascii="Arial" w:cs="Arial" w:eastAsia="Arial" w:hAnsi="Arial"/>
          <w:sz w:val="19"/>
          <w:szCs w:val="19"/>
          <w:color w:val="auto"/>
        </w:rPr>
        <w:t>The Employee may receive reimbursement of expenses for outplacement services capped at $3,000.</w:t>
      </w:r>
    </w:p>
    <w:p>
      <w:pPr>
        <w:spacing w:after="0" w:line="185" w:lineRule="exact"/>
        <w:rPr>
          <w:sz w:val="20"/>
          <w:szCs w:val="20"/>
          <w:color w:val="auto"/>
        </w:rPr>
      </w:pPr>
    </w:p>
    <w:p>
      <w:pPr>
        <w:jc w:val="both"/>
        <w:ind w:firstLine="6"/>
        <w:spacing w:after="0" w:line="242"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Employee, his/her spouse, and his/her other dependent(s) may be eligible to elect continued health care coverage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welfare plans sponsored by the Company, as provided in the applicable provisions of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which provides generally that certain employees and their dependents may elect to continue coverage under employer-sponsored group health plans for a period of at least eighteen (18) months under certain conditions, including payment by Employee of the “</w:t>
      </w:r>
      <w:r>
        <w:rPr>
          <w:rFonts w:ascii="Arial" w:cs="Arial" w:eastAsia="Arial" w:hAnsi="Arial"/>
          <w:sz w:val="19"/>
          <w:szCs w:val="19"/>
          <w:b w:val="1"/>
          <w:bCs w:val="1"/>
          <w:color w:val="auto"/>
        </w:rPr>
        <w:t>Applicable Premium</w:t>
      </w:r>
      <w:r>
        <w:rPr>
          <w:rFonts w:ascii="Arial" w:cs="Arial" w:eastAsia="Arial" w:hAnsi="Arial"/>
          <w:sz w:val="19"/>
          <w:szCs w:val="19"/>
          <w:color w:val="auto"/>
        </w:rPr>
        <w:t xml:space="preserve">” as defined in Section 604 of the Employee Retirement Income Security Act of 1974, as amended, 29 U.S.C. §§ 1001 </w:t>
      </w:r>
      <w:r>
        <w:rPr>
          <w:rFonts w:ascii="Arial" w:cs="Arial" w:eastAsia="Arial" w:hAnsi="Arial"/>
          <w:sz w:val="19"/>
          <w:szCs w:val="19"/>
          <w:i w:val="1"/>
          <w:iCs w:val="1"/>
          <w:color w:val="auto"/>
        </w:rPr>
        <w:t>et seq</w:t>
      </w:r>
      <w:r>
        <w:rPr>
          <w:rFonts w:ascii="Arial" w:cs="Arial" w:eastAsia="Arial" w:hAnsi="Arial"/>
          <w:sz w:val="19"/>
          <w:szCs w:val="19"/>
          <w:color w:val="auto"/>
        </w:rPr>
        <w:t>. (“</w:t>
      </w:r>
      <w:r>
        <w:rPr>
          <w:rFonts w:ascii="Arial" w:cs="Arial" w:eastAsia="Arial" w:hAnsi="Arial"/>
          <w:sz w:val="19"/>
          <w:szCs w:val="19"/>
          <w:b w:val="1"/>
          <w:bCs w:val="1"/>
          <w:color w:val="auto"/>
        </w:rPr>
        <w:t>ERISA</w:t>
      </w:r>
      <w:r>
        <w:rPr>
          <w:rFonts w:ascii="Arial" w:cs="Arial" w:eastAsia="Arial" w:hAnsi="Arial"/>
          <w:sz w:val="19"/>
          <w:szCs w:val="19"/>
          <w:color w:val="auto"/>
        </w:rPr>
        <w:t>”). In the event Employee elects continuation of coverage under COBRA for himself/herself and his/her spouse and dependents, the Company will pay the Applicable Premium for such coverage (medical, dental, optical and prescription coverage for spouse and dependants) for 12 months, thereof. Employee shall be responsible for, and will be required to pay, the Applicable Premium for any COBRA coverage.</w:t>
      </w:r>
    </w:p>
    <w:p>
      <w:pPr>
        <w:spacing w:after="0" w:line="150" w:lineRule="exact"/>
        <w:rPr>
          <w:sz w:val="20"/>
          <w:szCs w:val="20"/>
          <w:color w:val="auto"/>
        </w:rPr>
      </w:pPr>
    </w:p>
    <w:p>
      <w:pPr>
        <w:jc w:val="both"/>
        <w:ind w:firstLine="6"/>
        <w:spacing w:after="0" w:line="218"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color w:val="auto"/>
        </w:rPr>
        <w:t>Employee shall be eligible for such benefits under the Company’s existing qualified plans as are provided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circumstances (taking into account termination of employment as of the Termination Date) pursuant to the terms of the plan documents governing each of these plans. Except as otherwise provided herein or in the terms of any documents governing any employee benefit plan maintained by the Company, Employee will cease to be a participant in and will no longer have any coverage or entitlement to benefits, accruals, or contributions under any of the Company’s employee benefit plans effective upon the termination of his/her employment. Employee agrees that the payments made to him/her by the Company pursuant to this Agreement do not constitute compensation for purposes of calculating the amount of benefits Employee may be entitled to under the terms of any pension plan or for the purposes of accruing any benefit, receiving any allocation of any contribution, or having the right to defer any income in any profit-sharing or other employee pension benefit plan, including any cash or deferred arrangement.</w:t>
      </w:r>
    </w:p>
    <w:p>
      <w:pPr>
        <w:spacing w:after="0" w:line="152" w:lineRule="exact"/>
        <w:rPr>
          <w:sz w:val="20"/>
          <w:szCs w:val="20"/>
          <w:color w:val="auto"/>
        </w:rPr>
      </w:pPr>
    </w:p>
    <w:p>
      <w:pPr>
        <w:jc w:val="both"/>
        <w:ind w:firstLine="6"/>
        <w:spacing w:after="0" w:line="247"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color w:val="auto"/>
        </w:rPr>
        <w:t>Employee also understands that his/her equity awards are governed by the terms and conditions of the Laboratory</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of America Holdings 2016 Omnibus Incentive Plan or predecessor plans and individual equity award agreements. Nothing in this Agreement alters, changes, or amends the terms and conditions of said equity awards and award agreements.</w:t>
      </w:r>
    </w:p>
    <w:p>
      <w:pPr>
        <w:spacing w:after="0" w:line="143" w:lineRule="exact"/>
        <w:rPr>
          <w:sz w:val="20"/>
          <w:szCs w:val="20"/>
          <w:color w:val="auto"/>
        </w:rPr>
      </w:pPr>
    </w:p>
    <w:p>
      <w:pPr>
        <w:jc w:val="both"/>
        <w:spacing w:after="0" w:line="228" w:lineRule="auto"/>
        <w:rPr>
          <w:sz w:val="20"/>
          <w:szCs w:val="20"/>
          <w:color w:val="auto"/>
        </w:rPr>
      </w:pPr>
      <w:r>
        <w:rPr>
          <w:rFonts w:ascii="Arial" w:cs="Arial" w:eastAsia="Arial" w:hAnsi="Arial"/>
          <w:sz w:val="21"/>
          <w:szCs w:val="21"/>
          <w:b w:val="1"/>
          <w:bCs w:val="1"/>
          <w:color w:val="auto"/>
        </w:rPr>
        <w:t xml:space="preserve">3.5 </w:t>
      </w:r>
      <w:r>
        <w:rPr>
          <w:rFonts w:ascii="Arial" w:cs="Arial" w:eastAsia="Arial" w:hAnsi="Arial"/>
          <w:sz w:val="21"/>
          <w:szCs w:val="21"/>
          <w:color w:val="auto"/>
        </w:rPr>
        <w:t>Employee shall submit for reimbursement any and all unpaid business expenses to the Company within 30 days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Date. The Company will reimburse said expenses provided that they are consistent with, and reimbursable under, the Company’s travel and entertainment expense policy. The Company will not be responsible for reimbursing the Employee for any business expenses submitted after said 30 day period.</w:t>
      </w:r>
    </w:p>
    <w:p>
      <w:pPr>
        <w:spacing w:after="0" w:line="149"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b w:val="1"/>
          <w:bCs w:val="1"/>
          <w:color w:val="auto"/>
        </w:rPr>
        <w:t xml:space="preserve">3.6 </w:t>
      </w:r>
      <w:r>
        <w:rPr>
          <w:rFonts w:ascii="Arial" w:cs="Arial" w:eastAsia="Arial" w:hAnsi="Arial"/>
          <w:sz w:val="21"/>
          <w:szCs w:val="21"/>
          <w:color w:val="auto"/>
        </w:rPr>
        <w:t>This Agreement shall never be construed as an admission by the Company of any liability, wrongdoing or responsibility on</w:t>
      </w:r>
      <w:r>
        <w:rPr>
          <w:rFonts w:ascii="Arial" w:cs="Arial" w:eastAsia="Arial" w:hAnsi="Arial"/>
          <w:sz w:val="21"/>
          <w:szCs w:val="21"/>
          <w:b w:val="1"/>
          <w:bCs w:val="1"/>
          <w:color w:val="auto"/>
        </w:rPr>
        <w:t xml:space="preserve"> </w:t>
      </w:r>
      <w:r>
        <w:rPr>
          <w:rFonts w:ascii="Arial" w:cs="Arial" w:eastAsia="Arial" w:hAnsi="Arial"/>
          <w:sz w:val="21"/>
          <w:szCs w:val="21"/>
          <w:color w:val="auto"/>
        </w:rPr>
        <w:t>its part or on the part of any other person or entity described in Section 4.1 of this Agreement. The Company expressly denies any such liability, wrongdoing or responsibility.</w:t>
      </w:r>
    </w:p>
    <w:p>
      <w:pPr>
        <w:sectPr>
          <w:pgSz w:w="11900" w:h="16838" w:orient="portrait"/>
          <w:cols w:equalWidth="0" w:num="1">
            <w:col w:w="11240"/>
          </w:cols>
          <w:pgMar w:left="320" w:top="1378" w:right="339" w:bottom="1440" w:gutter="0" w:footer="0" w:header="0"/>
        </w:sectPr>
      </w:pPr>
    </w:p>
    <w:bookmarkStart w:id="40" w:name="page41"/>
    <w:bookmarkEnd w:id="40"/>
    <w:p>
      <w:pPr>
        <w:spacing w:after="0"/>
        <w:tabs>
          <w:tab w:leader="none" w:pos="460" w:val="left"/>
        </w:tabs>
        <w:rPr>
          <w:sz w:val="20"/>
          <w:szCs w:val="20"/>
          <w:color w:val="auto"/>
        </w:rPr>
      </w:pPr>
      <w:r>
        <w:rPr>
          <w:rFonts w:ascii="Arial" w:cs="Arial" w:eastAsia="Arial" w:hAnsi="Arial"/>
          <w:sz w:val="21"/>
          <w:szCs w:val="21"/>
          <w:b w:val="1"/>
          <w:bCs w:val="1"/>
          <w:color w:val="auto"/>
        </w:rPr>
        <w:t>4.0</w:t>
      </w:r>
      <w:r>
        <w:rPr>
          <w:sz w:val="20"/>
          <w:szCs w:val="20"/>
          <w:color w:val="auto"/>
        </w:rPr>
        <w:tab/>
      </w:r>
      <w:r>
        <w:rPr>
          <w:rFonts w:ascii="Arial" w:cs="Arial" w:eastAsia="Arial" w:hAnsi="Arial"/>
          <w:sz w:val="18"/>
          <w:szCs w:val="18"/>
          <w:b w:val="1"/>
          <w:bCs w:val="1"/>
          <w:u w:val="single" w:color="auto"/>
          <w:color w:val="auto"/>
        </w:rPr>
        <w:t>Release</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color w:val="auto"/>
        </w:rPr>
        <w:t>Employee, on behalf of himself/herself and his/her heirs, assigns, transferees and representatives, hereby releases and forever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discharges the Company, and its predecessors, successors, parents, subsidiaries, affiliates, assigns, representatives and agents, as well as all of their present and former directors, officers, employees, agents, shareholders, representatives, attorneys and insurers (collectively, the “Releasees”), from any and all claims, causes of actions, demands, damages or liability of any nature whatsoever, known or unknown, which Employee has or may have which arise out of his/her employment or cessation of employment with the Company, or which concern or relate in any way to any acts or omissions done or occurring prior to and including the date of this Agreement, including, but not limited to, claims arising under the Fair Labor Standards Act; the Equal Pay Act; Title VII of the Civil Rights Act of 1964; 42 U.S.C. § 1981 </w:t>
      </w:r>
      <w:r>
        <w:rPr>
          <w:rFonts w:ascii="Arial" w:cs="Arial" w:eastAsia="Arial" w:hAnsi="Arial"/>
          <w:sz w:val="19"/>
          <w:szCs w:val="19"/>
          <w:i w:val="1"/>
          <w:iCs w:val="1"/>
          <w:color w:val="auto"/>
        </w:rPr>
        <w:t>et seq.</w:t>
      </w:r>
      <w:r>
        <w:rPr>
          <w:rFonts w:ascii="Arial" w:cs="Arial" w:eastAsia="Arial" w:hAnsi="Arial"/>
          <w:sz w:val="19"/>
          <w:szCs w:val="19"/>
          <w:color w:val="auto"/>
        </w:rPr>
        <w:t>; the Americans with Disabilities Act; the Family and Medical Leave Act; the Employee Retirement Income Security Act of 1974; the Worker Adjustment and Retraining Notification Act, the Age Discrimination in Employment Act; the Genetic Information Nondiscrimination Act of 2008 (GINA), any and all claims for discrimination, wrongful termination and/or retaliation; claims for breach of contract, express or implied; claims for breach of the covenant of good faith and fair dealing; claims for compensation, including but not limited to wages, bonuses, or commissions except as otherwise contained herein; claims for benefits or fringe benefits, including, but not limited to, claims for severance pay and/or termination pay, except as otherwise contained herein; claims for, or relating to stock or stock options (except that nothing in this Agreement shall prohibit Employee from exercising any vested stock options or affect Employee’s claims to vested benefits in the Company’s Employees’ Retirement Savings Plan, Deferred Compensation Plan, Employee Stock Purchase Plan, or Cash Balance Retirement Plan, in accordance with the terms of the applicable stock option agreement(s) and applicable plan documents); claims for unaccrued vacation pay; claims arising in tort, including, but not limited to, claims for invasion of privacy, negligent or intentional infliction of emotional distress, fraud, negligent or intentional misrepresentation, and defamation; claims for quantum meruit and/or unjust enrichment; and any and all other claims arising under any other federal, state, local or foreign laws, as well as any and all other common law legal or equitable claims.</w:t>
      </w:r>
    </w:p>
    <w:p>
      <w:pPr>
        <w:spacing w:after="0" w:line="160"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4.2 </w:t>
      </w:r>
      <w:r>
        <w:rPr>
          <w:rFonts w:ascii="Arial" w:cs="Arial" w:eastAsia="Arial" w:hAnsi="Arial"/>
          <w:sz w:val="21"/>
          <w:szCs w:val="21"/>
          <w:color w:val="auto"/>
        </w:rPr>
        <w:t>Employee represents that he/she has not initiated any action or charge against any of the Releasees with any Federal, State or</w:t>
      </w:r>
      <w:r>
        <w:rPr>
          <w:rFonts w:ascii="Arial" w:cs="Arial" w:eastAsia="Arial" w:hAnsi="Arial"/>
          <w:sz w:val="21"/>
          <w:szCs w:val="21"/>
          <w:b w:val="1"/>
          <w:bCs w:val="1"/>
          <w:color w:val="auto"/>
        </w:rPr>
        <w:t xml:space="preserve"> </w:t>
      </w:r>
      <w:r>
        <w:rPr>
          <w:rFonts w:ascii="Arial" w:cs="Arial" w:eastAsia="Arial" w:hAnsi="Arial"/>
          <w:sz w:val="21"/>
          <w:szCs w:val="21"/>
          <w:color w:val="auto"/>
        </w:rPr>
        <w:t>local court or administrative agency. Employee knowingly and intentionally waives any rights to any additional recovery that might be sought on his/her behalf by any other person, entity, local, state or federal government or agency thereof, including specifically and without limitation, the United States Department of Labor, or the Equal Employment Opportunity Commission and comparable State agencies.</w:t>
      </w:r>
    </w:p>
    <w:p>
      <w:pPr>
        <w:spacing w:after="0" w:line="158" w:lineRule="exact"/>
        <w:rPr>
          <w:sz w:val="20"/>
          <w:szCs w:val="20"/>
          <w:color w:val="auto"/>
        </w:rPr>
      </w:pPr>
    </w:p>
    <w:p>
      <w:pPr>
        <w:jc w:val="both"/>
        <w:ind w:firstLine="6"/>
        <w:spacing w:after="0" w:line="254" w:lineRule="auto"/>
        <w:rPr>
          <w:sz w:val="20"/>
          <w:szCs w:val="20"/>
          <w:color w:val="auto"/>
        </w:rPr>
      </w:pPr>
      <w:r>
        <w:rPr>
          <w:rFonts w:ascii="Arial" w:cs="Arial" w:eastAsia="Arial" w:hAnsi="Arial"/>
          <w:sz w:val="18"/>
          <w:szCs w:val="18"/>
          <w:b w:val="1"/>
          <w:bCs w:val="1"/>
          <w:i w:val="1"/>
          <w:iCs w:val="1"/>
          <w:color w:val="auto"/>
        </w:rPr>
        <w:t>4.3 Employee is hereby advised that: (i) he/she should consult with an attorney (at his/her own expense) prior to executing this Agreement; (ii) he/she is waiving, among other things, any age discrimination claims under the Age Discrimination in Employment Act, provided, however, he/she is not waiving any claims that may arise after the date this Agreement is executed;</w:t>
      </w:r>
    </w:p>
    <w:p>
      <w:pPr>
        <w:spacing w:after="0" w:line="1" w:lineRule="exact"/>
        <w:rPr>
          <w:sz w:val="20"/>
          <w:szCs w:val="20"/>
          <w:color w:val="auto"/>
        </w:rPr>
      </w:pPr>
    </w:p>
    <w:p>
      <w:pPr>
        <w:jc w:val="both"/>
        <w:ind w:firstLine="7"/>
        <w:spacing w:after="0" w:line="253" w:lineRule="auto"/>
        <w:tabs>
          <w:tab w:leader="none" w:pos="381" w:val="left"/>
        </w:tabs>
        <w:numPr>
          <w:ilvl w:val="0"/>
          <w:numId w:val="1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he/she has twenty-one (21) days within which to consider the execution of this Agreement, before signing it; and (iv) for a period of seven (7) days following the execution of this Agreement, he/she may revoke this Agreement by delivering written notice (by the close of business on the fifteenth day) to the Company in accordance with Section 10.7 herein.</w:t>
      </w:r>
    </w:p>
    <w:p>
      <w:pPr>
        <w:spacing w:after="0" w:line="138" w:lineRule="exact"/>
        <w:rPr>
          <w:sz w:val="20"/>
          <w:szCs w:val="20"/>
          <w:color w:val="auto"/>
        </w:rPr>
      </w:pPr>
    </w:p>
    <w:p>
      <w:pPr>
        <w:ind w:firstLine="6"/>
        <w:spacing w:after="0" w:line="248" w:lineRule="auto"/>
        <w:rPr>
          <w:sz w:val="20"/>
          <w:szCs w:val="20"/>
          <w:color w:val="auto"/>
        </w:rPr>
      </w:pPr>
      <w:r>
        <w:rPr>
          <w:rFonts w:ascii="Arial" w:cs="Arial" w:eastAsia="Arial" w:hAnsi="Arial"/>
          <w:sz w:val="21"/>
          <w:szCs w:val="21"/>
          <w:b w:val="1"/>
          <w:bCs w:val="1"/>
          <w:color w:val="auto"/>
        </w:rPr>
        <w:t xml:space="preserve">4.4 </w:t>
      </w:r>
      <w:r>
        <w:rPr>
          <w:rFonts w:ascii="Arial" w:cs="Arial" w:eastAsia="Arial" w:hAnsi="Arial"/>
          <w:sz w:val="21"/>
          <w:szCs w:val="21"/>
          <w:color w:val="auto"/>
        </w:rPr>
        <w:t>Notwithstanding the provisions of Section 4.1, said release does not apply to any and all statutory or other claims that are</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prohibited from waiver by Federal, State or local law.</w:t>
      </w:r>
    </w:p>
    <w:p>
      <w:pPr>
        <w:spacing w:after="0" w:line="136"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21"/>
          <w:szCs w:val="21"/>
          <w:b w:val="1"/>
          <w:bCs w:val="1"/>
          <w:color w:val="auto"/>
        </w:rPr>
        <w:t>4.5</w:t>
      </w:r>
      <w:r>
        <w:rPr>
          <w:sz w:val="20"/>
          <w:szCs w:val="20"/>
          <w:color w:val="auto"/>
        </w:rPr>
        <w:tab/>
      </w:r>
      <w:r>
        <w:rPr>
          <w:rFonts w:ascii="Arial" w:cs="Arial" w:eastAsia="Arial" w:hAnsi="Arial"/>
          <w:sz w:val="19"/>
          <w:szCs w:val="19"/>
          <w:color w:val="auto"/>
        </w:rPr>
        <w:t>The parties agree that the Company has no prior legal obligation to make the additional payments set forth above in Sections</w:t>
      </w:r>
    </w:p>
    <w:p>
      <w:pPr>
        <w:spacing w:after="0"/>
        <w:rPr>
          <w:sz w:val="20"/>
          <w:szCs w:val="20"/>
          <w:color w:val="auto"/>
        </w:rPr>
      </w:pPr>
      <w:r>
        <w:rPr>
          <w:rFonts w:ascii="Arial" w:cs="Arial" w:eastAsia="Arial" w:hAnsi="Arial"/>
          <w:sz w:val="21"/>
          <w:szCs w:val="21"/>
          <w:color w:val="auto"/>
        </w:rPr>
        <w:t>2.0 and 3.0 (including the sub-parts thereto) and</w:t>
      </w:r>
    </w:p>
    <w:p>
      <w:pPr>
        <w:sectPr>
          <w:pgSz w:w="11900" w:h="16838" w:orient="portrait"/>
          <w:cols w:equalWidth="0" w:num="1">
            <w:col w:w="11240"/>
          </w:cols>
          <w:pgMar w:left="320" w:top="1378" w:right="339" w:bottom="1440" w:gutter="0" w:footer="0" w:header="0"/>
        </w:sectPr>
      </w:pPr>
    </w:p>
    <w:bookmarkStart w:id="41" w:name="page42"/>
    <w:bookmarkEnd w:id="41"/>
    <w:p>
      <w:pPr>
        <w:jc w:val="both"/>
        <w:spacing w:after="0" w:line="223" w:lineRule="auto"/>
        <w:rPr>
          <w:sz w:val="20"/>
          <w:szCs w:val="20"/>
          <w:color w:val="auto"/>
        </w:rPr>
      </w:pPr>
      <w:r>
        <w:rPr>
          <w:rFonts w:ascii="Arial" w:cs="Arial" w:eastAsia="Arial" w:hAnsi="Arial"/>
          <w:sz w:val="21"/>
          <w:szCs w:val="21"/>
          <w:color w:val="auto"/>
        </w:rPr>
        <w:t>that it has been exchanged for the promises of Employee stated in this Agreement. It is specifically understood and agreed that the additional payments, and each of them, are good and adequate consideration to support the waivers, releases and obligations contained herein, including, without limitation, Sections 4.0, 5.0, 6.0, 7.0, and 8.0, and their respective sub-parts, and that all of the payments set forth Sections 2.0 and 3.0 (including the sub-parts thereto) are of value in addition to anything to which Employee already was entitled prior to the execution of this Agreement.</w:t>
      </w:r>
    </w:p>
    <w:p>
      <w:pPr>
        <w:spacing w:after="0" w:line="152"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5.0</w:t>
      </w:r>
      <w:r>
        <w:rPr>
          <w:sz w:val="20"/>
          <w:szCs w:val="20"/>
          <w:color w:val="auto"/>
        </w:rPr>
        <w:tab/>
      </w:r>
      <w:r>
        <w:rPr>
          <w:rFonts w:ascii="Arial" w:cs="Arial" w:eastAsia="Arial" w:hAnsi="Arial"/>
          <w:sz w:val="19"/>
          <w:szCs w:val="19"/>
          <w:b w:val="1"/>
          <w:bCs w:val="1"/>
          <w:u w:val="single" w:color="auto"/>
          <w:color w:val="auto"/>
        </w:rPr>
        <w:t>Confidentiality</w:t>
      </w:r>
    </w:p>
    <w:p>
      <w:pPr>
        <w:spacing w:after="0" w:line="185" w:lineRule="exact"/>
        <w:rPr>
          <w:sz w:val="20"/>
          <w:szCs w:val="20"/>
          <w:color w:val="auto"/>
        </w:rPr>
      </w:pPr>
    </w:p>
    <w:p>
      <w:pPr>
        <w:jc w:val="both"/>
        <w:ind w:firstLine="6"/>
        <w:spacing w:after="0" w:line="250"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color w:val="auto"/>
        </w:rPr>
        <w:t>The parties acknowledge that during the course of Employee’s employment with the Company, he/she was given access, on a</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basis, to Confidential Information which the Company has for years collected, developed, and/or discovered through a significant amount of effort and at great expense. The parties acknowledge that the Confidential Information of the Company is not generally known or easily obtained in the Company’s trade, industry, business, or otherwise and that maintaining the secrecy of the Confidential Information is extremely important to the Company’s ability to compete with its competitors.</w:t>
      </w:r>
    </w:p>
    <w:p>
      <w:pPr>
        <w:spacing w:after="0" w:line="141" w:lineRule="exact"/>
        <w:rPr>
          <w:sz w:val="20"/>
          <w:szCs w:val="20"/>
          <w:color w:val="auto"/>
        </w:rPr>
      </w:pPr>
    </w:p>
    <w:p>
      <w:pPr>
        <w:jc w:val="both"/>
        <w:ind w:firstLine="6"/>
        <w:spacing w:after="0" w:line="221" w:lineRule="auto"/>
        <w:rPr>
          <w:sz w:val="20"/>
          <w:szCs w:val="20"/>
          <w:color w:val="auto"/>
        </w:rPr>
      </w:pPr>
      <w:r>
        <w:rPr>
          <w:rFonts w:ascii="Arial" w:cs="Arial" w:eastAsia="Arial" w:hAnsi="Arial"/>
          <w:sz w:val="21"/>
          <w:szCs w:val="21"/>
          <w:b w:val="1"/>
          <w:bCs w:val="1"/>
          <w:color w:val="auto"/>
        </w:rPr>
        <w:t xml:space="preserve">5.2 </w:t>
      </w:r>
      <w:r>
        <w:rPr>
          <w:rFonts w:ascii="Arial" w:cs="Arial" w:eastAsia="Arial" w:hAnsi="Arial"/>
          <w:sz w:val="21"/>
          <w:szCs w:val="21"/>
          <w:color w:val="auto"/>
        </w:rPr>
        <w:t>Employee agrees that for a period of seven (7) years from the date of this Agreement, Employee shall not, without the prior</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consent of the Company, divulge to any third party or use for his/her own benefit, or for any purpose other than the exclusive benefit of the Company, any Confidential Information of the Company; provided however, that nothing herein contained shall restrict Employee’s ability to make such disclosures as such disclosures may be required by law; and further providing that nothing herein contained shall restrict Employee from divulging information that is readily available to the general public as long as such information did not become available to the general public as a direct or indirect result of Employee’s breach of this section of this Agreement.</w:t>
      </w:r>
    </w:p>
    <w:p>
      <w:pPr>
        <w:spacing w:after="0" w:line="149" w:lineRule="exact"/>
        <w:rPr>
          <w:sz w:val="20"/>
          <w:szCs w:val="20"/>
          <w:color w:val="auto"/>
        </w:rPr>
      </w:pPr>
    </w:p>
    <w:p>
      <w:pPr>
        <w:jc w:val="both"/>
        <w:ind w:firstLine="6"/>
        <w:spacing w:after="0"/>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color w:val="auto"/>
        </w:rPr>
        <w:t>The term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in this Agreement shall mean information that is not readily and easily available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public or to persons in the same business, trade, or industry of the Company, and that concerns the Company’s prices, pricing methods, costs, profits, profit margins, suppliers, methods, procedures, processes or combinations or applications thereof developed in, by, or for the Company’s business, research and development projects, data, business strategies, marketing strategies, sales techniques, customer lists, customer information, or any other information concerning the Company or its business that is not readily and easily available to the public or to those persons in the same business, trade, or industry of the Company. The term “customer information” as used in this Agreement shall mean information that is not readily and easily available to the public or to those persons in the same business, trade, or industry and that concerns the course of dealing between the Company and its customers or potential customers solicited by the Company, customer preferences, particular contracts or locations of customers, negotiations with customers, and any other information concerning customers obtained by the Company that is not readily and easily available to the public or to those in the business, trade, or industry of the Company.</w:t>
      </w:r>
    </w:p>
    <w:p>
      <w:pPr>
        <w:spacing w:after="0" w:line="155" w:lineRule="exact"/>
        <w:rPr>
          <w:sz w:val="20"/>
          <w:szCs w:val="20"/>
          <w:color w:val="auto"/>
        </w:rPr>
      </w:pPr>
    </w:p>
    <w:p>
      <w:pPr>
        <w:jc w:val="both"/>
        <w:spacing w:after="0" w:line="224" w:lineRule="auto"/>
        <w:rPr>
          <w:sz w:val="20"/>
          <w:szCs w:val="20"/>
          <w:color w:val="auto"/>
        </w:rPr>
      </w:pPr>
      <w:r>
        <w:rPr>
          <w:rFonts w:ascii="Arial" w:cs="Arial" w:eastAsia="Arial" w:hAnsi="Arial"/>
          <w:sz w:val="21"/>
          <w:szCs w:val="21"/>
          <w:b w:val="1"/>
          <w:bCs w:val="1"/>
          <w:color w:val="auto"/>
        </w:rPr>
        <w:t xml:space="preserve">5.4 </w:t>
      </w:r>
      <w:r>
        <w:rPr>
          <w:rFonts w:ascii="Arial" w:cs="Arial" w:eastAsia="Arial" w:hAnsi="Arial"/>
          <w:sz w:val="21"/>
          <w:szCs w:val="21"/>
          <w:color w:val="auto"/>
        </w:rPr>
        <w:t>Employee acknowledges that all information, the disclosure of which is prohibited hereby, is of a confidential and proprietary</w:t>
      </w:r>
      <w:r>
        <w:rPr>
          <w:rFonts w:ascii="Arial" w:cs="Arial" w:eastAsia="Arial" w:hAnsi="Arial"/>
          <w:sz w:val="21"/>
          <w:szCs w:val="21"/>
          <w:b w:val="1"/>
          <w:bCs w:val="1"/>
          <w:color w:val="auto"/>
        </w:rPr>
        <w:t xml:space="preserve"> </w:t>
      </w:r>
      <w:r>
        <w:rPr>
          <w:rFonts w:ascii="Arial" w:cs="Arial" w:eastAsia="Arial" w:hAnsi="Arial"/>
          <w:sz w:val="21"/>
          <w:szCs w:val="21"/>
          <w:color w:val="auto"/>
        </w:rPr>
        <w:t>character and of great value to the Company, and upon the execution of this Agreement (or as soon thereafter as is reasonably practicable), Employee shall forthwith deliver to the Company all records, memoranda, data, and documents of any description that refer to or relate in any way to such information and shall return to the Company any of its equipment and property which may then be in Employee’s possession or under Employee’s personal control.</w:t>
      </w:r>
    </w:p>
    <w:p>
      <w:pPr>
        <w:sectPr>
          <w:pgSz w:w="11900" w:h="16838" w:orient="portrait"/>
          <w:cols w:equalWidth="0" w:num="1">
            <w:col w:w="11240"/>
          </w:cols>
          <w:pgMar w:left="320" w:top="1384" w:right="3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20"/>
          <w:szCs w:val="20"/>
          <w:b w:val="1"/>
          <w:bCs w:val="1"/>
          <w:color w:val="auto"/>
        </w:rPr>
        <w:t xml:space="preserve">5.6 </w:t>
      </w:r>
      <w:r>
        <w:rPr>
          <w:rFonts w:ascii="Arial" w:cs="Arial" w:eastAsia="Arial" w:hAnsi="Arial"/>
          <w:sz w:val="20"/>
          <w:szCs w:val="20"/>
          <w:color w:val="auto"/>
        </w:rPr>
        <w:t>Employee hereby agrees that any failure to fully and completely comply with this provision shall entitle the Company to seek</w:t>
      </w:r>
      <w:r>
        <w:rPr>
          <w:rFonts w:ascii="Arial" w:cs="Arial" w:eastAsia="Arial" w:hAnsi="Arial"/>
          <w:sz w:val="20"/>
          <w:szCs w:val="20"/>
          <w:b w:val="1"/>
          <w:bCs w:val="1"/>
          <w:color w:val="auto"/>
        </w:rPr>
        <w:t xml:space="preserve"> </w:t>
      </w:r>
      <w:r>
        <w:rPr>
          <w:rFonts w:ascii="Arial" w:cs="Arial" w:eastAsia="Arial" w:hAnsi="Arial"/>
          <w:sz w:val="20"/>
          <w:szCs w:val="20"/>
          <w:color w:val="auto"/>
        </w:rPr>
        <w:t>damages for a demonstrated breach of the confidentiality provision, to include recoupment of monies paid hereunder.</w:t>
      </w:r>
    </w:p>
    <w:p>
      <w:pPr>
        <w:spacing w:after="0" w:line="118" w:lineRule="exact"/>
        <w:rPr>
          <w:sz w:val="20"/>
          <w:szCs w:val="20"/>
          <w:color w:val="auto"/>
        </w:rPr>
      </w:pPr>
    </w:p>
    <w:p>
      <w:pPr>
        <w:jc w:val="both"/>
        <w:ind w:firstLine="6"/>
        <w:spacing w:after="0" w:line="230" w:lineRule="auto"/>
        <w:rPr>
          <w:sz w:val="20"/>
          <w:szCs w:val="20"/>
          <w:color w:val="auto"/>
        </w:rPr>
      </w:pPr>
      <w:r>
        <w:rPr>
          <w:rFonts w:ascii="Arial" w:cs="Arial" w:eastAsia="Arial" w:hAnsi="Arial"/>
          <w:sz w:val="20"/>
          <w:szCs w:val="20"/>
          <w:b w:val="1"/>
          <w:bCs w:val="1"/>
          <w:color w:val="auto"/>
        </w:rPr>
        <w:t xml:space="preserve">5.7 </w:t>
      </w:r>
      <w:r>
        <w:rPr>
          <w:rFonts w:ascii="Arial" w:cs="Arial" w:eastAsia="Arial" w:hAnsi="Arial"/>
          <w:sz w:val="20"/>
          <w:szCs w:val="20"/>
          <w:color w:val="auto"/>
        </w:rPr>
        <w:t>Notwithstanding the restrictions set forth in Section 5.0 and its subparts, Employee may disclose information protected under</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5.0 and its subparts if and only if such is (i) lawfully required by any government agency; (ii) otherwise required to be disclosed by law (including legally required financial reporting) and/or by court order; (iii) necessary in any legal proceeding in order to enforce any provision of this Agreement or (iv) made to the Securities Exchange Commission regarding security law issues or other government agency regarding a regulatory matter. Employee further agrees that he/she will notify the Company in writing within five (5) calendar days of the receipt of any subpoena, court order, administrative order or other legal process requiring disclosure of information subject to Section 5.0 and sub-parts thereto. Employee may also disclose the contents of Section 6.0 and its sub-parts and only those contents to any subsequent employer.</w:t>
      </w:r>
    </w:p>
    <w:p>
      <w:pPr>
        <w:spacing w:after="0" w:line="156"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6.0</w:t>
      </w:r>
      <w:r>
        <w:rPr>
          <w:sz w:val="20"/>
          <w:szCs w:val="20"/>
          <w:color w:val="auto"/>
        </w:rPr>
        <w:tab/>
      </w:r>
      <w:r>
        <w:rPr>
          <w:rFonts w:ascii="Arial" w:cs="Arial" w:eastAsia="Arial" w:hAnsi="Arial"/>
          <w:sz w:val="19"/>
          <w:szCs w:val="19"/>
          <w:b w:val="1"/>
          <w:bCs w:val="1"/>
          <w:u w:val="single" w:color="auto"/>
          <w:color w:val="auto"/>
        </w:rPr>
        <w:t>Non-Solicitation/Non-Compete</w:t>
      </w:r>
    </w:p>
    <w:p>
      <w:pPr>
        <w:spacing w:after="0" w:line="185" w:lineRule="exact"/>
        <w:rPr>
          <w:sz w:val="20"/>
          <w:szCs w:val="20"/>
          <w:color w:val="auto"/>
        </w:rPr>
      </w:pPr>
    </w:p>
    <w:p>
      <w:pPr>
        <w:jc w:val="both"/>
        <w:ind w:firstLine="6"/>
        <w:spacing w:after="0" w:line="226" w:lineRule="auto"/>
        <w:rPr>
          <w:sz w:val="20"/>
          <w:szCs w:val="20"/>
          <w:color w:val="auto"/>
        </w:rPr>
      </w:pPr>
      <w:r>
        <w:rPr>
          <w:rFonts w:ascii="Arial" w:cs="Arial" w:eastAsia="Arial" w:hAnsi="Arial"/>
          <w:sz w:val="20"/>
          <w:szCs w:val="20"/>
          <w:b w:val="1"/>
          <w:bCs w:val="1"/>
          <w:color w:val="auto"/>
        </w:rPr>
        <w:t xml:space="preserve">6.1 </w:t>
      </w:r>
      <w:r>
        <w:rPr>
          <w:rFonts w:ascii="Arial" w:cs="Arial" w:eastAsia="Arial" w:hAnsi="Arial"/>
          <w:sz w:val="20"/>
          <w:szCs w:val="20"/>
          <w:color w:val="auto"/>
        </w:rPr>
        <w:t>For a period of twelve (12) months following the Termination Date, Employee shall not become an owner in, shareholder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 more than a 2% equity interest in, investor in, or an employee, contractor, consultant, advisor, representative, officer, director, or agent of, a trade or business that offers products and services that are the same or substantially similar to the products and services provided by the Employer Company in any geographic market in which the Employer Company conducts business (“Competitor”);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duties and responsibilities of said employment or engagement as an owner in, shareholder with more than 2% equity interest in, investor in, contractor, consultant, advisor, representative, employee, officer, director or agent are (i) the same, similar, or substantially related to current duties and responsibilities or duties or responsibilities performed by Employee while employed by the Company at any time during a six (6) month period prior to Employee’s separation of employment and (ii) related to or concerning the Competitor’s business activities in the Restricted Territory. The parties agree and affirm that their intention with respect to Section 6.1 is that Employee’s activities shall be limited only for the twelve (12) month period after the separation of employment for any reason. The provisions calling for a "look back" of six (6) calendar months prior to the separation of employment are intended solely as a means of identifying the duties and responsibilities that will define the restricted activities covered by Section 6.1 and are not intended to nor shall they, under any circumstances, be construed to define the length or term of any such restriction. For purposes of Section 6.1, the term “Restricted Territory” means the geographic area that was part of Employee’s duties and responsibilities within a period of six (6) month period prior to the date of your termination of employment. If a court of competent jurisdiction determines that the Restricted Territory as defined herein is too restrictive, then the parties agree that the court may reduce or limit the Restricted Territory to the largest acceptable area so as to enable the enforcement of Section 6.1.</w:t>
      </w:r>
    </w:p>
    <w:p>
      <w:pPr>
        <w:spacing w:after="0" w:line="153" w:lineRule="exact"/>
        <w:rPr>
          <w:sz w:val="20"/>
          <w:szCs w:val="20"/>
          <w:color w:val="auto"/>
        </w:rPr>
      </w:pPr>
    </w:p>
    <w:p>
      <w:pPr>
        <w:jc w:val="both"/>
        <w:ind w:firstLine="6"/>
        <w:spacing w:after="0" w:line="243" w:lineRule="auto"/>
        <w:rPr>
          <w:sz w:val="20"/>
          <w:szCs w:val="20"/>
          <w:color w:val="auto"/>
        </w:rPr>
      </w:pPr>
      <w:r>
        <w:rPr>
          <w:rFonts w:ascii="Arial" w:cs="Arial" w:eastAsia="Arial" w:hAnsi="Arial"/>
          <w:sz w:val="19"/>
          <w:szCs w:val="19"/>
          <w:b w:val="1"/>
          <w:bCs w:val="1"/>
          <w:color w:val="auto"/>
        </w:rPr>
        <w:t xml:space="preserve">6.2 </w:t>
      </w:r>
      <w:r>
        <w:rPr>
          <w:rFonts w:ascii="Arial" w:cs="Arial" w:eastAsia="Arial" w:hAnsi="Arial"/>
          <w:sz w:val="19"/>
          <w:szCs w:val="19"/>
          <w:color w:val="auto"/>
        </w:rPr>
        <w:t>For a period of twelve (12) months following the Termination Date, Employee will not, either directly or indirectly, or on</w:t>
      </w:r>
      <w:r>
        <w:rPr>
          <w:rFonts w:ascii="Arial" w:cs="Arial" w:eastAsia="Arial" w:hAnsi="Arial"/>
          <w:sz w:val="19"/>
          <w:szCs w:val="19"/>
          <w:b w:val="1"/>
          <w:bCs w:val="1"/>
          <w:color w:val="auto"/>
        </w:rPr>
        <w:t xml:space="preserve"> </w:t>
      </w:r>
      <w:r>
        <w:rPr>
          <w:rFonts w:ascii="Arial" w:cs="Arial" w:eastAsia="Arial" w:hAnsi="Arial"/>
          <w:sz w:val="19"/>
          <w:szCs w:val="19"/>
          <w:color w:val="auto"/>
        </w:rPr>
        <w:t>behalf of any person, business, partnership, or other entity, call upon, contact, or solicit any customer or customer prospect of the Company, or any representative of the same, with a view toward the sale or providing of any service or product competitive with the Company’s Business; provided, however, the restrictions set forth in this Section shall apply only to customers or prospects of the Company, or representatives of the same, with which during the past 12 month period the Employee had contact or who were known by Employee to be customers or prospects, or representatives of the same, of the Company. The parties agree and affirm that their intention with respect to Section 6.2 of this Agreement is that Employee's activities be limited only for a twelve (12) month period after the Termination Date for any reason. The provisions calling for a "look back" of 12 calendar months prior to the</w:t>
      </w:r>
    </w:p>
    <w:p>
      <w:pPr>
        <w:sectPr>
          <w:pgSz w:w="11900" w:h="16838" w:orient="portrait"/>
          <w:cols w:equalWidth="0" w:num="1">
            <w:col w:w="11240"/>
          </w:cols>
          <w:pgMar w:left="320" w:top="1378" w:right="339" w:bottom="1440" w:gutter="0" w:footer="0" w:header="0"/>
        </w:sectPr>
      </w:pPr>
    </w:p>
    <w:bookmarkStart w:id="43" w:name="page44"/>
    <w:bookmarkEnd w:id="43"/>
    <w:p>
      <w:pPr>
        <w:jc w:val="both"/>
        <w:spacing w:after="0" w:line="242" w:lineRule="auto"/>
        <w:rPr>
          <w:sz w:val="20"/>
          <w:szCs w:val="20"/>
          <w:color w:val="auto"/>
        </w:rPr>
      </w:pPr>
      <w:r>
        <w:rPr>
          <w:rFonts w:ascii="Arial" w:cs="Arial" w:eastAsia="Arial" w:hAnsi="Arial"/>
          <w:sz w:val="21"/>
          <w:szCs w:val="21"/>
          <w:color w:val="auto"/>
        </w:rPr>
        <w:t>Termination Date are intended solely as a means of identifying the clients to which such restrictions apply and are not intended to nor shall they, under any circumstances, be construed to define the length or term of any such restriction.</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color w:val="auto"/>
        </w:rPr>
        <w:t xml:space="preserve">6.3 </w:t>
      </w:r>
      <w:r>
        <w:rPr>
          <w:rFonts w:ascii="Arial" w:cs="Arial" w:eastAsia="Arial" w:hAnsi="Arial"/>
          <w:sz w:val="19"/>
          <w:szCs w:val="19"/>
          <w:color w:val="auto"/>
        </w:rPr>
        <w:t>For a period of twelve 12 months following the Termination Date, Employee shall not directly or indirectly through a</w:t>
      </w:r>
      <w:r>
        <w:rPr>
          <w:rFonts w:ascii="Arial" w:cs="Arial" w:eastAsia="Arial" w:hAnsi="Arial"/>
          <w:sz w:val="19"/>
          <w:szCs w:val="19"/>
          <w:b w:val="1"/>
          <w:bCs w:val="1"/>
          <w:color w:val="auto"/>
        </w:rPr>
        <w:t xml:space="preserve"> </w:t>
      </w:r>
      <w:r>
        <w:rPr>
          <w:rFonts w:ascii="Arial" w:cs="Arial" w:eastAsia="Arial" w:hAnsi="Arial"/>
          <w:sz w:val="19"/>
          <w:szCs w:val="19"/>
          <w:color w:val="auto"/>
        </w:rPr>
        <w:t>subordinate, co-worker, peer, or any other person or entity contact, solicit, encourage or induce any officer, director or employee of the Company or its subsidiary companies to work for or provide services to Employee and/or any other person or entity.</w:t>
      </w:r>
    </w:p>
    <w:p>
      <w:pPr>
        <w:spacing w:after="0" w:line="1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color w:val="auto"/>
        </w:rPr>
        <w:t>Employee acknowledges and agrees that the foregoing restrictions are necessary for the reasonable and proper protection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are reasonable in respect to subject matter, length of time, geographic scope, customer scope, and scope of activity to be restrained; and are not unduly harsh and oppressive so as to deprive Employee of his/her livelihood or to unduly restrict Employee’s opportunity to earn a living after termination of Employee’s employment with the Company. Employee further acknowledges and agrees that if any restrictions set forth in this Section are found by any court of competent jurisdiction to be unenforceable or otherwise against public policy, the restriction shall be interpreted to extend only over the maximum period of time or other restriction as to which it would otherwise be enforceable.</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b w:val="1"/>
          <w:bCs w:val="1"/>
          <w:color w:val="auto"/>
        </w:rPr>
        <w:t xml:space="preserve">6.5 </w:t>
      </w:r>
      <w:r>
        <w:rPr>
          <w:rFonts w:ascii="Arial" w:cs="Arial" w:eastAsia="Arial" w:hAnsi="Arial"/>
          <w:sz w:val="19"/>
          <w:szCs w:val="19"/>
          <w:color w:val="auto"/>
        </w:rPr>
        <w:t>Employee acknowledges and agrees that because the violation, breach, or threatened breach of this Section and its sub-parts</w:t>
      </w:r>
      <w:r>
        <w:rPr>
          <w:rFonts w:ascii="Arial" w:cs="Arial" w:eastAsia="Arial" w:hAnsi="Arial"/>
          <w:sz w:val="19"/>
          <w:szCs w:val="19"/>
          <w:b w:val="1"/>
          <w:bCs w:val="1"/>
          <w:color w:val="auto"/>
        </w:rPr>
        <w:t xml:space="preserve"> </w:t>
      </w:r>
      <w:r>
        <w:rPr>
          <w:rFonts w:ascii="Arial" w:cs="Arial" w:eastAsia="Arial" w:hAnsi="Arial"/>
          <w:sz w:val="19"/>
          <w:szCs w:val="19"/>
          <w:color w:val="auto"/>
        </w:rPr>
        <w:t>would result in immediate and irreparable injury to the Company, the Company shall be entitled, without limitation of remedy, to</w:t>
      </w:r>
    </w:p>
    <w:p>
      <w:pPr>
        <w:spacing w:after="0" w:line="1" w:lineRule="exact"/>
        <w:rPr>
          <w:sz w:val="20"/>
          <w:szCs w:val="20"/>
          <w:color w:val="auto"/>
        </w:rPr>
      </w:pPr>
    </w:p>
    <w:p>
      <w:pPr>
        <w:jc w:val="both"/>
        <w:ind w:firstLine="7"/>
        <w:spacing w:after="0" w:line="218" w:lineRule="auto"/>
        <w:tabs>
          <w:tab w:leader="none" w:pos="317" w:val="left"/>
        </w:tabs>
        <w:numPr>
          <w:ilvl w:val="0"/>
          <w:numId w:val="13"/>
        </w:numPr>
        <w:rPr>
          <w:rFonts w:ascii="Arial" w:cs="Arial" w:eastAsia="Arial" w:hAnsi="Arial"/>
          <w:sz w:val="21"/>
          <w:szCs w:val="21"/>
          <w:color w:val="auto"/>
        </w:rPr>
      </w:pPr>
      <w:r>
        <w:rPr>
          <w:rFonts w:ascii="Arial" w:cs="Arial" w:eastAsia="Arial" w:hAnsi="Arial"/>
          <w:sz w:val="21"/>
          <w:szCs w:val="21"/>
          <w:color w:val="auto"/>
        </w:rPr>
        <w:t>temporary and permanent injunctive and other equitable relief restraining Employee from activities constituting a violation, breach or threatened breach of this Section and its sub-parts to the fullest extent allowed by law; (b) all such other remedies available at law or in equity, including without limitation the recovery of damages, reasonable attorneys’ fees and costs; and (c) withhold any further rights, payments or benefits under this Agreement which become due and owing after the occurrence of said violation, breach, or threatened breach, including, without limitation, any rights or claims under Sections 2.0 and 3.0 and the sub-parts thereto.</w:t>
      </w:r>
    </w:p>
    <w:p>
      <w:pPr>
        <w:spacing w:after="0" w:line="153"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7.0</w:t>
      </w:r>
      <w:r>
        <w:rPr>
          <w:sz w:val="20"/>
          <w:szCs w:val="20"/>
          <w:color w:val="auto"/>
        </w:rPr>
        <w:tab/>
      </w:r>
      <w:r>
        <w:rPr>
          <w:rFonts w:ascii="Arial" w:cs="Arial" w:eastAsia="Arial" w:hAnsi="Arial"/>
          <w:sz w:val="19"/>
          <w:szCs w:val="19"/>
          <w:b w:val="1"/>
          <w:bCs w:val="1"/>
          <w:u w:val="single" w:color="auto"/>
          <w:color w:val="auto"/>
        </w:rPr>
        <w:t>Return of Company Property</w:t>
      </w:r>
    </w:p>
    <w:p>
      <w:pPr>
        <w:spacing w:after="0" w:line="185" w:lineRule="exact"/>
        <w:rPr>
          <w:sz w:val="20"/>
          <w:szCs w:val="20"/>
          <w:color w:val="auto"/>
        </w:rPr>
      </w:pPr>
    </w:p>
    <w:p>
      <w:pPr>
        <w:jc w:val="both"/>
        <w:ind w:firstLine="6"/>
        <w:spacing w:after="0" w:line="228"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color w:val="auto"/>
        </w:rPr>
        <w:t>Employee agrees that within 10 days after execution of this Agreement, he/she will return any and all Company documents</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copies thereof, in any form whatsoever, including computer records or files, containing secret, confidential and/or proprietary information or ideas, and any other Company property (including, but not limited to, any cell phones, laptops, notepads, ipads, printers and/or other computer equipment) in Employee’s possession or control.</w:t>
      </w:r>
    </w:p>
    <w:p>
      <w:pPr>
        <w:spacing w:after="0" w:line="149"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8.0</w:t>
      </w:r>
      <w:r>
        <w:rPr>
          <w:sz w:val="20"/>
          <w:szCs w:val="20"/>
          <w:color w:val="auto"/>
        </w:rPr>
        <w:tab/>
      </w:r>
      <w:r>
        <w:rPr>
          <w:rFonts w:ascii="Arial" w:cs="Arial" w:eastAsia="Arial" w:hAnsi="Arial"/>
          <w:sz w:val="19"/>
          <w:szCs w:val="19"/>
          <w:b w:val="1"/>
          <w:bCs w:val="1"/>
          <w:u w:val="single" w:color="auto"/>
          <w:color w:val="auto"/>
        </w:rPr>
        <w:t>Duty to Cooperate and of Loyalty/Nondisparagement</w:t>
      </w:r>
    </w:p>
    <w:p>
      <w:pPr>
        <w:spacing w:after="0" w:line="185"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b w:val="1"/>
          <w:bCs w:val="1"/>
          <w:color w:val="auto"/>
        </w:rPr>
        <w:t xml:space="preserve">8.1 </w:t>
      </w:r>
      <w:r>
        <w:rPr>
          <w:rFonts w:ascii="Arial" w:cs="Arial" w:eastAsia="Arial" w:hAnsi="Arial"/>
          <w:sz w:val="21"/>
          <w:szCs w:val="21"/>
          <w:color w:val="auto"/>
        </w:rPr>
        <w:t>Without limitation as to time, Employee agrees to cooperate and make all reasonable and lawful efforts to assist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 addressing any issues which may arise concerning any matter with which he/she was involved during his/her employment with the Company, including, but not limited to cooperating in any litigation arising therefrom.</w:t>
      </w:r>
    </w:p>
    <w:p>
      <w:pPr>
        <w:spacing w:after="0" w:line="150" w:lineRule="exact"/>
        <w:rPr>
          <w:sz w:val="20"/>
          <w:szCs w:val="20"/>
          <w:color w:val="auto"/>
        </w:rPr>
      </w:pPr>
    </w:p>
    <w:p>
      <w:pPr>
        <w:jc w:val="both"/>
        <w:ind w:firstLine="6"/>
        <w:spacing w:after="0" w:line="224" w:lineRule="auto"/>
        <w:rPr>
          <w:sz w:val="20"/>
          <w:szCs w:val="20"/>
          <w:color w:val="auto"/>
        </w:rPr>
      </w:pPr>
      <w:r>
        <w:rPr>
          <w:rFonts w:ascii="Arial" w:cs="Arial" w:eastAsia="Arial" w:hAnsi="Arial"/>
          <w:sz w:val="21"/>
          <w:szCs w:val="21"/>
          <w:b w:val="1"/>
          <w:bCs w:val="1"/>
          <w:color w:val="auto"/>
        </w:rPr>
        <w:t xml:space="preserve">8.2 </w:t>
      </w:r>
      <w:r>
        <w:rPr>
          <w:rFonts w:ascii="Arial" w:cs="Arial" w:eastAsia="Arial" w:hAnsi="Arial"/>
          <w:sz w:val="21"/>
          <w:szCs w:val="21"/>
          <w:color w:val="auto"/>
        </w:rPr>
        <w:t>Employee will not (except as required by law) communicate to anyone, whether by word or deed, whether directly or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any intermediary, and whether expressly or by suggestion or innuendo, any statement, whether characterized as one of fact or of opinion, that is intended to cause or that reasonably would be expected to cause any person to whom it is communicated to have (1) a lowered opinion of the Company or any affiliates, including a lowered opinion of any products manufactured, sold, or used by, or any services offered or rendered by the Company or</w:t>
      </w:r>
    </w:p>
    <w:p>
      <w:pPr>
        <w:sectPr>
          <w:pgSz w:w="11900" w:h="16838" w:orient="portrait"/>
          <w:cols w:equalWidth="0" w:num="1">
            <w:col w:w="11240"/>
          </w:cols>
          <w:pgMar w:left="320" w:top="1384" w:right="339" w:bottom="1440" w:gutter="0" w:footer="0" w:header="0"/>
        </w:sectPr>
      </w:pPr>
    </w:p>
    <w:bookmarkStart w:id="44" w:name="page45"/>
    <w:bookmarkEnd w:id="44"/>
    <w:p>
      <w:pPr>
        <w:jc w:val="both"/>
        <w:spacing w:after="0" w:line="239" w:lineRule="auto"/>
        <w:rPr>
          <w:sz w:val="20"/>
          <w:szCs w:val="20"/>
          <w:color w:val="auto"/>
        </w:rPr>
      </w:pPr>
      <w:r>
        <w:rPr>
          <w:rFonts w:ascii="Arial" w:cs="Arial" w:eastAsia="Arial" w:hAnsi="Arial"/>
          <w:sz w:val="19"/>
          <w:szCs w:val="19"/>
          <w:color w:val="auto"/>
        </w:rPr>
        <w:t>its affiliates; and/or (2) a lowered opinion of the Company’s creditworthiness or business prospects. Employee’s obligation in this regard extends to the reputation of the Company and any other person or entity described in Section 4.1 of this Agreement. This Section shall not be construed as prohibiting the Employee from communicating truthful information (a) in response to assistance requested under Section 8.1 of this Agreement, (b) in any formal or informal proceeding with a government agency or investigator,</w:t>
      </w:r>
    </w:p>
    <w:p>
      <w:pPr>
        <w:spacing w:after="0" w:line="1" w:lineRule="exact"/>
        <w:rPr>
          <w:sz w:val="20"/>
          <w:szCs w:val="20"/>
          <w:color w:val="auto"/>
        </w:rPr>
      </w:pPr>
    </w:p>
    <w:p>
      <w:pPr>
        <w:jc w:val="both"/>
        <w:ind w:firstLine="7"/>
        <w:spacing w:after="0" w:line="222" w:lineRule="auto"/>
        <w:tabs>
          <w:tab w:leader="none" w:pos="296" w:val="left"/>
        </w:tabs>
        <w:numPr>
          <w:ilvl w:val="0"/>
          <w:numId w:val="14"/>
        </w:numPr>
        <w:rPr>
          <w:rFonts w:ascii="Arial" w:cs="Arial" w:eastAsia="Arial" w:hAnsi="Arial"/>
          <w:sz w:val="21"/>
          <w:szCs w:val="21"/>
          <w:color w:val="auto"/>
        </w:rPr>
      </w:pPr>
      <w:r>
        <w:rPr>
          <w:rFonts w:ascii="Arial" w:cs="Arial" w:eastAsia="Arial" w:hAnsi="Arial"/>
          <w:sz w:val="21"/>
          <w:szCs w:val="21"/>
          <w:color w:val="auto"/>
        </w:rPr>
        <w:t>any litigation against the Company including, but not limited to, qui tam lawsuits whether the government decides to intervene or declines to intervene and the relator moves forward pursuing its claims, (d) as required by law, such as in response to a duly-issued subpoena, or (e) any action to enforce the terms of this Agreement or right not waived under Section 4.0 and subparts thereunder.</w:t>
      </w:r>
    </w:p>
    <w:p>
      <w:pPr>
        <w:spacing w:after="0" w:line="149"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auto"/>
        </w:rPr>
        <w:t>9.0</w:t>
      </w:r>
      <w:r>
        <w:rPr>
          <w:sz w:val="20"/>
          <w:szCs w:val="20"/>
          <w:color w:val="auto"/>
        </w:rPr>
        <w:tab/>
      </w:r>
      <w:r>
        <w:rPr>
          <w:rFonts w:ascii="Arial" w:cs="Arial" w:eastAsia="Arial" w:hAnsi="Arial"/>
          <w:sz w:val="19"/>
          <w:szCs w:val="19"/>
          <w:b w:val="1"/>
          <w:bCs w:val="1"/>
          <w:u w:val="single" w:color="auto"/>
          <w:color w:val="auto"/>
        </w:rPr>
        <w:t>Section 409A of the Code</w:t>
      </w:r>
    </w:p>
    <w:p>
      <w:pPr>
        <w:spacing w:after="0" w:line="185" w:lineRule="exact"/>
        <w:rPr>
          <w:sz w:val="20"/>
          <w:szCs w:val="20"/>
          <w:color w:val="auto"/>
        </w:rPr>
      </w:pPr>
    </w:p>
    <w:p>
      <w:pPr>
        <w:jc w:val="both"/>
        <w:ind w:firstLine="6"/>
        <w:spacing w:after="0" w:line="235" w:lineRule="auto"/>
        <w:rPr>
          <w:sz w:val="20"/>
          <w:szCs w:val="20"/>
          <w:color w:val="auto"/>
        </w:rPr>
      </w:pPr>
      <w:r>
        <w:rPr>
          <w:rFonts w:ascii="Arial" w:cs="Arial" w:eastAsia="Arial" w:hAnsi="Arial"/>
          <w:sz w:val="19"/>
          <w:szCs w:val="19"/>
          <w:b w:val="1"/>
          <w:bCs w:val="1"/>
          <w:color w:val="auto"/>
        </w:rPr>
        <w:t xml:space="preserve">9.1 </w:t>
      </w:r>
      <w:r>
        <w:rPr>
          <w:rFonts w:ascii="Arial" w:cs="Arial" w:eastAsia="Arial" w:hAnsi="Arial"/>
          <w:sz w:val="19"/>
          <w:szCs w:val="19"/>
          <w:color w:val="auto"/>
        </w:rPr>
        <w:t>Notwithstanding any provisions of this Agreement to the contrary, if the Employee is a “specified employee”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meaning of Section 409A of the Internal Revenue Code of 1986, as amended (the “Code”) and determined pursuant to procedures adopted by the Company) at the Termination Date and if any portion of the payments or benefits to be received by the Employee would be considered deferred compensation under Section 409A of the Code, amounts that would otherwise be payable pursuant to this Agreement during the six-month period immediately following the Employee’s Termination Date (the “Delayed Payments”) and benefits that would otherwise be provided pursuant to this Agreement (the “Delayed Benefits”) during the six-month period immediately following the Employee’s Termination Date (such period, the “Delay Period”) shall instead be paid or made available on the earlier of (i) the first business day of the seventh (7</w:t>
      </w:r>
      <w:r>
        <w:rPr>
          <w:rFonts w:ascii="Arial" w:cs="Arial" w:eastAsia="Arial" w:hAnsi="Arial"/>
          <w:sz w:val="24"/>
          <w:szCs w:val="24"/>
          <w:color w:val="auto"/>
          <w:vertAlign w:val="superscript"/>
        </w:rPr>
        <w:t>th</w:t>
      </w:r>
      <w:r>
        <w:rPr>
          <w:rFonts w:ascii="Arial" w:cs="Arial" w:eastAsia="Arial" w:hAnsi="Arial"/>
          <w:sz w:val="19"/>
          <w:szCs w:val="19"/>
          <w:color w:val="auto"/>
        </w:rPr>
        <w:t>) month following the Termination Date or (ii) the Employee’s death (the applicable date, the “Permissible Payment Date”). The Company shall also reimburse the Employee for the after-tax cost incurred by the Employee in independently obtaining any Delayed Benefits (the “Additional Delayed Payments”).</w:t>
      </w:r>
    </w:p>
    <w:p>
      <w:pPr>
        <w:spacing w:after="0" w:line="150" w:lineRule="exact"/>
        <w:rPr>
          <w:sz w:val="20"/>
          <w:szCs w:val="20"/>
          <w:color w:val="auto"/>
        </w:rPr>
      </w:pPr>
    </w:p>
    <w:p>
      <w:pPr>
        <w:jc w:val="both"/>
        <w:ind w:firstLine="6"/>
        <w:spacing w:after="0" w:line="245"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color w:val="auto"/>
        </w:rPr>
        <w:t>With respect to any amount of expenses eligible for reimbursement under Sections 3.1, 3.4 and 9.1, such expenses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reimbursed by the Company within thirty (30) calendar days following the date on which the Company receives the applicable invoice from the Employee but in no event later than December 31 of the year following the year in which the Employee incurs the related expenses; provided, that with respect to reimbursement relating to the Additional Delayed Payments, such reimbursement shall be made on the Permissible Payment Date. In no event shall the reimbursements or in-kind benefits to be provided by the Company in one taxable year affect the amount of reimbursements or in-kind benefits to be provided in any other taxable year, nor shall the Employee’s right to reimbursement or in-kind benefits be subject to liquidation or exchange for another benefit.</w:t>
      </w:r>
    </w:p>
    <w:p>
      <w:pPr>
        <w:spacing w:after="0" w:line="145" w:lineRule="exact"/>
        <w:rPr>
          <w:sz w:val="20"/>
          <w:szCs w:val="20"/>
          <w:color w:val="auto"/>
        </w:rPr>
      </w:pPr>
    </w:p>
    <w:p>
      <w:pPr>
        <w:jc w:val="both"/>
        <w:ind w:firstLine="6"/>
        <w:spacing w:after="0" w:line="228" w:lineRule="auto"/>
        <w:rPr>
          <w:sz w:val="20"/>
          <w:szCs w:val="20"/>
          <w:color w:val="auto"/>
        </w:rPr>
      </w:pPr>
      <w:r>
        <w:rPr>
          <w:rFonts w:ascii="Arial" w:cs="Arial" w:eastAsia="Arial" w:hAnsi="Arial"/>
          <w:sz w:val="21"/>
          <w:szCs w:val="21"/>
          <w:b w:val="1"/>
          <w:bCs w:val="1"/>
          <w:color w:val="auto"/>
        </w:rPr>
        <w:t xml:space="preserve">9.3 </w:t>
      </w:r>
      <w:r>
        <w:rPr>
          <w:rFonts w:ascii="Arial" w:cs="Arial" w:eastAsia="Arial" w:hAnsi="Arial"/>
          <w:sz w:val="21"/>
          <w:szCs w:val="21"/>
          <w:color w:val="auto"/>
        </w:rPr>
        <w:t>It is the intention of the parties that payments or benefits payable under this Agreement not be subject to the additional tax</w:t>
      </w:r>
      <w:r>
        <w:rPr>
          <w:rFonts w:ascii="Arial" w:cs="Arial" w:eastAsia="Arial" w:hAnsi="Arial"/>
          <w:sz w:val="21"/>
          <w:szCs w:val="21"/>
          <w:b w:val="1"/>
          <w:bCs w:val="1"/>
          <w:color w:val="auto"/>
        </w:rPr>
        <w:t xml:space="preserve"> </w:t>
      </w:r>
      <w:r>
        <w:rPr>
          <w:rFonts w:ascii="Arial" w:cs="Arial" w:eastAsia="Arial" w:hAnsi="Arial"/>
          <w:sz w:val="21"/>
          <w:szCs w:val="21"/>
          <w:color w:val="auto"/>
        </w:rPr>
        <w:t>imposed pursuant to Section 409A of the Code. To the extent such potential payments or benefits could become subject to such Section, the Company may amend this Agreement with the goal of giving the Covered Employee the economic benefits described herein in a manner that does not result in such tax being imposed.</w:t>
      </w:r>
    </w:p>
    <w:p>
      <w:pPr>
        <w:spacing w:after="0" w:line="149" w:lineRule="exact"/>
        <w:rPr>
          <w:sz w:val="20"/>
          <w:szCs w:val="20"/>
          <w:color w:val="auto"/>
        </w:rPr>
      </w:pPr>
    </w:p>
    <w:p>
      <w:pPr>
        <w:jc w:val="both"/>
        <w:ind w:firstLine="6"/>
        <w:spacing w:after="0" w:line="248" w:lineRule="auto"/>
        <w:rPr>
          <w:sz w:val="20"/>
          <w:szCs w:val="20"/>
          <w:color w:val="auto"/>
        </w:rPr>
      </w:pPr>
      <w:r>
        <w:rPr>
          <w:rFonts w:ascii="Arial" w:cs="Arial" w:eastAsia="Arial" w:hAnsi="Arial"/>
          <w:sz w:val="21"/>
          <w:szCs w:val="21"/>
          <w:b w:val="1"/>
          <w:bCs w:val="1"/>
          <w:color w:val="auto"/>
        </w:rPr>
        <w:t xml:space="preserve">9.4 </w:t>
      </w:r>
      <w:r>
        <w:rPr>
          <w:rFonts w:ascii="Arial" w:cs="Arial" w:eastAsia="Arial" w:hAnsi="Arial"/>
          <w:sz w:val="21"/>
          <w:szCs w:val="21"/>
          <w:color w:val="auto"/>
        </w:rPr>
        <w:t>For purposes of Section 409A of the Code, an Employee’s right to receive any “installment” payments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treated as a right to receive a series of separate and distinct payments.</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21"/>
          <w:szCs w:val="21"/>
          <w:b w:val="1"/>
          <w:bCs w:val="1"/>
          <w:color w:val="auto"/>
        </w:rPr>
        <w:t>10.0</w:t>
      </w:r>
      <w:r>
        <w:rPr>
          <w:sz w:val="20"/>
          <w:szCs w:val="20"/>
          <w:color w:val="auto"/>
        </w:rPr>
        <w:tab/>
      </w:r>
      <w:r>
        <w:rPr>
          <w:rFonts w:ascii="Arial" w:cs="Arial" w:eastAsia="Arial" w:hAnsi="Arial"/>
          <w:sz w:val="18"/>
          <w:szCs w:val="18"/>
          <w:b w:val="1"/>
          <w:bCs w:val="1"/>
          <w:u w:val="single" w:color="auto"/>
          <w:color w:val="auto"/>
        </w:rPr>
        <w:t>Miscellaneous</w:t>
      </w:r>
    </w:p>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21"/>
          <w:szCs w:val="21"/>
          <w:b w:val="1"/>
          <w:bCs w:val="1"/>
          <w:color w:val="auto"/>
        </w:rPr>
        <w:t xml:space="preserve">10.1 </w:t>
      </w:r>
      <w:r>
        <w:rPr>
          <w:rFonts w:ascii="Arial" w:cs="Arial" w:eastAsia="Arial" w:hAnsi="Arial"/>
          <w:sz w:val="21"/>
          <w:szCs w:val="21"/>
          <w:color w:val="auto"/>
        </w:rPr>
        <w:t>This Agreement is binding on, and shall inure to the benefit of, the Parties hereto and their heirs, representatives, transferees,</w:t>
      </w:r>
      <w:r>
        <w:rPr>
          <w:rFonts w:ascii="Arial" w:cs="Arial" w:eastAsia="Arial" w:hAnsi="Arial"/>
          <w:sz w:val="21"/>
          <w:szCs w:val="21"/>
          <w:b w:val="1"/>
          <w:bCs w:val="1"/>
          <w:color w:val="auto"/>
        </w:rPr>
        <w:t xml:space="preserve"> </w:t>
      </w:r>
      <w:r>
        <w:rPr>
          <w:rFonts w:ascii="Arial" w:cs="Arial" w:eastAsia="Arial" w:hAnsi="Arial"/>
          <w:sz w:val="21"/>
          <w:szCs w:val="21"/>
          <w:color w:val="auto"/>
        </w:rPr>
        <w:t>principals, executors, administrators, predecessors, successors, parents, subsidiaries, affiliates, assigns, agents, directors, officers and employees.</w:t>
      </w:r>
    </w:p>
    <w:p>
      <w:pPr>
        <w:sectPr>
          <w:pgSz w:w="11900" w:h="16838" w:orient="portrait"/>
          <w:cols w:equalWidth="0" w:num="1">
            <w:col w:w="11240"/>
          </w:cols>
          <w:pgMar w:left="320" w:top="1384" w:right="339" w:bottom="1440" w:gutter="0" w:footer="0" w:header="0"/>
        </w:sectPr>
      </w:pPr>
    </w:p>
    <w:bookmarkStart w:id="45" w:name="page46"/>
    <w:bookmarkEnd w:id="45"/>
    <w:p>
      <w:pPr>
        <w:jc w:val="both"/>
        <w:ind w:firstLine="6"/>
        <w:spacing w:after="0" w:line="222" w:lineRule="auto"/>
        <w:rPr>
          <w:sz w:val="20"/>
          <w:szCs w:val="20"/>
          <w:color w:val="auto"/>
        </w:rPr>
      </w:pPr>
      <w:r>
        <w:rPr>
          <w:rFonts w:ascii="Arial" w:cs="Arial" w:eastAsia="Arial" w:hAnsi="Arial"/>
          <w:sz w:val="21"/>
          <w:szCs w:val="21"/>
          <w:b w:val="1"/>
          <w:bCs w:val="1"/>
          <w:color w:val="auto"/>
        </w:rPr>
        <w:t xml:space="preserve">10.2 </w:t>
      </w:r>
      <w:r>
        <w:rPr>
          <w:rFonts w:ascii="Arial" w:cs="Arial" w:eastAsia="Arial" w:hAnsi="Arial"/>
          <w:sz w:val="21"/>
          <w:szCs w:val="21"/>
          <w:color w:val="auto"/>
        </w:rPr>
        <w:t>The Plan is incorporated herein by reference. This Agreement constitutes the complete agreement between, and contains all</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promises and undertakings by the Parties. Employee agrees that the only considerations for signing this Agreement are the terms stated herein above and that no other representations, promises, or assurances of any kind have been made to him by the Company, its attorneys, or any other person as an inducement to sign this Agreement. Any and all prior agreements, representations, negotiations and understandings among the Parties, oral or written, express or implied, with respect to the subject matter hereof are hereby superseded and merged herein.</w:t>
      </w:r>
    </w:p>
    <w:p>
      <w:pPr>
        <w:spacing w:after="0" w:line="152"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1"/>
          <w:szCs w:val="21"/>
          <w:b w:val="1"/>
          <w:bCs w:val="1"/>
          <w:color w:val="auto"/>
        </w:rPr>
        <w:t>10.3</w:t>
      </w:r>
      <w:r>
        <w:rPr>
          <w:sz w:val="20"/>
          <w:szCs w:val="20"/>
          <w:color w:val="auto"/>
        </w:rPr>
        <w:tab/>
      </w:r>
      <w:r>
        <w:rPr>
          <w:rFonts w:ascii="Arial" w:cs="Arial" w:eastAsia="Arial" w:hAnsi="Arial"/>
          <w:sz w:val="19"/>
          <w:szCs w:val="19"/>
          <w:color w:val="auto"/>
        </w:rPr>
        <w:t>This Agreement may not be revised or modified without the mutual written consent of the Parties.</w:t>
      </w:r>
    </w:p>
    <w:p>
      <w:pPr>
        <w:spacing w:after="0" w:line="185" w:lineRule="exact"/>
        <w:rPr>
          <w:sz w:val="20"/>
          <w:szCs w:val="20"/>
          <w:color w:val="auto"/>
        </w:rPr>
      </w:pPr>
    </w:p>
    <w:p>
      <w:pPr>
        <w:jc w:val="both"/>
        <w:ind w:firstLine="6"/>
        <w:spacing w:after="0" w:line="221" w:lineRule="auto"/>
        <w:rPr>
          <w:sz w:val="20"/>
          <w:szCs w:val="20"/>
          <w:color w:val="auto"/>
        </w:rPr>
      </w:pPr>
      <w:r>
        <w:rPr>
          <w:rFonts w:ascii="Arial" w:cs="Arial" w:eastAsia="Arial" w:hAnsi="Arial"/>
          <w:sz w:val="21"/>
          <w:szCs w:val="21"/>
          <w:b w:val="1"/>
          <w:bCs w:val="1"/>
          <w:color w:val="auto"/>
        </w:rPr>
        <w:t xml:space="preserve">10.4 </w:t>
      </w:r>
      <w:r>
        <w:rPr>
          <w:rFonts w:ascii="Arial" w:cs="Arial" w:eastAsia="Arial" w:hAnsi="Arial"/>
          <w:sz w:val="21"/>
          <w:szCs w:val="21"/>
          <w:color w:val="auto"/>
        </w:rPr>
        <w:t>The Parties acknowledge and agree that they have each had sufficient time to consider this Agreement and consult with</w:t>
      </w:r>
      <w:r>
        <w:rPr>
          <w:rFonts w:ascii="Arial" w:cs="Arial" w:eastAsia="Arial" w:hAnsi="Arial"/>
          <w:sz w:val="21"/>
          <w:szCs w:val="21"/>
          <w:b w:val="1"/>
          <w:bCs w:val="1"/>
          <w:color w:val="auto"/>
        </w:rPr>
        <w:t xml:space="preserve"> </w:t>
      </w:r>
      <w:r>
        <w:rPr>
          <w:rFonts w:ascii="Arial" w:cs="Arial" w:eastAsia="Arial" w:hAnsi="Arial"/>
          <w:sz w:val="21"/>
          <w:szCs w:val="21"/>
          <w:color w:val="auto"/>
        </w:rPr>
        <w:t>legal counsel of their choosing concerning its meaning prior to entering into this Agreement. In entering into this Agreement, no Party has relied on any representations or warranties of any other Party other than the representations or warranties expressly set forth in this Agreement. Employee acknowledges that he/she has read this Agreement and that he/she possesses sufficient education and experience to fully understand the terms of this Agreement as it has been written, the legal and binding effect of this Agreement, and the exchange of benefits and payments for promises hereunder, and that he/she has had a full opportunity to discuss or ask questions about all such terms.</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b w:val="1"/>
          <w:bCs w:val="1"/>
          <w:color w:val="auto"/>
        </w:rPr>
        <w:t xml:space="preserve">10.5 </w:t>
      </w:r>
      <w:r>
        <w:rPr>
          <w:rFonts w:ascii="Arial" w:cs="Arial" w:eastAsia="Arial" w:hAnsi="Arial"/>
          <w:sz w:val="20"/>
          <w:szCs w:val="20"/>
          <w:color w:val="auto"/>
        </w:rPr>
        <w:t>Except as otherwise provided in this Section, if any provision of this Agreement shall be determined to be invalid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by a court of competent jurisdiction, that part shall be ineffective to the extent of such invalidity or unenforceability only, without in any way affecting the remaining parts of said provision or the remaining provisions of this Agreement; provided that, if any provision contained in this Agreement shall be adjudicated to be invalid or unenforceable because such provision is held to be excessively broad as to duration, geographic scope, activity or subject, such provision shall be deemed amended by limiting and reducing it so as to be valid and enforceable to the maximum extent compatible with the applicable laws of such jurisdiction, and such amendment only to apply with respect to the operation of such provision in the applicable jurisdiction in which the adjudication is made. If as a result of litigation brought by the Employee or as a result of any defense asserted by the Employee Section 6.0 or any of its sub-parts of this Agreement is deemed invalid or unenforceable, in whole or in part, by a court of competent jurisdiction, this entire Agreement shall be null and void, and any consideration paid hereunder shall be repaid immediately by Employee upon receipt of notice thereof.</w:t>
      </w:r>
    </w:p>
    <w:p>
      <w:pPr>
        <w:spacing w:after="0" w:line="156" w:lineRule="exact"/>
        <w:rPr>
          <w:sz w:val="20"/>
          <w:szCs w:val="20"/>
          <w:color w:val="auto"/>
        </w:rPr>
      </w:pPr>
    </w:p>
    <w:p>
      <w:pPr>
        <w:jc w:val="both"/>
        <w:ind w:firstLine="6"/>
        <w:spacing w:after="0"/>
        <w:rPr>
          <w:sz w:val="20"/>
          <w:szCs w:val="20"/>
          <w:color w:val="auto"/>
        </w:rPr>
      </w:pPr>
      <w:r>
        <w:rPr>
          <w:rFonts w:ascii="Arial" w:cs="Arial" w:eastAsia="Arial" w:hAnsi="Arial"/>
          <w:sz w:val="19"/>
          <w:szCs w:val="19"/>
          <w:b w:val="1"/>
          <w:bCs w:val="1"/>
          <w:color w:val="auto"/>
        </w:rPr>
        <w:t xml:space="preserve">10.6 </w:t>
      </w:r>
      <w:r>
        <w:rPr>
          <w:rFonts w:ascii="Arial" w:cs="Arial" w:eastAsia="Arial" w:hAnsi="Arial"/>
          <w:sz w:val="19"/>
          <w:szCs w:val="19"/>
          <w:color w:val="auto"/>
        </w:rPr>
        <w:t>Employee agrees that because he/she has rendered services of a special, unique, and extraordinary character, damages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be an adequate or reasonable remedy for breach of his/her obligations under this Agreement. Accordingly, in the event of a breach or threatened breach by Employee of the provisions of this Agreement, the Company shall be entitled to (a) an injunction restraining Employee from violating the terms hereof, or from rendering services to any person, firm, corporation, association, or other entity to which any confidential information, trade secrets, or proprietary materials of the Company have been disclosed or are threatened to be disclosed, or for which Employee is working or rendering services, or threatens to work or render services (b) all such other remedies available at law or in equity, including without limitation the recovery of damages, reasonable attorneys’ fees and costs, and (c) withhold any further payments under this Agreement which become due and owing after the occurrence of said violation, breach or threatened breach. Nothing herein shall be construed as prohibiting the Company from pursuing any other remedies available to it for such breach or threatened breach of this Agreement, including the right to terminate any payments to Employee pursuant to this Agreement or the recovery of damages from Employee. Employee agrees that the issuance of</w:t>
      </w:r>
    </w:p>
    <w:p>
      <w:pPr>
        <w:sectPr>
          <w:pgSz w:w="11900" w:h="16838" w:orient="portrait"/>
          <w:cols w:equalWidth="0" w:num="1">
            <w:col w:w="11240"/>
          </w:cols>
          <w:pgMar w:left="320" w:top="1378" w:right="339" w:bottom="1440" w:gutter="0" w:footer="0" w:header="0"/>
        </w:sectPr>
      </w:pPr>
    </w:p>
    <w:bookmarkStart w:id="46" w:name="page47"/>
    <w:bookmarkEnd w:id="46"/>
    <w:p>
      <w:pPr>
        <w:spacing w:after="0"/>
        <w:rPr>
          <w:sz w:val="20"/>
          <w:szCs w:val="20"/>
          <w:color w:val="auto"/>
        </w:rPr>
      </w:pPr>
      <w:r>
        <w:rPr>
          <w:rFonts w:ascii="Arial" w:cs="Arial" w:eastAsia="Arial" w:hAnsi="Arial"/>
          <w:sz w:val="21"/>
          <w:szCs w:val="21"/>
          <w:color w:val="auto"/>
        </w:rPr>
        <w:t>the injunction described in this Section may be without the posting of any bond or other security by the Company.</w:t>
      </w:r>
    </w:p>
    <w:p>
      <w:pPr>
        <w:spacing w:after="0" w:line="179" w:lineRule="exact"/>
        <w:rPr>
          <w:sz w:val="20"/>
          <w:szCs w:val="20"/>
          <w:color w:val="auto"/>
        </w:rPr>
      </w:pPr>
    </w:p>
    <w:p>
      <w:pPr>
        <w:jc w:val="both"/>
        <w:ind w:firstLine="6"/>
        <w:spacing w:after="0" w:line="233" w:lineRule="auto"/>
        <w:rPr>
          <w:sz w:val="20"/>
          <w:szCs w:val="20"/>
          <w:color w:val="auto"/>
        </w:rPr>
      </w:pPr>
      <w:r>
        <w:rPr>
          <w:rFonts w:ascii="Arial" w:cs="Arial" w:eastAsia="Arial" w:hAnsi="Arial"/>
          <w:sz w:val="21"/>
          <w:szCs w:val="21"/>
          <w:b w:val="1"/>
          <w:bCs w:val="1"/>
          <w:color w:val="auto"/>
        </w:rPr>
        <w:t xml:space="preserve">10.7 </w:t>
      </w:r>
      <w:r>
        <w:rPr>
          <w:rFonts w:ascii="Arial" w:cs="Arial" w:eastAsia="Arial" w:hAnsi="Arial"/>
          <w:sz w:val="21"/>
          <w:szCs w:val="21"/>
          <w:color w:val="auto"/>
        </w:rPr>
        <w:t>Such notice and any other notices required under this Agreement shall be served upon the Company by certified mail, return</w:t>
      </w:r>
      <w:r>
        <w:rPr>
          <w:rFonts w:ascii="Arial" w:cs="Arial" w:eastAsia="Arial" w:hAnsi="Arial"/>
          <w:sz w:val="21"/>
          <w:szCs w:val="21"/>
          <w:b w:val="1"/>
          <w:bCs w:val="1"/>
          <w:color w:val="auto"/>
        </w:rPr>
        <w:t xml:space="preserve"> </w:t>
      </w:r>
      <w:r>
        <w:rPr>
          <w:rFonts w:ascii="Arial" w:cs="Arial" w:eastAsia="Arial" w:hAnsi="Arial"/>
          <w:sz w:val="21"/>
          <w:szCs w:val="21"/>
          <w:color w:val="auto"/>
        </w:rPr>
        <w:t>receipt requested, or by expressed delivery by a nationally recognized delivery service company such as Federal Express as follows:</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auto"/>
        </w:rPr>
        <w:t>If to the Company:</w:t>
      </w:r>
    </w:p>
    <w:p>
      <w:pPr>
        <w:spacing w:after="0" w:line="18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Laboratory Corporation of America Holdings</w:t>
      </w:r>
    </w:p>
    <w:p>
      <w:pPr>
        <w:ind w:left="1920"/>
        <w:spacing w:after="0" w:line="211" w:lineRule="auto"/>
        <w:rPr>
          <w:sz w:val="20"/>
          <w:szCs w:val="20"/>
          <w:color w:val="auto"/>
        </w:rPr>
      </w:pPr>
      <w:r>
        <w:rPr>
          <w:rFonts w:ascii="Arial" w:cs="Arial" w:eastAsia="Arial" w:hAnsi="Arial"/>
          <w:sz w:val="21"/>
          <w:szCs w:val="21"/>
          <w:color w:val="auto"/>
        </w:rPr>
        <w:t>531 S. Spring Street</w:t>
      </w:r>
    </w:p>
    <w:p>
      <w:pPr>
        <w:ind w:left="1920"/>
        <w:spacing w:after="0" w:line="212" w:lineRule="auto"/>
        <w:rPr>
          <w:sz w:val="20"/>
          <w:szCs w:val="20"/>
          <w:color w:val="auto"/>
        </w:rPr>
      </w:pPr>
      <w:r>
        <w:rPr>
          <w:rFonts w:ascii="Arial" w:cs="Arial" w:eastAsia="Arial" w:hAnsi="Arial"/>
          <w:sz w:val="21"/>
          <w:szCs w:val="21"/>
          <w:color w:val="auto"/>
        </w:rPr>
        <w:t>Burlington, NC 27215</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Attention: General Counsel</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auto"/>
        </w:rPr>
        <w:t>With a copy to:</w:t>
      </w:r>
    </w:p>
    <w:p>
      <w:pPr>
        <w:spacing w:after="0" w:line="18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Laboratory Corporation of America Holdings</w:t>
      </w:r>
    </w:p>
    <w:p>
      <w:pPr>
        <w:ind w:left="1920"/>
        <w:spacing w:after="0" w:line="211" w:lineRule="auto"/>
        <w:rPr>
          <w:sz w:val="20"/>
          <w:szCs w:val="20"/>
          <w:color w:val="auto"/>
        </w:rPr>
      </w:pPr>
      <w:r>
        <w:rPr>
          <w:rFonts w:ascii="Arial" w:cs="Arial" w:eastAsia="Arial" w:hAnsi="Arial"/>
          <w:sz w:val="21"/>
          <w:szCs w:val="21"/>
          <w:color w:val="auto"/>
        </w:rPr>
        <w:t>531 S. Spring Street</w:t>
      </w:r>
    </w:p>
    <w:p>
      <w:pPr>
        <w:ind w:left="1920"/>
        <w:spacing w:after="0" w:line="212" w:lineRule="auto"/>
        <w:rPr>
          <w:sz w:val="20"/>
          <w:szCs w:val="20"/>
          <w:color w:val="auto"/>
        </w:rPr>
      </w:pPr>
      <w:r>
        <w:rPr>
          <w:rFonts w:ascii="Arial" w:cs="Arial" w:eastAsia="Arial" w:hAnsi="Arial"/>
          <w:sz w:val="21"/>
          <w:szCs w:val="21"/>
          <w:color w:val="auto"/>
        </w:rPr>
        <w:t>Burlington, NC 27215</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Attention: Director of HR Compliance</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auto"/>
        </w:rPr>
        <w:t>If to the Employee:</w:t>
      </w:r>
    </w:p>
    <w:p>
      <w:pPr>
        <w:spacing w:after="0" w:line="207"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Paul Kirchgraber</w:t>
      </w:r>
    </w:p>
    <w:p>
      <w:pPr>
        <w:ind w:left="1920"/>
        <w:spacing w:after="0" w:line="211" w:lineRule="auto"/>
        <w:rPr>
          <w:sz w:val="20"/>
          <w:szCs w:val="20"/>
          <w:color w:val="auto"/>
        </w:rPr>
      </w:pPr>
      <w:r>
        <w:rPr>
          <w:rFonts w:ascii="Arial" w:cs="Arial" w:eastAsia="Arial" w:hAnsi="Arial"/>
          <w:sz w:val="21"/>
          <w:szCs w:val="21"/>
          <w:color w:val="auto"/>
        </w:rPr>
        <w:t>113 W. Lake Court</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Athens GA 30606</w:t>
      </w:r>
    </w:p>
    <w:p>
      <w:pPr>
        <w:spacing w:after="0" w:line="194" w:lineRule="exact"/>
        <w:rPr>
          <w:sz w:val="20"/>
          <w:szCs w:val="20"/>
          <w:color w:val="auto"/>
        </w:rPr>
      </w:pPr>
    </w:p>
    <w:p>
      <w:pPr>
        <w:ind w:right="20"/>
        <w:spacing w:after="0" w:line="242" w:lineRule="auto"/>
        <w:rPr>
          <w:sz w:val="20"/>
          <w:szCs w:val="20"/>
          <w:color w:val="auto"/>
        </w:rPr>
      </w:pPr>
      <w:r>
        <w:rPr>
          <w:rFonts w:ascii="Arial" w:cs="Arial" w:eastAsia="Arial" w:hAnsi="Arial"/>
          <w:sz w:val="21"/>
          <w:szCs w:val="21"/>
          <w:color w:val="auto"/>
        </w:rPr>
        <w:t>Consistent with the requirements of this Section, each party shall notify the other party of any change of address for the receipt of a notice under this Agreement.</w:t>
      </w:r>
    </w:p>
    <w:p>
      <w:pPr>
        <w:spacing w:after="0" w:line="147" w:lineRule="exact"/>
        <w:rPr>
          <w:sz w:val="20"/>
          <w:szCs w:val="20"/>
          <w:color w:val="auto"/>
        </w:rPr>
      </w:pPr>
    </w:p>
    <w:p>
      <w:pPr>
        <w:jc w:val="both"/>
        <w:ind w:firstLine="6"/>
        <w:spacing w:after="0"/>
        <w:rPr>
          <w:sz w:val="20"/>
          <w:szCs w:val="20"/>
          <w:color w:val="auto"/>
        </w:rPr>
      </w:pPr>
      <w:r>
        <w:rPr>
          <w:rFonts w:ascii="Arial" w:cs="Arial" w:eastAsia="Arial" w:hAnsi="Arial"/>
          <w:sz w:val="19"/>
          <w:szCs w:val="19"/>
          <w:b w:val="1"/>
          <w:bCs w:val="1"/>
          <w:color w:val="auto"/>
        </w:rPr>
        <w:t xml:space="preserve">10.8 </w:t>
      </w:r>
      <w:r>
        <w:rPr>
          <w:rFonts w:ascii="Arial" w:cs="Arial" w:eastAsia="Arial" w:hAnsi="Arial"/>
          <w:sz w:val="19"/>
          <w:szCs w:val="19"/>
          <w:color w:val="auto"/>
        </w:rPr>
        <w:t>This Agreement shall be construed in accordance with and governed by the laws, except choice of law provisions,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State of North Carolina and shall govern to the exclusion of the laws of any other forum including but not limited to the laws of the State of California. The parties further agree that any action, special proceeding or other proceeding with respect to this Agreement shall be brought exclusively in the federal or state courts of the State of North Carolina. </w:t>
      </w:r>
      <w:r>
        <w:rPr>
          <w:rFonts w:ascii="Arial" w:cs="Arial" w:eastAsia="Arial" w:hAnsi="Arial"/>
          <w:sz w:val="19"/>
          <w:szCs w:val="19"/>
          <w:b w:val="1"/>
          <w:bCs w:val="1"/>
          <w:i w:val="1"/>
          <w:iCs w:val="1"/>
          <w:color w:val="auto"/>
        </w:rPr>
        <w:t>Employee and Company irrevocably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consent to the jurisdiction of the Federal and State courts of North Carolina and that Employee hereby consents and submits to personal jurisdiction in the State of North Carolina. Employee and Company irrevocably waive any objection, including an objection or defense based on lack of personal jurisdiction, improper venue or forum non-conveniens which either may now or hereafter have to the bringing of any action or proceeding in connection with this Agreement. Employee acknowledges and recognizes that in the event that he/she has breached this Agreement, the Company may initiate a lawsuit against him/her in North Carolina, that Employee waives his/her right to have that lawsuit be brought in a court located closer to where he/she may reside, and that Employee will be required to travel to and defend himself/herself in North Carolina.</w:t>
      </w:r>
    </w:p>
    <w:p>
      <w:pPr>
        <w:spacing w:after="0" w:line="155"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1"/>
          <w:szCs w:val="21"/>
          <w:b w:val="1"/>
          <w:bCs w:val="1"/>
          <w:color w:val="auto"/>
        </w:rPr>
        <w:t>10.9</w:t>
      </w:r>
      <w:r>
        <w:rPr>
          <w:sz w:val="20"/>
          <w:szCs w:val="20"/>
          <w:color w:val="auto"/>
        </w:rPr>
        <w:tab/>
      </w:r>
      <w:r>
        <w:rPr>
          <w:rFonts w:ascii="Arial" w:cs="Arial" w:eastAsia="Arial" w:hAnsi="Arial"/>
          <w:sz w:val="19"/>
          <w:szCs w:val="19"/>
          <w:color w:val="auto"/>
        </w:rPr>
        <w:t>The Effective Date of this Agreement shall be either (a) the Termination Date or (b)</w:t>
      </w:r>
    </w:p>
    <w:p>
      <w:pPr>
        <w:sectPr>
          <w:pgSz w:w="11900" w:h="16838" w:orient="portrait"/>
          <w:cols w:equalWidth="0" w:num="1">
            <w:col w:w="11240"/>
          </w:cols>
          <w:pgMar w:left="320" w:top="1384" w:right="339" w:bottom="1440" w:gutter="0" w:footer="0" w:header="0"/>
        </w:sectPr>
      </w:pPr>
    </w:p>
    <w:bookmarkStart w:id="47" w:name="page48"/>
    <w:bookmarkEnd w:id="47"/>
    <w:p>
      <w:pPr>
        <w:spacing w:after="0"/>
        <w:rPr>
          <w:sz w:val="20"/>
          <w:szCs w:val="20"/>
          <w:color w:val="auto"/>
        </w:rPr>
      </w:pPr>
      <w:r>
        <w:rPr>
          <w:rFonts w:ascii="Arial" w:cs="Arial" w:eastAsia="Arial" w:hAnsi="Arial"/>
          <w:sz w:val="19"/>
          <w:szCs w:val="19"/>
          <w:color w:val="auto"/>
        </w:rPr>
        <w:t>the day after expiration of the seven (7) day revocation period set forth in Section 4.3 of this Agreement, whichever date is later.</w:t>
      </w:r>
    </w:p>
    <w:p>
      <w:pPr>
        <w:spacing w:after="0" w:line="208"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If you agree with the foregoing, please sign below and return two (2) originals to me. You should retain one (1) original copy of this Agreement for your records.</w:t>
      </w:r>
    </w:p>
    <w:p>
      <w:pPr>
        <w:spacing w:after="0" w:line="153"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Sincerely,</w:t>
      </w:r>
    </w:p>
    <w:p>
      <w:pPr>
        <w:spacing w:after="0" w:line="185" w:lineRule="exact"/>
        <w:rPr>
          <w:sz w:val="20"/>
          <w:szCs w:val="20"/>
          <w:color w:val="auto"/>
        </w:rPr>
      </w:pPr>
    </w:p>
    <w:p>
      <w:pPr>
        <w:ind w:left="4160"/>
        <w:spacing w:after="0"/>
        <w:rPr>
          <w:sz w:val="20"/>
          <w:szCs w:val="20"/>
          <w:color w:val="auto"/>
        </w:rPr>
      </w:pPr>
      <w:r>
        <w:rPr>
          <w:rFonts w:ascii="Arial" w:cs="Arial" w:eastAsia="Arial" w:hAnsi="Arial"/>
          <w:sz w:val="21"/>
          <w:szCs w:val="21"/>
          <w:u w:val="single" w:color="auto"/>
          <w:color w:val="auto"/>
        </w:rPr>
        <w:t>/s/ Anita Z. Graham</w:t>
      </w:r>
    </w:p>
    <w:p>
      <w:pPr>
        <w:spacing w:after="0" w:line="175" w:lineRule="exact"/>
        <w:rPr>
          <w:sz w:val="20"/>
          <w:szCs w:val="20"/>
          <w:color w:val="auto"/>
        </w:rPr>
      </w:pPr>
    </w:p>
    <w:p>
      <w:pPr>
        <w:ind w:left="4160"/>
        <w:spacing w:after="0"/>
        <w:rPr>
          <w:sz w:val="20"/>
          <w:szCs w:val="20"/>
          <w:color w:val="auto"/>
        </w:rPr>
      </w:pPr>
      <w:r>
        <w:rPr>
          <w:rFonts w:ascii="Arial" w:cs="Arial" w:eastAsia="Arial" w:hAnsi="Arial"/>
          <w:sz w:val="21"/>
          <w:szCs w:val="21"/>
          <w:color w:val="auto"/>
        </w:rPr>
        <w:t>Anita Z. Graham</w:t>
      </w:r>
    </w:p>
    <w:p>
      <w:pPr>
        <w:ind w:left="4160"/>
        <w:spacing w:after="0"/>
        <w:rPr>
          <w:sz w:val="20"/>
          <w:szCs w:val="20"/>
          <w:color w:val="auto"/>
        </w:rPr>
      </w:pPr>
      <w:r>
        <w:rPr>
          <w:rFonts w:ascii="Arial" w:cs="Arial" w:eastAsia="Arial" w:hAnsi="Arial"/>
          <w:sz w:val="21"/>
          <w:szCs w:val="21"/>
          <w:color w:val="auto"/>
        </w:rPr>
        <w:t>Executive Vice President and Chief HR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 Paul Kirchgraber</w:t>
      </w:r>
      <w:r>
        <w:rPr>
          <w:rFonts w:ascii="Arial" w:cs="Arial" w:eastAsia="Arial" w:hAnsi="Arial"/>
          <w:sz w:val="21"/>
          <w:szCs w:val="21"/>
          <w:color w:val="auto"/>
        </w:rPr>
        <w:t>_________________</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Date: </w:t>
      </w:r>
      <w:r>
        <w:rPr>
          <w:rFonts w:ascii="Arial" w:cs="Arial" w:eastAsia="Arial" w:hAnsi="Arial"/>
          <w:sz w:val="21"/>
          <w:szCs w:val="21"/>
          <w:u w:val="single" w:color="auto"/>
          <w:color w:val="auto"/>
        </w:rPr>
        <w:t>September 8, 2023</w:t>
      </w:r>
    </w:p>
    <w:p>
      <w:pPr>
        <w:sectPr>
          <w:pgSz w:w="11900" w:h="16838" w:orient="portrait"/>
          <w:cols w:equalWidth="0" w:num="1">
            <w:col w:w="11240"/>
          </w:cols>
          <w:pgMar w:left="320" w:top="13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Adam H. Schechter, certify that:</w:t>
      </w:r>
    </w:p>
    <w:p>
      <w:pPr>
        <w:spacing w:after="0" w:line="246" w:lineRule="exact"/>
        <w:rPr>
          <w:sz w:val="20"/>
          <w:szCs w:val="20"/>
          <w:color w:val="auto"/>
        </w:rPr>
      </w:pPr>
    </w:p>
    <w:p>
      <w:pPr>
        <w:ind w:left="180" w:hanging="173"/>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46" w:lineRule="exact"/>
        <w:rPr>
          <w:rFonts w:ascii="Arial" w:cs="Arial" w:eastAsia="Arial" w:hAnsi="Arial"/>
          <w:sz w:val="18"/>
          <w:szCs w:val="18"/>
          <w:color w:val="auto"/>
        </w:rPr>
      </w:pPr>
    </w:p>
    <w:p>
      <w:pPr>
        <w:jc w:val="both"/>
        <w:ind w:firstLine="7"/>
        <w:spacing w:after="0" w:line="257" w:lineRule="auto"/>
        <w:tabs>
          <w:tab w:leader="none" w:pos="1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firstLine="7"/>
        <w:spacing w:after="0" w:line="297" w:lineRule="auto"/>
        <w:tabs>
          <w:tab w:leader="none" w:pos="1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7"/>
        <w:spacing w:after="0" w:line="257" w:lineRule="auto"/>
        <w:tabs>
          <w:tab w:leader="none" w:pos="1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14" w:lineRule="exact"/>
        <w:rPr>
          <w:rFonts w:ascii="Arial" w:cs="Arial" w:eastAsia="Arial" w:hAnsi="Arial"/>
          <w:sz w:val="18"/>
          <w:szCs w:val="18"/>
          <w:color w:val="auto"/>
        </w:rPr>
      </w:pPr>
    </w:p>
    <w:p>
      <w:pPr>
        <w:jc w:val="both"/>
        <w:ind w:left="160" w:firstLine="7"/>
        <w:spacing w:after="0" w:line="257" w:lineRule="auto"/>
        <w:tabs>
          <w:tab w:leader="none" w:pos="3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60" w:firstLine="7"/>
        <w:spacing w:after="0" w:line="257" w:lineRule="auto"/>
        <w:tabs>
          <w:tab w:leader="none" w:pos="3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60" w:firstLine="7"/>
        <w:spacing w:after="0" w:line="330" w:lineRule="auto"/>
        <w:tabs>
          <w:tab w:leader="none" w:pos="372"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60" w:firstLine="7"/>
        <w:spacing w:after="0" w:line="257" w:lineRule="auto"/>
        <w:tabs>
          <w:tab w:leader="none" w:pos="3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20" w:firstLine="7"/>
        <w:spacing w:after="0" w:line="330" w:lineRule="auto"/>
        <w:tabs>
          <w:tab w:leader="none" w:pos="1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6"/>
          <w:szCs w:val="16"/>
          <w:color w:val="auto"/>
        </w:rPr>
      </w:pPr>
    </w:p>
    <w:p>
      <w:pPr>
        <w:ind w:left="160" w:firstLine="7"/>
        <w:spacing w:after="0" w:line="267" w:lineRule="auto"/>
        <w:tabs>
          <w:tab w:leader="none" w:pos="3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left="160" w:firstLine="7"/>
        <w:spacing w:after="0" w:line="267" w:lineRule="auto"/>
        <w:tabs>
          <w:tab w:leader="none" w:pos="3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080"/>
        <w:spacing w:after="0"/>
        <w:tabs>
          <w:tab w:leader="none" w:pos="1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4"/>
          <w:szCs w:val="14"/>
          <w:color w:val="auto"/>
        </w:rPr>
        <w:t>October 30, 2023</w:t>
      </w:r>
    </w:p>
    <w:p>
      <w:pPr>
        <w:spacing w:after="0" w:line="20" w:lineRule="exact"/>
        <w:rPr>
          <w:sz w:val="20"/>
          <w:szCs w:val="20"/>
          <w:color w:val="auto"/>
        </w:rPr>
      </w:pPr>
    </w:p>
    <w:p>
      <w:pPr>
        <w:ind w:left="64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ADAM H. SCHECHTER</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Adam H. Schechter</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0440"/>
          </w:cols>
          <w:pgMar w:left="320" w:top="881" w:right="11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46" w:lineRule="exact"/>
        <w:rPr>
          <w:sz w:val="20"/>
          <w:szCs w:val="20"/>
          <w:color w:val="auto"/>
        </w:rPr>
      </w:pPr>
    </w:p>
    <w:p>
      <w:pPr>
        <w:ind w:left="180" w:hanging="173"/>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46" w:lineRule="exact"/>
        <w:rPr>
          <w:rFonts w:ascii="Arial" w:cs="Arial" w:eastAsia="Arial" w:hAnsi="Arial"/>
          <w:sz w:val="18"/>
          <w:szCs w:val="18"/>
          <w:color w:val="auto"/>
        </w:rPr>
      </w:pPr>
    </w:p>
    <w:p>
      <w:pPr>
        <w:jc w:val="both"/>
        <w:ind w:firstLine="7"/>
        <w:spacing w:after="0" w:line="257" w:lineRule="auto"/>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firstLine="7"/>
        <w:spacing w:after="0" w:line="297" w:lineRule="auto"/>
        <w:tabs>
          <w:tab w:leader="none" w:pos="1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7"/>
        <w:spacing w:after="0" w:line="257" w:lineRule="auto"/>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14" w:lineRule="exact"/>
        <w:rPr>
          <w:rFonts w:ascii="Arial" w:cs="Arial" w:eastAsia="Arial" w:hAnsi="Arial"/>
          <w:sz w:val="18"/>
          <w:szCs w:val="18"/>
          <w:color w:val="auto"/>
        </w:rPr>
      </w:pPr>
    </w:p>
    <w:p>
      <w:pPr>
        <w:jc w:val="both"/>
        <w:ind w:left="160" w:firstLine="7"/>
        <w:spacing w:after="0" w:line="257" w:lineRule="auto"/>
        <w:tabs>
          <w:tab w:leader="none" w:pos="3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60" w:firstLine="7"/>
        <w:spacing w:after="0" w:line="257" w:lineRule="auto"/>
        <w:tabs>
          <w:tab w:leader="none" w:pos="3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60" w:firstLine="7"/>
        <w:spacing w:after="0" w:line="330" w:lineRule="auto"/>
        <w:tabs>
          <w:tab w:leader="none" w:pos="3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60" w:firstLine="7"/>
        <w:spacing w:after="0" w:line="257" w:lineRule="auto"/>
        <w:tabs>
          <w:tab w:leader="none" w:pos="3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20" w:firstLine="7"/>
        <w:spacing w:after="0" w:line="330" w:lineRule="auto"/>
        <w:tabs>
          <w:tab w:leader="none" w:pos="1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6"/>
          <w:szCs w:val="16"/>
          <w:color w:val="auto"/>
        </w:rPr>
      </w:pPr>
    </w:p>
    <w:p>
      <w:pPr>
        <w:ind w:left="160" w:firstLine="7"/>
        <w:spacing w:after="0" w:line="267" w:lineRule="auto"/>
        <w:tabs>
          <w:tab w:leader="none" w:pos="38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left="160" w:firstLine="7"/>
        <w:spacing w:after="0" w:line="267" w:lineRule="auto"/>
        <w:tabs>
          <w:tab w:leader="none" w:pos="3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p>
      <w:pPr>
        <w:ind w:left="1080"/>
        <w:spacing w:after="0"/>
        <w:tabs>
          <w:tab w:leader="none" w:pos="1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4"/>
          <w:szCs w:val="14"/>
          <w:color w:val="auto"/>
        </w:rPr>
        <w:t>October 30, 2023</w:t>
      </w:r>
    </w:p>
    <w:p>
      <w:pPr>
        <w:spacing w:after="0" w:line="20" w:lineRule="exact"/>
        <w:rPr>
          <w:sz w:val="20"/>
          <w:szCs w:val="20"/>
          <w:color w:val="auto"/>
        </w:rPr>
      </w:pPr>
    </w:p>
    <w:p>
      <w:pPr>
        <w:ind w:left="64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Glenn A. Eisenberg</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0440"/>
          </w:cols>
          <w:pgMar w:left="320" w:top="881" w:right="11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00" w:lineRule="exact"/>
        <w:rPr>
          <w:sz w:val="20"/>
          <w:szCs w:val="20"/>
          <w:color w:val="auto"/>
        </w:rPr>
      </w:pPr>
    </w:p>
    <w:p>
      <w:pPr>
        <w:spacing w:after="0" w:line="27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206" w:lineRule="exact"/>
        <w:rPr>
          <w:sz w:val="20"/>
          <w:szCs w:val="20"/>
          <w:color w:val="auto"/>
        </w:rPr>
      </w:pPr>
    </w:p>
    <w:p>
      <w:pPr>
        <w:ind w:right="20" w:firstLine="7"/>
        <w:spacing w:after="0" w:line="297" w:lineRule="auto"/>
        <w:tabs>
          <w:tab w:leader="none" w:pos="2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Form 10-Q of the Company for the Period Ended September 30, 2023, filed on the date hereof with the Securities and Exchange Commission (the “Report”) fully complies with the requirements of Section 13(a) or 15(d) of the Securities Exchange Act of 1934; and</w:t>
      </w:r>
    </w:p>
    <w:p>
      <w:pPr>
        <w:spacing w:after="0" w:line="182" w:lineRule="exact"/>
        <w:rPr>
          <w:rFonts w:ascii="Arial" w:cs="Arial" w:eastAsia="Arial" w:hAnsi="Arial"/>
          <w:sz w:val="17"/>
          <w:szCs w:val="17"/>
          <w:color w:val="auto"/>
        </w:rPr>
      </w:pPr>
    </w:p>
    <w:p>
      <w:pPr>
        <w:ind w:left="260" w:hanging="253"/>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8"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ADAM H. SCHECHTER</w:t>
            </w:r>
          </w:p>
        </w:tc>
      </w:tr>
      <w:tr>
        <w:trPr>
          <w:trHeight w:val="245"/>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Adam H. Schechter</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October 30, 2023</w:t>
            </w:r>
          </w:p>
        </w:tc>
      </w:tr>
      <w:tr>
        <w:trPr>
          <w:trHeight w:val="78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GLENN A. EISENBERG</w:t>
            </w:r>
          </w:p>
        </w:tc>
      </w:tr>
      <w:tr>
        <w:trPr>
          <w:trHeight w:val="245"/>
        </w:trPr>
        <w:tc>
          <w:tcPr>
            <w:tcW w:w="58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Glenn A. Eisenberg</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58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October 30, 2023</w:t>
            </w:r>
          </w:p>
        </w:tc>
      </w:tr>
    </w:tbl>
    <w:p>
      <w:pPr>
        <w:sectPr>
          <w:pgSz w:w="11900" w:h="16838" w:orient="portrait"/>
          <w:cols w:equalWidth="0" w:num="1">
            <w:col w:w="10440"/>
          </w:cols>
          <w:pgMar w:left="320" w:top="881" w:right="1139" w:bottom="1440" w:gutter="0" w:footer="0" w:header="0"/>
        </w:sectPr>
      </w:pPr>
    </w:p>
    <w:bookmarkStart w:id="51" w:name="page52"/>
    <w:bookmarkEnd w:id="51"/>
    <w:p>
      <w:pPr>
        <w:spacing w:after="0" w:line="25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0"/>
    </w:lvl>
  </w:abstractNum>
  <w:abstractNum w:abstractNumId="3">
    <w:nsid w:val="216231B"/>
    <w:multiLevelType w:val="hybridMultilevel"/>
    <w:lvl w:ilvl="0">
      <w:lvlJc w:val="left"/>
      <w:lvlText w:val="%1."/>
      <w:numFmt w:val="decimal"/>
      <w:start w:val="11"/>
    </w:lvl>
  </w:abstractNum>
  <w:abstractNum w:abstractNumId="4">
    <w:nsid w:val="1F16E9E8"/>
    <w:multiLevelType w:val="hybridMultilevel"/>
    <w:lvl w:ilvl="0">
      <w:lvlJc w:val="left"/>
      <w:lvlText w:val="%1."/>
      <w:numFmt w:val="decimal"/>
      <w:start w:val="1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0"/>
    </w:lvl>
  </w:abstractNum>
  <w:abstractNum w:abstractNumId="7">
    <w:nsid w:val="140E0F76"/>
    <w:multiLevelType w:val="hybridMultilevel"/>
    <w:lvl w:ilvl="0">
      <w:lvlJc w:val="left"/>
      <w:lvlText w:val="%1."/>
      <w:numFmt w:val="decimal"/>
      <w:start w:val="3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Roman"/>
      <w:start w:val="3"/>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2023-10-30T14:37:02Z</dcterms:created>
  <dcterms:modified xsi:type="dcterms:W3CDTF">2023-10-30T14:37:02Z</dcterms:modified>
</cp:coreProperties>
</file>