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ind w:left="3460" w:hanging="305"/>
        <w:spacing w:after="0"/>
        <w:tabs>
          <w:tab w:leader="none" w:pos="3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w:t>
      </w:r>
    </w:p>
    <w:p>
      <w:pPr>
        <w:spacing w:after="0" w:line="27" w:lineRule="exact"/>
        <w:rPr>
          <w:rFonts w:ascii="Times New Roman" w:cs="Times New Roman" w:eastAsia="Times New Roman" w:hAnsi="Times New Roman"/>
          <w:sz w:val="18"/>
          <w:szCs w:val="18"/>
          <w:color w:val="auto"/>
        </w:rPr>
      </w:pPr>
    </w:p>
    <w:p>
      <w:pPr>
        <w:ind w:left="3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2015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4"/>
          <w:szCs w:val="24"/>
          <w:color w:val="auto"/>
        </w:rPr>
      </w:pPr>
    </w:p>
    <w:p>
      <w:pPr>
        <w:ind w:left="3320" w:hanging="154"/>
        <w:spacing w:after="0"/>
        <w:tabs>
          <w:tab w:leader="none" w:pos="3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w:t>
      </w:r>
    </w:p>
    <w:p>
      <w:pPr>
        <w:spacing w:after="0" w:line="9" w:lineRule="exact"/>
        <w:rPr>
          <w:rFonts w:ascii="Times New Roman" w:cs="Times New Roman" w:eastAsia="Times New Roman" w:hAnsi="Times New Roman"/>
          <w:sz w:val="18"/>
          <w:szCs w:val="18"/>
          <w:color w:val="auto"/>
        </w:rPr>
      </w:pPr>
    </w:p>
    <w:p>
      <w:pPr>
        <w:ind w:left="3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LABORATORY CORPORATION OF</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AMERICA HOLDINGS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13-3757370</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21"/>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358 South Main Street,</w:t>
            </w:r>
          </w:p>
        </w:tc>
        <w:tc>
          <w:tcPr>
            <w:tcW w:w="5700" w:type="dxa"/>
            <w:vAlign w:val="bottom"/>
          </w:tcPr>
          <w:p>
            <w:pPr>
              <w:spacing w:after="0"/>
              <w:rPr>
                <w:sz w:val="24"/>
                <w:szCs w:val="24"/>
                <w:color w:val="auto"/>
              </w:rPr>
            </w:pPr>
          </w:p>
        </w:tc>
      </w:tr>
      <w:tr>
        <w:trPr>
          <w:trHeight w:val="270"/>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Burlington, North Carolina</w:t>
            </w:r>
          </w:p>
        </w:tc>
        <w:tc>
          <w:tcPr>
            <w:tcW w:w="5700" w:type="dxa"/>
            <w:vAlign w:val="bottom"/>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rPr>
              <w:t>27215</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(paragraph 232.405 of this chapter) during the preceding 12 months (or for such shorter period that the registrant was required to submit and post such files). Yes [X] No [ ]</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14" w:right="239" w:bottom="1440" w:gutter="0" w:footer="0" w:header="0"/>
        </w:sectPr>
      </w:pPr>
    </w:p>
    <w:p>
      <w:pPr>
        <w:spacing w:after="0" w:line="3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jc w:val="center"/>
        <w:ind w:right="4180"/>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63" w:lineRule="exact"/>
        <w:rPr>
          <w:sz w:val="24"/>
          <w:szCs w:val="24"/>
          <w:color w:val="auto"/>
        </w:rPr>
      </w:pPr>
    </w:p>
    <w:p>
      <w:pPr>
        <w:sectPr>
          <w:pgSz w:w="11900" w:h="16838" w:orient="portrait"/>
          <w:cols w:equalWidth="0" w:num="2">
            <w:col w:w="5020" w:space="720"/>
            <w:col w:w="5680"/>
          </w:cols>
          <w:pgMar w:left="240" w:top="214"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 [ ]</w:t>
      </w:r>
    </w:p>
    <w:p>
      <w:pPr>
        <w:spacing w:after="0" w:line="200" w:lineRule="exact"/>
        <w:rPr>
          <w:sz w:val="24"/>
          <w:szCs w:val="24"/>
          <w:color w:val="auto"/>
        </w:rPr>
      </w:pPr>
    </w:p>
    <w:p>
      <w:pPr>
        <w:sectPr>
          <w:pgSz w:w="11900" w:h="16838" w:orient="portrait"/>
          <w:cols w:equalWidth="0" w:num="2">
            <w:col w:w="5200" w:space="540"/>
            <w:col w:w="5680"/>
          </w:cols>
          <w:pgMar w:left="240" w:top="214"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the issuer's common stock is 100.4 million shares, net of treasury stock as of April 30, 2015.</w:t>
      </w:r>
    </w:p>
    <w:p>
      <w:pPr>
        <w:sectPr>
          <w:pgSz w:w="11900" w:h="16838" w:orient="portrait"/>
          <w:cols w:equalWidth="0" w:num="1">
            <w:col w:w="11420"/>
          </w:cols>
          <w:pgMar w:left="240" w:top="21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INDEX</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5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4"/>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March 31, 2015 and December 31, 2014</w:t>
            </w:r>
          </w:p>
        </w:tc>
        <w:tc>
          <w:tcPr>
            <w:tcW w:w="3540" w:type="dxa"/>
            <w:vAlign w:val="bottom"/>
            <w:gridSpan w:val="8"/>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w:t>
              </w:r>
            </w:hyperlink>
          </w:p>
        </w:tc>
        <w:tc>
          <w:tcPr>
            <w:tcW w:w="2800" w:type="dxa"/>
            <w:vAlign w:val="bottom"/>
            <w:gridSpan w:val="7"/>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Three months ended March 31,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Earnings</w:t>
              </w:r>
            </w:hyperlink>
          </w:p>
        </w:tc>
        <w:tc>
          <w:tcPr>
            <w:tcW w:w="1780" w:type="dxa"/>
            <w:vAlign w:val="bottom"/>
            <w:gridSpan w:val="3"/>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Three months ended March 31,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Changes in Shareholders’ Equity</w:t>
              </w:r>
            </w:hyperlink>
          </w:p>
        </w:tc>
        <w:tc>
          <w:tcPr>
            <w:tcW w:w="12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Three months ended March 31,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w:t>
              </w:r>
            </w:hyperlink>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Three months ended March 31, 2015 and 2014</w:t>
            </w:r>
          </w:p>
        </w:tc>
        <w:tc>
          <w:tcPr>
            <w:tcW w:w="2760" w:type="dxa"/>
            <w:vAlign w:val="bottom"/>
            <w:gridSpan w:val="6"/>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Unaudited Condensed Consolidated Financial Statements</w:t>
              </w:r>
            </w:hyperlink>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4"/>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26</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Quantitative and Qualitative Disclosures about Market Risk</w:t>
              </w:r>
            </w:hyperlink>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9"/>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Controls and Procedures</w:t>
              </w:r>
            </w:hyperlink>
          </w:p>
        </w:tc>
        <w:tc>
          <w:tcPr>
            <w:tcW w:w="2160" w:type="dxa"/>
            <w:vAlign w:val="bottom"/>
            <w:gridSpan w:val="5"/>
          </w:tcPr>
          <w:p>
            <w:pPr>
              <w:spacing w:after="0"/>
              <w:rPr>
                <w:sz w:val="24"/>
                <w:szCs w:val="24"/>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r>
      <w:tr>
        <w:trPr>
          <w:trHeight w:val="48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Risk Factors</w:t>
              </w:r>
            </w:hyperlink>
          </w:p>
        </w:tc>
        <w:tc>
          <w:tcPr>
            <w:tcW w:w="420" w:type="dxa"/>
            <w:vAlign w:val="bottom"/>
          </w:tcPr>
          <w:p>
            <w:pPr>
              <w:spacing w:after="0"/>
              <w:rPr>
                <w:sz w:val="24"/>
                <w:szCs w:val="24"/>
                <w:color w:val="auto"/>
              </w:rPr>
            </w:pPr>
          </w:p>
        </w:tc>
        <w:tc>
          <w:tcPr>
            <w:tcW w:w="5140" w:type="dxa"/>
            <w:vAlign w:val="bottom"/>
            <w:gridSpan w:val="11"/>
          </w:tcPr>
          <w:p>
            <w:pPr>
              <w:spacing w:after="0"/>
              <w:rPr>
                <w:sz w:val="24"/>
                <w:szCs w:val="24"/>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Unregistered Sales of Equity Securities and Use of Proceeds</w:t>
              </w:r>
            </w:hyperlink>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rFonts w:ascii="Times New Roman" w:cs="Times New Roman" w:eastAsia="Times New Roman" w:hAnsi="Times New Roman"/>
                <w:sz w:val="18"/>
                <w:szCs w:val="18"/>
                <w:color w:val="0000EE"/>
                <w:w w:val="96"/>
              </w:rPr>
            </w:pPr>
            <w:hyperlink w:anchor="page36">
              <w:r>
                <w:rPr>
                  <w:rFonts w:ascii="Times New Roman" w:cs="Times New Roman" w:eastAsia="Times New Roman" w:hAnsi="Times New Roman"/>
                  <w:sz w:val="18"/>
                  <w:szCs w:val="18"/>
                  <w:color w:val="0000EE"/>
                  <w:w w:val="96"/>
                </w:rPr>
                <w:t>Exhibits</w:t>
              </w:r>
            </w:hyperlink>
          </w:p>
        </w:tc>
        <w:tc>
          <w:tcPr>
            <w:tcW w:w="3740" w:type="dxa"/>
            <w:vAlign w:val="bottom"/>
            <w:gridSpan w:val="9"/>
          </w:tcPr>
          <w:p>
            <w:pPr>
              <w:spacing w:after="0"/>
              <w:rPr>
                <w:sz w:val="24"/>
                <w:szCs w:val="24"/>
                <w:color w:val="auto"/>
              </w:rPr>
            </w:pPr>
          </w:p>
        </w:tc>
        <w:tc>
          <w:tcPr>
            <w:tcW w:w="2120" w:type="dxa"/>
            <w:vAlign w:val="bottom"/>
            <w:gridSpan w:val="4"/>
          </w:tcPr>
          <w:p>
            <w:pPr>
              <w:spacing w:after="0"/>
              <w:rPr>
                <w:sz w:val="24"/>
                <w:szCs w:val="24"/>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723"/>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80" w:type="dxa"/>
            <w:vAlign w:val="bottom"/>
            <w:gridSpan w:val="10"/>
          </w:tcPr>
          <w:p>
            <w:pPr>
              <w:jc w:val="center"/>
              <w:ind w:left="38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34"/>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r>
      <w:tr>
        <w:trPr>
          <w:trHeight w:val="225"/>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$224.8 and $211.6 at March 31, 2015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Unbilled services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7,301.8</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282.3</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2"/>
        </w:trPr>
        <w:tc>
          <w:tcPr>
            <w:tcW w:w="7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530.4</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274.2</w:t>
            </w: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9,616.8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4,463.6</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100.5 and 84.6 shares outstanding at March 31, 2015 and December 31, 2014,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1"/>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3,786.1</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common stock held in treasury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4,517.6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2,820.5</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7,301.8</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21" w:right="239" w:bottom="109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09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INDEX</w:t>
              </w:r>
            </w:hyperlink>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73"/>
        </w:trPr>
        <w:tc>
          <w:tcPr>
            <w:tcW w:w="560" w:type="dxa"/>
            <w:vAlign w:val="bottom"/>
            <w:tcBorders>
              <w:top w:val="single" w:sz="8" w:color="0000EE"/>
            </w:tcBorders>
          </w:tcPr>
          <w:p>
            <w:pPr>
              <w:spacing w:after="0"/>
              <w:rPr>
                <w:sz w:val="24"/>
                <w:szCs w:val="24"/>
                <w:color w:val="auto"/>
              </w:rPr>
            </w:pPr>
          </w:p>
        </w:tc>
        <w:tc>
          <w:tcPr>
            <w:tcW w:w="852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14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14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560" w:type="dxa"/>
            <w:vAlign w:val="bottom"/>
          </w:tcPr>
          <w:p>
            <w:pPr>
              <w:spacing w:after="0"/>
              <w:rPr>
                <w:sz w:val="20"/>
                <w:szCs w:val="20"/>
                <w:color w:val="auto"/>
              </w:rPr>
            </w:pPr>
          </w:p>
        </w:tc>
        <w:tc>
          <w:tcPr>
            <w:tcW w:w="814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34"/>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34"/>
        </w:trPr>
        <w:tc>
          <w:tcPr>
            <w:tcW w:w="56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1,430.7</w:t>
            </w:r>
          </w:p>
        </w:tc>
      </w:tr>
      <w:tr>
        <w:trPr>
          <w:trHeight w:val="284"/>
        </w:trPr>
        <w:tc>
          <w:tcPr>
            <w:tcW w:w="8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Reimbursable out-of-pocket expenses</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1,430.7</w:t>
            </w:r>
          </w:p>
        </w:tc>
      </w:tr>
      <w:tr>
        <w:trPr>
          <w:trHeight w:val="324"/>
        </w:trPr>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913.9</w:t>
            </w:r>
          </w:p>
        </w:tc>
      </w:tr>
      <w:tr>
        <w:trPr>
          <w:trHeight w:val="284"/>
        </w:trPr>
        <w:tc>
          <w:tcPr>
            <w:tcW w:w="8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Reimbursable out-of-pocket expenses</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revenues</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913.9</w:t>
            </w:r>
          </w:p>
        </w:tc>
      </w:tr>
      <w:tr>
        <w:trPr>
          <w:trHeight w:val="243"/>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516.8</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284.9</w:t>
            </w:r>
          </w:p>
        </w:tc>
      </w:tr>
      <w:tr>
        <w:trPr>
          <w:trHeight w:val="243"/>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special charges</w:t>
            </w:r>
          </w:p>
        </w:tc>
        <w:tc>
          <w:tcPr>
            <w:tcW w:w="3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203.3</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method income, net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87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187.7</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43"/>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87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3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304"/>
        </w:trPr>
        <w:tc>
          <w:tcPr>
            <w:tcW w:w="8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r>
      <w:tr>
        <w:trPr>
          <w:trHeight w:val="311"/>
        </w:trPr>
        <w:tc>
          <w:tcPr>
            <w:tcW w:w="560" w:type="dxa"/>
            <w:vAlign w:val="bottom"/>
            <w:shd w:val="clear" w:color="auto" w:fill="CCEEFF"/>
          </w:tcPr>
          <w:p>
            <w:pPr>
              <w:spacing w:after="0"/>
              <w:rPr>
                <w:sz w:val="24"/>
                <w:szCs w:val="24"/>
                <w:color w:val="auto"/>
              </w:rPr>
            </w:pPr>
          </w:p>
        </w:tc>
        <w:tc>
          <w:tcPr>
            <w:tcW w:w="8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5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560" w:type="dxa"/>
            <w:vAlign w:val="bottom"/>
            <w:shd w:val="clear" w:color="auto" w:fill="CCEEFF"/>
          </w:tcPr>
          <w:p>
            <w:pPr>
              <w:spacing w:after="0"/>
              <w:rPr>
                <w:sz w:val="2"/>
                <w:szCs w:val="2"/>
                <w:color w:val="auto"/>
              </w:rPr>
            </w:pPr>
          </w:p>
        </w:tc>
        <w:tc>
          <w:tcPr>
            <w:tcW w:w="8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80"/>
          </w:cols>
          <w:pgMar w:left="240" w:top="108"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92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INDEX</w:t>
              </w:r>
            </w:hyperlink>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90"/>
        </w:trPr>
        <w:tc>
          <w:tcPr>
            <w:tcW w:w="560" w:type="dxa"/>
            <w:vAlign w:val="bottom"/>
            <w:tcBorders>
              <w:top w:val="single" w:sz="8" w:color="0000EE"/>
            </w:tcBorders>
          </w:tcPr>
          <w:p>
            <w:pPr>
              <w:spacing w:after="0"/>
              <w:rPr>
                <w:sz w:val="24"/>
                <w:szCs w:val="24"/>
                <w:color w:val="auto"/>
              </w:rPr>
            </w:pPr>
          </w:p>
        </w:tc>
        <w:tc>
          <w:tcPr>
            <w:tcW w:w="866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66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EARNINGS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3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0" w:type="dxa"/>
            <w:vAlign w:val="bottom"/>
          </w:tcPr>
          <w:p>
            <w:pPr>
              <w:spacing w:after="0"/>
              <w:rPr>
                <w:sz w:val="20"/>
                <w:szCs w:val="20"/>
                <w:color w:val="auto"/>
              </w:rPr>
            </w:pPr>
          </w:p>
        </w:tc>
        <w:tc>
          <w:tcPr>
            <w:tcW w:w="83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5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0"/>
        </w:trPr>
        <w:tc>
          <w:tcPr>
            <w:tcW w:w="560" w:type="dxa"/>
            <w:vAlign w:val="bottom"/>
          </w:tcPr>
          <w:p>
            <w:pPr>
              <w:spacing w:after="0"/>
              <w:rPr>
                <w:sz w:val="23"/>
                <w:szCs w:val="23"/>
                <w:color w:val="auto"/>
              </w:rPr>
            </w:pPr>
          </w:p>
        </w:tc>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4"/>
        </w:trPr>
        <w:tc>
          <w:tcPr>
            <w:tcW w:w="5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1"/>
                <w:szCs w:val="21"/>
                <w:color w:val="auto"/>
              </w:rPr>
            </w:pPr>
          </w:p>
        </w:tc>
      </w:tr>
      <w:tr>
        <w:trPr>
          <w:trHeight w:val="34"/>
        </w:trPr>
        <w:tc>
          <w:tcPr>
            <w:tcW w:w="5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560" w:type="dxa"/>
            <w:vAlign w:val="bottom"/>
            <w:shd w:val="clear" w:color="auto" w:fill="CCEEFF"/>
          </w:tcPr>
          <w:p>
            <w:pPr>
              <w:spacing w:after="0"/>
              <w:rPr>
                <w:sz w:val="24"/>
                <w:szCs w:val="24"/>
                <w:color w:val="auto"/>
              </w:rPr>
            </w:pPr>
          </w:p>
        </w:tc>
        <w:tc>
          <w:tcPr>
            <w:tcW w:w="8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89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Investment adjustments</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4"/>
                <w:szCs w:val="24"/>
                <w:color w:val="auto"/>
              </w:rPr>
            </w:pPr>
          </w:p>
        </w:tc>
      </w:tr>
      <w:tr>
        <w:trPr>
          <w:trHeight w:val="244"/>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89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 related to items of other comprehensive earnings</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24"/>
                <w:szCs w:val="24"/>
                <w:color w:val="auto"/>
              </w:rPr>
            </w:pPr>
          </w:p>
        </w:tc>
      </w:tr>
      <w:tr>
        <w:trPr>
          <w:trHeight w:val="271"/>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43"/>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(loss) earnings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6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(loss) earnings attributable to Laboratory Corporation of America Holdings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2"/>
                <w:szCs w:val="22"/>
                <w:color w:val="auto"/>
              </w:rPr>
            </w:pPr>
          </w:p>
        </w:tc>
      </w:tr>
      <w:tr>
        <w:trPr>
          <w:trHeight w:val="20"/>
        </w:trPr>
        <w:tc>
          <w:tcPr>
            <w:tcW w:w="5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8"/>
              </w:rPr>
              <w:t>Other</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4"/>
              </w:rPr>
              <w:t>Total</w:t>
            </w: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Paid-in</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Treasury</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Comprehensive</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Shareholders’</w:t>
            </w:r>
          </w:p>
        </w:tc>
      </w:tr>
      <w:tr>
        <w:trPr>
          <w:trHeight w:val="210"/>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Stock</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Capital</w:t>
            </w: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Stock</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Income</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Equity</w:t>
            </w:r>
          </w:p>
        </w:tc>
      </w:tr>
      <w:tr>
        <w:trPr>
          <w:trHeight w:val="40"/>
        </w:trPr>
        <w:tc>
          <w:tcPr>
            <w:tcW w:w="35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3,373.5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2,491.3</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Laboratory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 of America Holdings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plans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Surrender of restricted stock and performance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awards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zero-coupon convertible debt</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from stock options exercised</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r>
      <w:tr>
        <w:trPr>
          <w:trHeight w:val="28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3,408.9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2,501.3</w:t>
            </w:r>
          </w:p>
        </w:tc>
      </w:tr>
      <w:tr>
        <w:trPr>
          <w:trHeight w:val="284"/>
        </w:trPr>
        <w:tc>
          <w:tcPr>
            <w:tcW w:w="35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2,820.5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Laboratory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Corporation of America Holdings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consideration</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1,761.0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1,762.5</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plans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Surrender of restricted stock and performance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awards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zero-coupon convertible debt</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from stock options exercised</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35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MARCH 31, 2015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1,823.2</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3,786.8</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4,517.6</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INDEX</w:t>
              </w:r>
            </w:hyperlink>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3"/>
        </w:trPr>
        <w:tc>
          <w:tcPr>
            <w:tcW w:w="560" w:type="dxa"/>
            <w:vAlign w:val="bottom"/>
            <w:tcBorders>
              <w:top w:val="single" w:sz="8" w:color="0000EE"/>
            </w:tcBorders>
          </w:tcPr>
          <w:p>
            <w:pPr>
              <w:spacing w:after="0"/>
              <w:rPr>
                <w:sz w:val="24"/>
                <w:szCs w:val="24"/>
                <w:color w:val="auto"/>
              </w:rPr>
            </w:pPr>
          </w:p>
        </w:tc>
        <w:tc>
          <w:tcPr>
            <w:tcW w:w="95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60" w:type="dxa"/>
            <w:vAlign w:val="bottom"/>
          </w:tcPr>
          <w:p>
            <w:pPr>
              <w:spacing w:after="0"/>
              <w:rPr>
                <w:sz w:val="20"/>
                <w:szCs w:val="20"/>
                <w:color w:val="auto"/>
              </w:rPr>
            </w:pPr>
          </w:p>
        </w:tc>
        <w:tc>
          <w:tcPr>
            <w:tcW w:w="80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34"/>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34"/>
        </w:trPr>
        <w:tc>
          <w:tcPr>
            <w:tcW w:w="5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Gain on sale of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interest on zero-coupon subordinated notes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Earnings in excess of distributions from equity method investments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in accounts receivable (net)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unbilled services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 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decrease in prepaid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unearned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85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(Decrease) increase in accrued expenses and other</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senior note offerings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term loan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Payments on term loan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bridge loan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bridge loan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Payments on senior notes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zero-coupon subordinated notes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payments on acquisitions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long-term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Excess tax benefits from stock based compensation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84"/>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71"/>
        </w:trPr>
        <w:tc>
          <w:tcPr>
            <w:tcW w:w="8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3,629.7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404.0</w:t>
            </w: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338.9</w:t>
            </w:r>
          </w:p>
        </w:tc>
      </w:tr>
      <w:tr>
        <w:trPr>
          <w:trHeight w:val="20"/>
        </w:trPr>
        <w:tc>
          <w:tcPr>
            <w:tcW w:w="5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08" w:right="239" w:bottom="5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08" w:right="239" w:bottom="5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FINANCIAL STATEMENT PRESENTATION</w:t>
      </w:r>
    </w:p>
    <w:p>
      <w:pPr>
        <w:spacing w:after="0" w:line="22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Laboratory Corporation of America Holdings (the “Company”) and its majority-owned subsidiaries over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condensed consolidated financial statements.</w:t>
      </w:r>
    </w:p>
    <w:p>
      <w:pPr>
        <w:spacing w:after="0" w:line="9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w:t>
      </w:r>
    </w:p>
    <w:p>
      <w:pPr>
        <w:spacing w:after="0" w:line="8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86"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Effective as of the first quarter of 2015, the Company changed its operating segments due to a change in its underlying organizational model designed to support the business following the acquisition of Covance Inc. (“Covance” or “the Acquisition”) (see Note 14 - Business Segment Information). The LabCorp Diagnostics (“LCD”) segment includes operations which offer a broad range of clinical laboratory tests and procedures and is comprised of several reporting units based on geography or testing capabilities. The Covance Drug Development (“CDD”) segment includes early drug development services and central labs and clinical trial services. Through these services the Company offers its clients the ability to conduct a variety of studies, in vitro (in test tubes) and in vivo (in animals), to establish the basic pharmacokinetic effect and safety of a drug (preclinical laboratory testing). The central labs and clinical trial services operations includes a full range of clinical and clinical development support services including study design, investigator recruitment, study monitoring, data management, biostatistical analysis, medical writing, regulatory services and preparation and filing of the new drug applications with the appropriate regulatory authorities. The CDD operating segment also offers a wide-range of market access services. The central labs and clinical trials service offerings share the common objectives of demonstrating the clinical effectiveness of a compound, obtaining regulatory approval and maximizing a drug’s commercial potential.</w:t>
      </w:r>
    </w:p>
    <w:p>
      <w:pPr>
        <w:spacing w:after="0" w:line="9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and notes are presented in accordance with the rules and regulations of the Securities and Exchange Commission and do not contain certain information included in the Company’s 2014 Annual Report on Form 10-K. Therefore, the interim statements should be read in conjunction with the consolidated financial statements and notes thereto contained in the Company’s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information summarizes the significant accounting policies of the Company's new CDD segment. The significant accounting policies of the LCD segment, which are largely comprised of the historic operations of the Company prior to the Acquisition, have not changed since 2014 and are described in the Company's 2014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CDD recognizes revenue either as services are performed or products are delivered, depending on the nature of the work contracted. Historically, a majority of CDD’s net revenues have been earned under contracts which range in duration from a few months to two years, but can extend in duration up to five years or longer. CDD also has committed minimum volume arrangements with certain clients with initial terms that generally range in duration from three to ten years. Underlying these arrangements are individual project contracts for the specific services to be provided. These arrangements enable CDD's clients to secure its services in exchange for which they commit to purchase an annual minimum dollar value of services. Under these types of arrangements, if the annual minimum dollar value of service commitment is not reached, the client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client.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Service contracts generally take the form of fee-for-service or fixed-price arrangements. In cases where performance spans multiple accounting periods, revenue is recognized as services are performed, measured on a proportional-performance basis, generally using output measures that are specific to the service provided. Examples of output measures in early development service include among others the number of slides read, or specimens prepared for preclinical laboratory services, or number of dosings or number of volunteers enrolled for clinical pharmacology. Examples of output measures in the clinical trials services include among others, number of investigators enrolled, number of sites initiated, number of patients enrolled and number of monitoring visits completed.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client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9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Billing schedules and payment terms are generally negotiated on a contract-by-contract basis. In some cases, CDD bills the client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client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9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8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other cases, services may be provided and revenue recognized before the client is invoiced. In these cases, revenue recognized will exceed amounts billed, and the difference, representing an unbilled receivable, is recorded for the amount that is currently unbillable to the customer pursuant to contractual terms. Once the client is invoiced, the unbilled services are reduced for the amount billed, and a corresponding account receivable is recorded. All unbilled services are billable to customers within one year from the respective balance sheet date.</w:t>
      </w:r>
    </w:p>
    <w:p>
      <w:pPr>
        <w:spacing w:after="0" w:line="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client,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volunteers and other out-of-pocket costs (such as for travel, printing, meetings, couriers, etc.), for which it is reimbursed at cost, without mark-up or profit. Investigator fees are not reflected in total revenues or expenses where CDD acts in the capacity of an agent on behalf of the pharmaceutical company sponsor, passing through these costs without risk or reward to CDD. All other out-of-pocket costs are included in total revenues and expenses.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subsidiaries outside of the United States that operate in a local currency environment, income and expense items are translated to United States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comprehensive income in the consolidated statements of comprehensive earnings and consolidated statements of changes in shareholders’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gains and losses are included in the determination of net income in the consolidated statements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the management of multi-site clinical trials, CDD pays on behalf of its customers certain out-of-pocket costs, for which the Company is reimbursed at cost, without mark-up or profit. Amounts receivable from customers in connection with such out-of-pocket pass-through costs are included in prepaid expenses and other current assets in the accompanying consolidated balance sheets and totaled $72.4 at March 31, 2015.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Reimbursable Out-of-Pocket Expenses</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since CDD acts as an agent on behalf of the pharmaceutical company sponsors with regard to investigator payments.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April 2014, the FASB issued a new accounting standard on discontinued operations that significantly changes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guidance is to be applied prospectively to all new disposals of components and new classifications as held for sale beginning in 2015, with early adoption allowed in 2014. The adoption of this standard is not expected to have a material impact on the consolidated financial statements.</w:t>
      </w:r>
    </w:p>
    <w:p>
      <w:pPr>
        <w:spacing w:after="0" w:line="9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However, in April, 2015, the FASB voted to propose a one-year deferral of the effective date of the standard. If the proposal is adopted, the standard will be effective for the Company beginning January 1, 2018, with early adoption permitted for annual periods beginning after December 16, 2016. The Company is currently evaluating the expected impact of the standard.</w:t>
      </w:r>
    </w:p>
    <w:p>
      <w:pPr>
        <w:spacing w:after="0" w:line="9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April 2015, the FASB issued an update which requires debt issuance costs to be presented in the balance sheet as a direct deduction from the associated debt liability. This standard is effective for the Company beginning January 1, 2016. The new guidance will be applied on a retrospective basis. The adoption of this standard is not expected to have a material impact on the consolidated financial statements.</w:t>
      </w:r>
    </w:p>
    <w:p>
      <w:pPr>
        <w:spacing w:after="0" w:line="17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February 19, 2015, the Company completed the Acquisition for $6,150.7. The Company issued debt and common stock to fund the Acquisition. Covance stockholders received $75.76 in cash and 0.2686 shares of the Company's common stock for each share of Covance common stock they owned. The Company financed the transaction with $3,900.0 of debt, 15.3 shares of its common stock and $488.2 of available cash, $400.0 of which was derived from a bridge term loan credit facility. 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The Company also entered into a $1,000.0 term loan facility which was advanced in full on February 19, 2015. The term loan credit facility will mature five years after the closing date of the Acquisition and may be prepaid without penalty.</w:t>
      </w:r>
    </w:p>
    <w:p>
      <w:pPr>
        <w:spacing w:after="0" w:line="9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allocation of purchase price is preliminary and subject to change. The primary areas of the purchase price that are not yet finalized are related to certain income tax items, unearned revenue, intangible assets, property, plant and equipment, working capital adjustments as defined in the purchase agreement, amortization and depreciation lives, and residual goodwill. Accordingly, adjustments will be made to the values of the assets acquired and liabilities assumed as additional information is obtained about the facts and circumstances that existed at the valuation date. The preliminary valuation of acquired assets and assumed liabilities at the date of the Acquisition, include the following:</w:t>
      </w:r>
    </w:p>
    <w:p>
      <w:pPr>
        <w:sectPr>
          <w:pgSz w:w="11900" w:h="16838" w:orient="portrait"/>
          <w:cols w:equalWidth="0" w:num="1">
            <w:col w:w="11420"/>
          </w:cols>
          <w:pgMar w:left="240" w:top="121" w:right="239" w:bottom="1440" w:gutter="0" w:footer="0" w:header="0"/>
        </w:sectPr>
      </w:pP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 consideration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Assets Acquired</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Unbilled services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Prepaid expenses and other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Property, plant and equipment</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Land use right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assets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Accrued expenses and other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Unearned revenue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notes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liabilities acquired</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-136525</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1,762.5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231775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51435</wp:posOffset>
            </wp:positionV>
            <wp:extent cx="1440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780.8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41910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334.8</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51.9</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34.4</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3,176.1</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1,917.2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289.4</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4408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190.8</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168.0</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250.0</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34290</wp:posOffset>
            </wp:positionV>
            <wp:extent cx="72294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1,698.3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440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51435</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60"/>
          </w:cols>
          <w:pgMar w:left="240" w:top="121" w:right="239" w:bottom="1440" w:gutter="0" w:footer="0" w:header="0"/>
          <w:type w:val="continuous"/>
        </w:sectPr>
      </w:pPr>
    </w:p>
    <w:p>
      <w:pPr>
        <w:spacing w:after="0" w:line="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noted above, the valuation of acquired intangible assets is preliminary as of March 31, 2015. Similarly, the amortization periods are preliminary until the valuation is finalized. The preliminary amortization periods for intangible assets acquired are 27 years for customer relationships, 15 years for trade names and trademarks, and 3 years for land use right.</w:t>
      </w:r>
    </w:p>
    <w:p>
      <w:pPr>
        <w:sectPr>
          <w:pgSz w:w="11900" w:h="16838" w:orient="portrait"/>
          <w:cols w:equalWidth="0" w:num="1">
            <w:col w:w="11420"/>
          </w:cols>
          <w:pgMar w:left="240" w:top="121" w:right="239" w:bottom="144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ind w:right="1680" w:firstLine="243"/>
        <w:spacing w:after="0" w:line="454" w:lineRule="auto"/>
        <w:rPr>
          <w:sz w:val="20"/>
          <w:szCs w:val="20"/>
          <w:color w:val="auto"/>
        </w:rPr>
      </w:pPr>
      <w:r>
        <w:rPr>
          <w:rFonts w:ascii="Times New Roman" w:cs="Times New Roman" w:eastAsia="Times New Roman" w:hAnsi="Times New Roman"/>
          <w:sz w:val="18"/>
          <w:szCs w:val="18"/>
          <w:color w:val="auto"/>
        </w:rPr>
        <w:t xml:space="preserve">The Acquisition contributed $267.2 and $56.2 of revenue and net loss, respectively, during the three months ended March 31, 2015. </w:t>
      </w:r>
      <w:r>
        <w:rPr>
          <w:rFonts w:ascii="Times New Roman" w:cs="Times New Roman" w:eastAsia="Times New Roman" w:hAnsi="Times New Roman"/>
          <w:sz w:val="18"/>
          <w:szCs w:val="18"/>
          <w:i w:val="1"/>
          <w:iCs w:val="1"/>
          <w:color w:val="auto"/>
        </w:rPr>
        <w:t>Unaudited Pro Forma Information</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the Acquisition on February 19, 2015. Had the Acquisition been completed as of the beginning of 2014, the Company's pro forma results for 2015 and 2014 would have been as follows:</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34"/>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2,097.0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84"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The unaudited pro forma results reflect certain adjustments related to past operating performance, acquisition costs and acquisition accounting adjustments, such as increased amortization expense based on the estimated fair value of assets acquired, the impact of the Company’s new financing arrangements, and the related tax effects. The pro forma results include costs directly attributable to the Acquisition which are not expected to have a continuing impact on the combined company, such as transactions costs of $207.6; comprised of change in control, retention and severance arrangements of $26.8; acceleration of stock based compensation of $43.2 and related employer taxes of $9.4; legal, advisor and success fees of $75.6; write-off of bridge and other deferred financing fees of $15.2; and make-whole payments of $37.4 made in connection with the prepayment of Covance's existing private placement debt, all of which are included in the pro forma results of operations for the three months ended March 31, 2014. The pro forma results do not include any anticipated synergies which may be achievable subsequent to the Acquisition. To produce the unaudited pro forma financial information, the Company adjusted Covance’s assets and liabilities to their estimated fair value based on a preliminary valuation obtained prior to closing the transaction. The Company has not completed the detailed valuation work necessary to arrive at the final estimates of the fair value of the Covance assets acquired and the liabilities assumed and the related allocation of purchase price. These pro forma results of operations have been prepared for comparative purposes only, and they do not purport to be indicative of the results of operations that actually would have resulted had the acquisition occurred on the date indicated or that may result in the future.</w:t>
      </w:r>
    </w:p>
    <w:p>
      <w:pPr>
        <w:spacing w:after="0" w:line="15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2015, the Company also acquired various laboratories and related assets for approximately $14.7 in cash (net of cash acquired). The purchase consideration for these acquisitions has been allocated to the estimated fair market value of the net assets acquired, including approximately $3.4 in identifiable intangible assets (primarily customer relationships and non-compete agreements) and a residual amount of goodwill of approximately $11.5. These acquisitions were made primarily to extend the Company's geographic reach in important market areas and/or enhance the Company's scientific differentiation and esoteric testing capabilities. The Company's results would not have been materially different from its pro forma results had the Company's other 2015 acquisitions occurred at the beginning of 2014.</w:t>
      </w:r>
    </w:p>
    <w:p>
      <w:pPr>
        <w:spacing w:after="0" w:line="18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performance share awards, and shares issuable upon conversion of zero-coupon subordinated notes.</w:t>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rPr>
              <w:t>Per</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Times New Roman" w:cs="Times New Roman" w:eastAsia="Times New Roman" w:hAnsi="Times New Roman"/>
                <w:sz w:val="14"/>
                <w:szCs w:val="14"/>
                <w:color w:val="auto"/>
                <w:w w:val="96"/>
              </w:rPr>
              <w:t>Per</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57"/>
        </w:trPr>
        <w:tc>
          <w:tcPr>
            <w:tcW w:w="6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113.1</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57"/>
        </w:trPr>
        <w:tc>
          <w:tcPr>
            <w:tcW w:w="6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Dilutive effect of employee stock options and awards</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convertible debt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earnings including impact of dilutive adjustments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113.1</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0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color w:val="auto"/>
        </w:rPr>
        <w:t>Three Months Ended March</w:t>
      </w:r>
    </w:p>
    <w:p>
      <w:pPr>
        <w:spacing w:after="0" w:line="27"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22860</wp:posOffset>
            </wp:positionV>
            <wp:extent cx="13633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52" w:lineRule="exact"/>
        <w:rPr>
          <w:sz w:val="20"/>
          <w:szCs w:val="20"/>
          <w:color w:val="auto"/>
        </w:rPr>
      </w:pPr>
    </w:p>
    <w:p>
      <w:pPr>
        <w:ind w:left="9580"/>
        <w:spacing w:after="0"/>
        <w:tabs>
          <w:tab w:leader="none" w:pos="10680" w:val="left"/>
        </w:tabs>
        <w:rPr>
          <w:sz w:val="20"/>
          <w:szCs w:val="20"/>
          <w:color w:val="auto"/>
        </w:rPr>
      </w:pP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9960" w:val="left"/>
          <w:tab w:leader="none" w:pos="11080" w:val="left"/>
        </w:tabs>
        <w:rPr>
          <w:sz w:val="20"/>
          <w:szCs w:val="20"/>
          <w:color w:val="auto"/>
        </w:rPr>
      </w:pPr>
      <w:r>
        <w:rPr>
          <w:rFonts w:ascii="Times New Roman" w:cs="Times New Roman" w:eastAsia="Times New Roman" w:hAnsi="Times New Roman"/>
          <w:sz w:val="18"/>
          <w:szCs w:val="18"/>
          <w:color w:val="auto"/>
        </w:rPr>
        <w:t>Stock options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SPECIAL CHARGES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2015, the Company recorded net restructuring and other special charges of $19.3. The charges were comprised of $3.2 related to severance and other personnel costs along with $16.1 in costs associated with facility closures and impairment of certain information technology assets.</w:t>
      </w:r>
    </w:p>
    <w:p>
      <w:pPr>
        <w:spacing w:after="0" w:line="8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addition, during the first three months of 2015, the Company recorded $6.0 in consulting expenses (recorded in selling, general and administrative expenses) relating to fees incurred as part of its business process improvement initiative (“Project LaunchPad”). The Company also recorded $166.0 of deal costs related to the Acquisition, of which $80.6 is included in selling, general and administrative expenses, $32.8 is included in cost of revenue, and $52.6 is included in interest expense.</w:t>
      </w:r>
    </w:p>
    <w:p>
      <w:pPr>
        <w:spacing w:after="0" w:line="8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2014, the Company recorded net restructuring and other special charges of $7.6. The charges were comprised of $2.8 related to severance and other personnel costs along with $4.9 in costs associated with facility closures and general integration initiatives. These charges were offset by the reversal of previously established reserves of $0.1 in unused severance.</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represents the Company’s restructuring reserve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Severance</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Lease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and Other</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and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Employee</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Facility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Costs</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Costs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0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of March 31, 2015, the Company has recorded goodwill of $6,282.2, which includes a preliminary goodwill balance of $3,176.1 related to the Acquisition. Effective in the first quarter of 2015, the Company changed its operating segments due to a change in its underlying organizational model designed to support the business following the Acquisition (see Note 14 - Business Segment Information). The Company did not operate under the realigned operating segment structure prior to the first quarter of 2015. This change in segments resulted in a reassignment of goodwill of approximately $110.5 among some of the Company’s</w:t>
      </w:r>
    </w:p>
    <w:p>
      <w:pPr>
        <w:sectPr>
          <w:pgSz w:w="11900" w:h="16838" w:orient="portrait"/>
          <w:cols w:equalWidth="0" w:num="1">
            <w:col w:w="11420"/>
          </w:cols>
          <w:pgMar w:left="240" w:top="121"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segments (and reporting units) based on relative fair value. Prior period information has been retrospectively adjusted to reflect this reassignment.</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the Company’s goodwill by reportable segment, reflecting the retrospective reassignment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LCD</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2,988.9</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CDD</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r>
      <w:tr>
        <w:trPr>
          <w:trHeight w:val="27"/>
        </w:trPr>
        <w:tc>
          <w:tcPr>
            <w:tcW w:w="9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40" w:firstLine="243"/>
        <w:spacing w:after="0" w:line="266" w:lineRule="auto"/>
        <w:rPr>
          <w:sz w:val="20"/>
          <w:szCs w:val="20"/>
          <w:color w:val="auto"/>
        </w:rPr>
      </w:pPr>
      <w:r>
        <w:rPr>
          <w:rFonts w:ascii="Times New Roman" w:cs="Times New Roman" w:eastAsia="Times New Roman" w:hAnsi="Times New Roman"/>
          <w:sz w:val="18"/>
          <w:szCs w:val="18"/>
          <w:color w:val="auto"/>
        </w:rPr>
        <w:t>During the first quarter of 2015, the Company recorded additional goodwill of $3,176.1 related to the Acquisition. The Company has preliminarily assigned the assets and liabilities acquired. The Company intends to finalize the assignment of the goodwill from the Acquisition during 2015 and could be substantially complete in the second quarter.</w:t>
      </w:r>
    </w:p>
    <w:p>
      <w:pPr>
        <w:spacing w:after="0" w:line="8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for the three month period ended March 31, 2015 and for the year ended December 31, 2014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LCD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CDD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20"/>
                <w:szCs w:val="20"/>
                <w:color w:val="auto"/>
              </w:rPr>
            </w:pPr>
          </w:p>
        </w:tc>
      </w:tr>
      <w:tr>
        <w:trPr>
          <w:trHeight w:val="34"/>
        </w:trPr>
        <w:tc>
          <w:tcPr>
            <w:tcW w:w="2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2014</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r>
      <w:tr>
        <w:trPr>
          <w:trHeight w:val="34"/>
        </w:trPr>
        <w:tc>
          <w:tcPr>
            <w:tcW w:w="2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3,022.8</w:t>
            </w:r>
          </w:p>
        </w:tc>
      </w:tr>
      <w:tr>
        <w:trPr>
          <w:trHeight w:val="225"/>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 during</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period</w:t>
            </w:r>
          </w:p>
        </w:tc>
        <w:tc>
          <w:tcPr>
            <w:tcW w:w="2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r>
      <w:tr>
        <w:trPr>
          <w:trHeight w:val="27"/>
        </w:trPr>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goodwill</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4"/>
        </w:trPr>
        <w:tc>
          <w:tcPr>
            <w:tcW w:w="206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2,995.6</w:t>
            </w:r>
          </w:p>
        </w:tc>
        <w:tc>
          <w:tcPr>
            <w:tcW w:w="120" w:type="dxa"/>
            <w:vAlign w:val="bottom"/>
            <w:tcBorders>
              <w:top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2,988.9</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3,286.6</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6,282.2</w:t>
            </w: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3,099.4</w:t>
            </w:r>
          </w:p>
        </w:tc>
      </w:tr>
      <w:tr>
        <w:trPr>
          <w:trHeight w:val="20"/>
        </w:trPr>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 2015</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3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5"/>
        </w:trPr>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26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Net</w:t>
            </w:r>
          </w:p>
        </w:tc>
      </w:tr>
      <w:tr>
        <w:trPr>
          <w:trHeight w:val="34"/>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754.8</w:t>
            </w: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r>
      <w:tr>
        <w:trPr>
          <w:trHeight w:val="27"/>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use right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Canadian licenses</w:t>
            </w:r>
          </w:p>
        </w:tc>
        <w:tc>
          <w:tcPr>
            <w:tcW w:w="1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635.4</w:t>
            </w:r>
          </w:p>
        </w:tc>
      </w:tr>
      <w:tr>
        <w:trPr>
          <w:trHeight w:val="269"/>
        </w:trPr>
        <w:tc>
          <w:tcPr>
            <w:tcW w:w="3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three month periods ended March 31, 2015 and March 31, 2014 was $31.4 and $21.0, respectively. Amortization expense for the net carrying amount of intangible assets is estimated to be $132.8 for the remainder of fiscal 2015, $171.4 in fiscal 2016, $164.2 in fiscal 2017, $152.2 in fiscal 2018, $145.2 in fiscal 2019 and $2,239.8 thereafter.</w:t>
      </w:r>
    </w:p>
    <w:p>
      <w:pPr>
        <w:spacing w:after="0" w:line="1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at March 31, 2015 and December 31, 2014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Zero-coupon convertible subordinated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5.625% senior notes due 2015</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capital leases</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debt at March 31, 2015 and December 31, 2014 consisted of the following:</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3.125% senior notes due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2.20% senior notes due 2017</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2.50% senior notes due 2018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4.625% senior notes due 2020</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2.625% senior notes due 2020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3.75% senior notes due 2022</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3.20% senior notes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4.00% senior notes due 2023</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6,597.7</w:t>
            </w:r>
          </w:p>
        </w:tc>
        <w:tc>
          <w:tcPr>
            <w:tcW w:w="120" w:type="dxa"/>
            <w:vAlign w:val="bottom"/>
          </w:tcPr>
          <w:p>
            <w:pPr>
              <w:spacing w:after="0"/>
              <w:rPr>
                <w:sz w:val="22"/>
                <w:szCs w:val="22"/>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2,682.7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9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As a result of the Acquisition, the Company assumed privately placed senior notes in an aggregate principal amount of $250.0 issued pursuant to a Note Purchase Agreement dated October 2, 2013. On March 5, 2015, the Company caused Covance to prepay all of the outstanding Senior Notes at 100 percent of the principal amount plus accrued interest, and a total make-whole amount of $37.4 which was expensed. The Note Purchase Agreement terminated effective March 5, 2015 in connection with the prepayment of the Senior Notes.</w:t>
      </w:r>
    </w:p>
    <w:p>
      <w:pPr>
        <w:spacing w:after="0" w:line="8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and added to the value of the senior notes, with an aggregate fair value of $34.0 at March 31, 2015.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Zero-Coupon Subordinated Notes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March 11, 2015, the Company announced that for the period from March 12, 2015 to September 11, 2015, the zero-coupon subordinated notes will accrue contingent cash interest at a rate of no less than 0.125% of the average market price of a zero-coupon subordinated note for the five trading days ended March 6, 2015, in addition to the continued accrual of the original issue discount.</w:t>
      </w:r>
    </w:p>
    <w:p>
      <w:pPr>
        <w:spacing w:after="0" w:line="8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April 1, 2015,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April 1, 2015, through the close of business on the last business day of the calendar quarter, which is 5:00 p.m., New York City time, on Tuesday, June 30, 2015. If notices of conversion are received, the Company plans to settle the cash portion of the conversion obligation (i.e. the accreted principal amount of the securities to be converted) with cash on hand and/or borrowings under its revolving credit facility. The remaining amount, if any, will be settled with shares of common stock.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November 2, 2014, in connection with entering into the Merger Agreement with Covance, the Company entered into a bridge facility commitment letter. Under the bridge facility commitment letter, the lenders agreed to provide a $4,250.0 senior unsecured bridge term loan credit facility which consisted of a $3,850.0 364-day unsecured debt bridge tranche and a $400.0 60-day unsecured cash bridge tranche for the purpose of financing all or a portion of the cash consideration and the fees and expenses in connection with the transactions contemplated by the Merger Agreement. The bridge facility was permitted to be drawn only in a single drawing on the closing date of the Acquisition.</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December 19, 2014, the Company entered into a five-year term loan credit facility in the principal amount of $1,000.0 for the purpose of financing a portion of the cash consideration and the fees and expenses in connection with the Acquisition. Pursuant to the bridge facility commitment letter, upon the Company’s entry into the term loan credit facility, the $4,250.0 bridge facility was reduced to a $3,250.0 commitment, comprising a $2,850.0 364-day unsecured debt bridge tranche and a $400.0 60-day cash bridge tranche. The $1,000.0 of term loan commitments made under the term loan credit facility reduced the debt bridge tranche under the bridge facility dollar for dollar.</w:t>
      </w:r>
    </w:p>
    <w:p>
      <w:pPr>
        <w:spacing w:after="0" w:line="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The term loan credit facility was advanced in full on February 19, 2015, the date of the Company’s completion of the Acquisition. The term loan credit facility will mature five years after the closing date of the Acquisition and may be prepaid without penalty. The term loan balance at March 31, 2015 was $925.0.</w:t>
      </w:r>
    </w:p>
    <w:p>
      <w:pPr>
        <w:spacing w:after="0" w:line="8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$60.0 and $0.0 outstanding on the Company's revolving credit facility at March 31, 2015 and December 31, 2014, respectively.</w:t>
      </w:r>
    </w:p>
    <w:p>
      <w:pPr>
        <w:spacing w:after="0" w:line="95"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January 30, 2015, the Company issued the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Net proceeds from the offering of the Acquisition Notes were $2,870.2 after deducting underwriting discounts and other estimated expenses of the offering. Net proceeds were used to pay a portion of the cash consideration and the fees and expenses in connection with the Acquisition. Pursuant to the bridge facility commitment letter, upon the Company’s issuance of the Acquisition Notes the remaining $2,850.0 364-day unsecured debt bridge tranche under the senior unsecured bridge term loan credit facility was terminated.</w:t>
      </w:r>
    </w:p>
    <w:p>
      <w:pPr>
        <w:spacing w:after="0" w:line="9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entered into on the terms set forth in the bridge facility commitment letter for the $400.0 60-day cash bridge tranche. The 60-day cash bridge term loan credit facility was advanced in full on February 19, 2015, the date of the Company’s completion of the Acquisition. On March 16, 2015, the Company elected to prepay the bridge facility without penalty.</w:t>
      </w:r>
    </w:p>
    <w:p>
      <w:pPr>
        <w:spacing w:after="0" w:line="8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 Prior to the Acquisition closing date, the leverage ratio was required to have been no greater than 3.75 to 1.0 calculated by excluding the $2,900.0 in Acquisition Notes. From and after the Acquisition closing date, the leverage ratio must be no greater than 4.75 to 1.0 with respect to the last day of each of the first four fiscal quarters ending on or after the closing date, 4.25 to 1.0 with respect to the last day of each of the fifth through eighth fiscal quarters ending after the closing date, and 3.75 to 1.0 with respect to the last day of each fiscal quarter ending thereafter. The Company was in compliance with all covenants in the term loan facility and the new revolving credit facility at March 31, 2015. As of March 31, 2015, the ratio of total debt to consolidated last twelve months EBITDA was 4.2 to 1.0.</w:t>
      </w:r>
    </w:p>
    <w:p>
      <w:pPr>
        <w:spacing w:after="0" w:line="91"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2015, the effective interest rate on the revolving credit facility was 1.28% and the effective interest rate on the term loan was 1.47%.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 AND COMMON SHAREHOLDERS’ EQUITY</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Company’s treasury shares are recorded at aggregate cost. The Company is authorized to issue up to 30.0 shares of preferred stock, par value $0.10 per share. There were no preferred shares outstanding as of March 31, 2015.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changes in common shares issued and held in treasury are summarized below:</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7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Held in</w:t>
            </w:r>
          </w:p>
        </w:tc>
        <w:tc>
          <w:tcPr>
            <w:tcW w:w="1340" w:type="dxa"/>
            <w:vAlign w:val="bottom"/>
          </w:tcPr>
          <w:p>
            <w:pPr>
              <w:spacing w:after="0"/>
              <w:rPr>
                <w:sz w:val="24"/>
                <w:szCs w:val="24"/>
                <w:color w:val="auto"/>
              </w:rPr>
            </w:pPr>
          </w:p>
        </w:tc>
      </w:tr>
      <w:tr>
        <w:trPr>
          <w:trHeight w:val="234"/>
        </w:trPr>
        <w:tc>
          <w:tcPr>
            <w:tcW w:w="7020" w:type="dxa"/>
            <w:vAlign w:val="bottom"/>
          </w:tcPr>
          <w:p>
            <w:pPr>
              <w:spacing w:after="0"/>
              <w:rPr>
                <w:sz w:val="20"/>
                <w:szCs w:val="20"/>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Issued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Treasury</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Outstanding</w:t>
            </w:r>
          </w:p>
        </w:tc>
      </w:tr>
      <w:tr>
        <w:trPr>
          <w:trHeight w:val="34"/>
        </w:trPr>
        <w:tc>
          <w:tcPr>
            <w:tcW w:w="70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 at December 31, 2014</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r>
      <w:tr>
        <w:trPr>
          <w:trHeight w:val="243"/>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 in conjunction with the Acquisition</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7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issued under employee stock plans</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64"/>
        </w:trPr>
        <w:tc>
          <w:tcPr>
            <w:tcW w:w="70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Common shares at March 31, 2015</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top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r>
      <w:tr>
        <w:trPr>
          <w:trHeight w:val="20"/>
        </w:trPr>
        <w:tc>
          <w:tcPr>
            <w:tcW w:w="7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As of March 31, 2015 and December 31, 2014, the Company had outstanding authorization from the Board of Directors to purchase up to $789.5 of Company common stock based on settled trades as of these respective dates. The repurchase authorization has no expiration date. Following the announcement of the Acquisition, the Company suspended its share repurchases. The Company does not anticipate resuming its share repurchase activity until it reaches its targeted ratio of total debt to consolidated EBITDA of 2.5 to 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Unrealized Gains</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Accumulated</w:t>
            </w: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Currency</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Benefit</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 Losses on</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Other</w:t>
            </w: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Plan</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Available for Sale</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Comprehensive</w:t>
            </w:r>
          </w:p>
        </w:tc>
      </w:t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Adjustments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Adjustments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Earnings</w:t>
            </w:r>
          </w:p>
        </w:tc>
      </w:tr>
      <w:tr>
        <w:trPr>
          <w:trHeight w:val="34"/>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5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earnings before reclassifications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earnings to</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the Condensed Consolidated Statement of Operations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6"/>
                <w:szCs w:val="16"/>
                <w:i w:val="1"/>
                <w:iCs w:val="1"/>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84"/>
        </w:trPr>
        <w:tc>
          <w:tcPr>
            <w:tcW w:w="5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57"/>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right="460" w:firstLine="251"/>
        <w:spacing w:after="0" w:line="298" w:lineRule="auto"/>
        <w:tabs>
          <w:tab w:leader="none" w:pos="447" w:val="left"/>
        </w:tabs>
        <w:numPr>
          <w:ilvl w:val="1"/>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The amortization of prior service cost is included in the computation of net periodic benefit cost. See Note 10 (Pension and Post-retirement Plans) below for additional information regarding the Company's net periodic benefit cost.</w:t>
      </w:r>
    </w:p>
    <w:p>
      <w:pPr>
        <w:spacing w:after="0" w:line="143" w:lineRule="exact"/>
        <w:rPr>
          <w:rFonts w:ascii="Times New Roman" w:cs="Times New Roman" w:eastAsia="Times New Roman" w:hAnsi="Times New Roman"/>
          <w:sz w:val="14"/>
          <w:szCs w:val="14"/>
          <w:i w:val="1"/>
          <w:i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w:t>
      </w:r>
    </w:p>
    <w:p>
      <w:pPr>
        <w:spacing w:after="0" w:line="8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gross unrecognized income tax benefits were $28.6 and $16.7 at March 31, 2015 and December 31, 2014, respectively. Substantially all of the increase relates to matters assumed associated with the Acquisition. It is anticipated that the amount of the unrecognized income tax benefits will change within the next twelve months; however, these changes are not expected to have a significant impact on the results of operations, cash flows or the financial position of the Company.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As of March 31, 2015 and December 31, 2014, $28.6 and $16.7, respectively, are the approximate amounts of gross unrecognized income tax benefits that, if recognized, would favorably affect the effective income tax rate in future periods. Substantially all of the increase relates to matters assumed associated with the Acquisition.</w:t>
      </w:r>
    </w:p>
    <w:p>
      <w:pPr>
        <w:spacing w:after="0" w:line="82"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income tax benefits in income tax expense. Accrued interest and penalties related to uncertain tax positions totaled $9.6 and $8.2 as of March 31, 2015 and December 31, 2014, respectively. The transfer of Covance's beginning balances accounted for substantially all of the increase.</w:t>
      </w:r>
    </w:p>
    <w:p>
      <w:pPr>
        <w:spacing w:after="0" w:line="82"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The valuation allowance provided as a reserve against certain deferred tax assets is $16.8 and $17.1 as of March 31, 2015 and December 31, 2014, respectively.</w:t>
      </w:r>
    </w:p>
    <w:p>
      <w:pPr>
        <w:spacing w:after="0" w:line="6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has substantially concluded all U.S. federal income tax matters for years through 2011. Substantially all material state and local, and foreign income tax matters have been concluded through 2007 and 2001, respectively.</w:t>
      </w:r>
    </w:p>
    <w:p>
      <w:pPr>
        <w:spacing w:after="0" w:line="6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has various state and international income tax examinations ongoing throughout the year. Management believes adequate provisions have been recorded related to all open tax years.</w:t>
      </w:r>
    </w:p>
    <w:p>
      <w:pPr>
        <w:spacing w:after="0" w:line="15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professional liability, employee-related matters, and inquiries, including subpoenas and other civil investigative demands, from governmental agencies and Medicare or Medicaid payers and managed care payers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 care providers. The Company works cooperatively to respond to appropriate requests for information.</w:t>
      </w:r>
    </w:p>
    <w:p>
      <w:pPr>
        <w:spacing w:after="0" w:line="9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Company is also named from time to time in suits brought under the qui tam provisions of the False Claims Act and comparable state laws. These suits typically allege that the Company has made false statements and/or certifications in connection with claims for payment from federal or state health care programs. The suits may remain under seal (hence, unknown to the Company) for some time while the government decides whether to intervene on behalf of the qui tam plaintiff. Such claims are an inevitable part of doing business in the health care field today.</w:t>
      </w:r>
    </w:p>
    <w:p>
      <w:pPr>
        <w:spacing w:after="0" w:line="8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clinical laboratory operations and drug development support services. The health 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9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9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the outcomes could be material to the Company's operating results for any particular period, depending, in part, upon the operating results for such period.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7"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8"/>
          <w:szCs w:val="18"/>
          <w:color w:val="auto"/>
        </w:rPr>
        <w:t xml:space="preserve">As reported, the Company reached a settlement in the previously disclosed lawsuit, </w:t>
      </w:r>
      <w:r>
        <w:rPr>
          <w:rFonts w:ascii="Times New Roman" w:cs="Times New Roman" w:eastAsia="Times New Roman" w:hAnsi="Times New Roman"/>
          <w:sz w:val="18"/>
          <w:szCs w:val="18"/>
          <w:i w:val="1"/>
          <w:iCs w:val="1"/>
          <w:color w:val="auto"/>
        </w:rPr>
        <w:t>California ex rel. Hunter Laboratories, LLC et al. v. 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Diagnostics Incorporated, et al. </w:t>
      </w:r>
      <w:r>
        <w:rPr>
          <w:rFonts w:ascii="Times New Roman" w:cs="Times New Roman" w:eastAsia="Times New Roman" w:hAnsi="Times New Roman"/>
          <w:sz w:val="18"/>
          <w:szCs w:val="18"/>
          <w:color w:val="auto"/>
        </w:rPr>
        <w:t>(“Hunter Labs Settlement Agreement”), to avoid the uncertainty and costs associated with prolonged litigation.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executed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June of 2012, the California legislature enacted Assembly Bill No. 1494, Section 9 of which directs the Department of Health Care Services ("DHCS") to establish new reimbursement rates for Medi-Cal clinical laboratory services that will be based on payments made to California clinical laboratories for similar services by other third-party payers. With stakeholder input, DHCS established data elements and a format for laboratories to report payment data from comparable third-party payers. Laboratories reported payment data to DHCS in the summer of 2013. On March 28, 2014, Assembly Bill No. 1124 extended the implementation deadline of new regulations until June 30, 2016. Assembly Bill No. 1494 provides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federal Medicare program. Under the terms of the Hunter Labs Settlement Agreement, the enactment of this California legislation terminates the Company's reporting obligations (or obligation to provide a discount in lieu of reporting) under that agreement. In December 2014, DHCS announced at a stakeholder meeting the results of its analysis of payment data reported by laboratories in 2013 and its proposed rate methodology, on which it solicited stakeholder comments. The Company objected to the proposal by DHCS to exclude from the new rate calculations data on payments from comparable third-party payers exceeding 80.0% of Medicare reimbursement amounts and its proposal to impose the 10.0% payment reduction enacted in Assembly Bill No. 97 after calculation of the new rates. In January of 2015, after receiving stakeholder comments, DHCS instructed laboratories to submit 2014 payment data by March 27, 2015, which DHCS will use (except for data on payment amounts exceeding 80.0% of Medicare reimbursement) to establish new rates effective July 1, 2015, to which DHCS intends to apply the 10.0% payment reduction referenced in Assembly Bill No. 97. While the Company continues to dispute this methodology, taken together, these changes are not expected to have a material impact on the Company's consolidated revenues or results of operations.</w:t>
      </w:r>
    </w:p>
    <w:p>
      <w:pPr>
        <w:spacing w:after="0" w:line="9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 xml:space="preserve">As previously reported, the Company responded to an October 2007 subpoena from the United States Department of Health &amp; Human Services Office of Inspector General's regional office in New York. On August 17, 2011, the Southern District of New York unsealed a False Claims Act lawsuit, </w:t>
      </w:r>
      <w:r>
        <w:rPr>
          <w:rFonts w:ascii="Times New Roman" w:cs="Times New Roman" w:eastAsia="Times New Roman" w:hAnsi="Times New Roman"/>
          <w:sz w:val="18"/>
          <w:szCs w:val="18"/>
          <w:i w:val="1"/>
          <w:iCs w:val="1"/>
          <w:color w:val="auto"/>
        </w:rPr>
        <w:t>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America ex rel. NPT Associates v. Laboratory Corporation of America Holdings</w:t>
      </w:r>
      <w:r>
        <w:rPr>
          <w:rFonts w:ascii="Times New Roman" w:cs="Times New Roman" w:eastAsia="Times New Roman" w:hAnsi="Times New Roman"/>
          <w:sz w:val="18"/>
          <w:szCs w:val="18"/>
          <w:color w:val="auto"/>
        </w:rPr>
        <w:t>, which alleges that the Company offered UnitedHealthcare kickbacks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discounts in return for Medicare business. The Plaintiff's third amended complaint further alleges that the Company's billing practices violated the false claims acts of fourteen states and the District of Columbia. The lawsuit seeks actual and treble damages and civil penalties for each alleged false claim, as well as recovery of costs, attorney's fees, and legal expenses. Neither the United States government nor any state government has intervened in the lawsuit. The Company's Motion to Dismiss was granted in October 2014. The Company intends to vigorously defend the lawsuit should it proceed further.</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8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November 4, 2013, the State of Florida through the Office of the Attorney General filed an Intervention Complaint in a False Claims Act lawsuit, </w:t>
      </w:r>
      <w:r>
        <w:rPr>
          <w:rFonts w:ascii="Times New Roman" w:cs="Times New Roman" w:eastAsia="Times New Roman" w:hAnsi="Times New Roman"/>
          <w:sz w:val="18"/>
          <w:szCs w:val="18"/>
          <w:i w:val="1"/>
          <w:iCs w:val="1"/>
          <w:color w:val="auto"/>
        </w:rPr>
        <w:t>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Florida ex rel. Hunter Laboratories, LLC and Chris Riedel v. Quest Diagnostics Incorporated, et al. </w:t>
      </w:r>
      <w:r>
        <w:rPr>
          <w:rFonts w:ascii="Times New Roman" w:cs="Times New Roman" w:eastAsia="Times New Roman" w:hAnsi="Times New Roman"/>
          <w:sz w:val="18"/>
          <w:szCs w:val="18"/>
          <w:color w:val="auto"/>
        </w:rPr>
        <w:t>in the Circuit Court for the Second Judicial Circuit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Leon County. The complaint, originally filed by a competitor laboratory, alleges that the Company overcharged Florida’s Medicaid program. The lawsuit seeks actual and treble damages and civil penalties for each alleged false claim, as well as recovery of costs, attorney’s fees, and legal expenses. On January 3, 2014, the Company filed a Petition for the Administrative Determination of the Invalidity of an Existing Rule against the Agency for Health Care Administration (“AHCA”). The Petition sought the invalidity of Rule 59G-5.110(2) of the Florida Administrative Code, which was relied upon by the Attorney General in its Intervention Complaint. On March 28, 2014, an Administrative Law Judge for the State of Florida Division of Administrative Hearings issued an order finding that Rule 59G-5.110(2) of the Florida Administrative Code was invalid. In the interim, the Attorney General filed a First Amended Intervention Complaint on January 30, 2014, which seeks actual and treble damages and civil penalties for alleged false claims, as well as recovery of costs, attorney's fees, and legal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for allegedly overcharging Florida's Medicaid program. The Company's Motion to Dismiss was denied in February 2015. The Company will vigorously defend the lawsuit.</w:t>
      </w:r>
    </w:p>
    <w:p>
      <w:pPr>
        <w:spacing w:after="0" w:line="6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On May 2, 2013, the Company was served with a False Claims Act lawsuit, </w:t>
      </w:r>
      <w:r>
        <w:rPr>
          <w:rFonts w:ascii="Times New Roman" w:cs="Times New Roman" w:eastAsia="Times New Roman" w:hAnsi="Times New Roman"/>
          <w:sz w:val="18"/>
          <w:szCs w:val="18"/>
          <w:i w:val="1"/>
          <w:iCs w:val="1"/>
          <w:color w:val="auto"/>
        </w:rPr>
        <w:t>State of Georgia ex rel. Hunter Laboratories, LLC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Chris Riedel v. 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Diagnostics Incorporated, et al.</w:t>
      </w:r>
      <w:r>
        <w:rPr>
          <w:rFonts w:ascii="Times New Roman" w:cs="Times New Roman" w:eastAsia="Times New Roman" w:hAnsi="Times New Roman"/>
          <w:sz w:val="18"/>
          <w:szCs w:val="18"/>
          <w:color w:val="auto"/>
        </w:rPr>
        <w:t>, filed in the State Court of Fulton County, Georgia. The lawsuit, filed by a competitor laboratory, alleges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overcharged Georgia's Medicaid program. The case was removed to the United States District Court for the Northern District of Georgia. The lawsuit seeks actual and treble damages and civil penalties for each alleged false claim, as well as recovery of costs, attorney's fees, and legal expenses. The government filed a notice declining to intervene in the case. On March 14, 2014, the Company's Motion to Dismiss was granted. The Plaintiffs' motion seeking leave to replead their complaint was granted and the Company's Motion to Dismiss the First Amended Complaint is pending. The Company will vigorously defend the lawsuit.</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2011, a putative stockholder of the Company made a letter demand through his counsel for inspection of documents related to policies and procedures concerning the Company's Board of Directors' oversight and monitoring of the Company's billing and claim submission process. The letter sought documents prepared for or by the Board regarding allegations from the </w:t>
      </w:r>
      <w:r>
        <w:rPr>
          <w:rFonts w:ascii="Times New Roman" w:cs="Times New Roman" w:eastAsia="Times New Roman" w:hAnsi="Times New Roman"/>
          <w:sz w:val="18"/>
          <w:szCs w:val="18"/>
          <w:i w:val="1"/>
          <w:iCs w:val="1"/>
          <w:color w:val="auto"/>
        </w:rPr>
        <w:t>California ex rel. Hunter Laboratories, LLC et al. v. Quest Diagnostics 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lawsuit and documents reviewed and relied upon by the Board in connection with the settlement of that lawsuit. The Company responded to the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Delaware law.</w:t>
      </w:r>
    </w:p>
    <w:p>
      <w:pPr>
        <w:spacing w:after="0" w:line="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November 18, 2011, the Company received a letter from United States Senators Baucus and Grassley requesting information regarding the Company's relationships with its largest managed care customers. The letter requested information about the Company's contracts and financial data regarding its managed care customers. Company representatives met with Senate Finance Committee staff after receiving the request and subsequently produced documents in response. The Company continues to cooperate with the request for information.</w:t>
      </w:r>
    </w:p>
    <w:p>
      <w:pPr>
        <w:spacing w:after="0" w:line="8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On February 27, 2012, the Company was served with a False Claims Act lawsuit, </w:t>
      </w:r>
      <w:r>
        <w:rPr>
          <w:rFonts w:ascii="Times New Roman" w:cs="Times New Roman" w:eastAsia="Times New Roman" w:hAnsi="Times New Roman"/>
          <w:sz w:val="18"/>
          <w:szCs w:val="18"/>
          <w:i w:val="1"/>
          <w:iCs w:val="1"/>
          <w:color w:val="auto"/>
        </w:rPr>
        <w:t>United States ex rel. Margaret Brown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 and Tri-State Clinical Laboratory Services, LLC</w:t>
      </w:r>
      <w:r>
        <w:rPr>
          <w:rFonts w:ascii="Times New Roman" w:cs="Times New Roman" w:eastAsia="Times New Roman" w:hAnsi="Times New Roman"/>
          <w:sz w:val="18"/>
          <w:szCs w:val="18"/>
          <w:color w:val="auto"/>
        </w:rPr>
        <w:t>, filed in the United States District Court for the Southern District of Ohio, Western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Division. The Company owned 50% of Tri-State Clinical Laboratory Services, LLC, which was dissolved in June of 2011 pursuant to a voluntary petition under Chapter 7 of Title 11 of the United States Code. The lawsuit alleges that the defendants submitted false claims for payment for laboratory testing services performed as a result of financial relationships that violated the federal Stark and Anti-Kickback laws. The lawsuit seeks actual and treble damages and civil penalties for each alleged false claim, as well as recovery of costs, attorney's fees, and legal expenses. The United States government has not intervened in the lawsuit. The parties have reached a settlement in principle, but the Company will vigorously defend the lawsuit if the settlement is not finalized.</w:t>
      </w:r>
    </w:p>
    <w:p>
      <w:pPr>
        <w:spacing w:after="0" w:line="91"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On June 7, 2012, the Company was served with a putative class action lawsuit, </w:t>
      </w:r>
      <w:r>
        <w:rPr>
          <w:rFonts w:ascii="Times New Roman" w:cs="Times New Roman" w:eastAsia="Times New Roman" w:hAnsi="Times New Roman"/>
          <w:sz w:val="18"/>
          <w:szCs w:val="18"/>
          <w:i w:val="1"/>
          <w:iCs w:val="1"/>
          <w:color w:val="auto"/>
        </w:rPr>
        <w:t>Yvonne Jansky v. Laboratory Corporation of America, et al.</w:t>
      </w:r>
      <w:r>
        <w:rPr>
          <w:rFonts w:ascii="Times New Roman" w:cs="Times New Roman" w:eastAsia="Times New Roman" w:hAnsi="Times New Roman"/>
          <w:sz w:val="18"/>
          <w:szCs w:val="18"/>
          <w:color w:val="auto"/>
        </w:rPr>
        <w:t>, filed in the Superior Court of the State of California, County of San Francisco. The complaint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The Company will vigorously defend the lawsuit.</w:t>
      </w:r>
    </w:p>
    <w:p>
      <w:pPr>
        <w:spacing w:after="0" w:line="85"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On August 24, 2012, the Company was served with a putative class action lawsuit, </w:t>
      </w:r>
      <w:r>
        <w:rPr>
          <w:rFonts w:ascii="Times New Roman" w:cs="Times New Roman" w:eastAsia="Times New Roman" w:hAnsi="Times New Roman"/>
          <w:sz w:val="18"/>
          <w:szCs w:val="18"/>
          <w:i w:val="1"/>
          <w:iCs w:val="1"/>
          <w:color w:val="auto"/>
        </w:rPr>
        <w:t>Sandusky Wellness Center, LLC, et al. v. MEDTOX Scientific,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filed in the United States District Court for the District of Minnesota. The lawsuit alleges that on or about February 21, 2012, the defendants violated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Telephone Consumer Protection Act ("TCPA") by sending unsolicited facsimiles to Plaintiff and more than 39 other recipients without the recipients' prior express permission or invitation. The lawsuit seeks the greater of actual damages or the sum of $0.0005 for each violation, subject to trebling under the TCPA, and injunctive relief. In September 2014, Plaintiff's Motion for class certification was denied. In January of 2015, the Company’s Motion for Summary Judgment on the remaining individual claim was granted. Plaintiff has filed a notice of appeal. The Company will vigorously defend the lawsuit.</w:t>
      </w:r>
    </w:p>
    <w:p>
      <w:pPr>
        <w:spacing w:after="0" w:line="8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The Company was a defendant in two separate putative class action lawsuits, </w:t>
      </w:r>
      <w:r>
        <w:rPr>
          <w:rFonts w:ascii="Times New Roman" w:cs="Times New Roman" w:eastAsia="Times New Roman" w:hAnsi="Times New Roman"/>
          <w:sz w:val="18"/>
          <w:szCs w:val="18"/>
          <w:i w:val="1"/>
          <w:iCs w:val="1"/>
          <w:color w:val="auto"/>
        </w:rPr>
        <w:t>Christine Bohlander v. Laboratory Corporation of America, et 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Jemuel Andres, et al. v. Laboratory Corporation of America Holdings, et al., </w:t>
      </w:r>
      <w:r>
        <w:rPr>
          <w:rFonts w:ascii="Times New Roman" w:cs="Times New Roman" w:eastAsia="Times New Roman" w:hAnsi="Times New Roman"/>
          <w:sz w:val="18"/>
          <w:szCs w:val="18"/>
          <w:color w:val="auto"/>
        </w:rPr>
        <w:t>related to overtime pay. After the filing of the two lawsuits on July 8, 2013,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Bohlander lawsuit was consolidated into the Andres lawsuit, and the consolidated lawsuit is now pending in the Superior Court of California for the County of Los Angeles. In the consolidated lawsuit, the Plaintiffs allege on behalf of similarly situated phlebotomists and couriers that the Company failed to pay overtime, failed to provide meal and rest breaks, and committed other violations of the California Labor Code. The complaint seeks monetary damages, civil penalties, costs, injunctive relief, and attorney's fees. The parties have reached a tentative class settlement, which is subject to Court approval. The Court held a hearing on the merits of the settlement terms on February 26, 2015 and requested further briefing on the settlement terms. Another hearing is scheduled for May 14, 2015. The Company will vigorously defend the lawsuit.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The Company is also a defendant in two additional putative class action lawsuits alleging similar claims to the </w:t>
      </w:r>
      <w:r>
        <w:rPr>
          <w:rFonts w:ascii="Times New Roman" w:cs="Times New Roman" w:eastAsia="Times New Roman" w:hAnsi="Times New Roman"/>
          <w:sz w:val="18"/>
          <w:szCs w:val="18"/>
          <w:i w:val="1"/>
          <w:iCs w:val="1"/>
          <w:color w:val="auto"/>
        </w:rPr>
        <w:t>Bohlander/Andres</w:t>
      </w:r>
      <w:r>
        <w:rPr>
          <w:rFonts w:ascii="Times New Roman" w:cs="Times New Roman" w:eastAsia="Times New Roman" w:hAnsi="Times New Roman"/>
          <w:sz w:val="18"/>
          <w:szCs w:val="18"/>
          <w:color w:val="auto"/>
        </w:rPr>
        <w:t xml:space="preserve"> consolidated lawsuit. The lawsuit </w:t>
      </w:r>
      <w:r>
        <w:rPr>
          <w:rFonts w:ascii="Times New Roman" w:cs="Times New Roman" w:eastAsia="Times New Roman" w:hAnsi="Times New Roman"/>
          <w:sz w:val="18"/>
          <w:szCs w:val="18"/>
          <w:i w:val="1"/>
          <w:iCs w:val="1"/>
          <w:color w:val="auto"/>
        </w:rPr>
        <w:t>Rachel Rabanes v. California Laboratory Sciences, LLC, et al.,</w:t>
      </w:r>
      <w:r>
        <w:rPr>
          <w:rFonts w:ascii="Times New Roman" w:cs="Times New Roman" w:eastAsia="Times New Roman" w:hAnsi="Times New Roman"/>
          <w:sz w:val="18"/>
          <w:szCs w:val="18"/>
          <w:color w:val="auto"/>
        </w:rPr>
        <w:t xml:space="preserve"> was filed in April 2014 in the Superior Court of California for the County of Los Angeles, and the lawsuit </w:t>
      </w:r>
      <w:r>
        <w:rPr>
          <w:rFonts w:ascii="Times New Roman" w:cs="Times New Roman" w:eastAsia="Times New Roman" w:hAnsi="Times New Roman"/>
          <w:sz w:val="18"/>
          <w:szCs w:val="18"/>
          <w:i w:val="1"/>
          <w:iCs w:val="1"/>
          <w:color w:val="auto"/>
        </w:rPr>
        <w:t>Rita Varsam v. Laboratory Corporation of America DBA LabCorp</w:t>
      </w:r>
      <w:r>
        <w:rPr>
          <w:rFonts w:ascii="Times New Roman" w:cs="Times New Roman" w:eastAsia="Times New Roman" w:hAnsi="Times New Roman"/>
          <w:sz w:val="18"/>
          <w:szCs w:val="18"/>
          <w:color w:val="auto"/>
        </w:rPr>
        <w:t>, was filed in June 2014 in the Superior Court of California for the County of San Diego. In these lawsuits, the Plaintiffs allege on behalf of similarly situated employees that the Company failed to pay overtime, failed to provide meal and rest breaks, and committed other violations of the California Labor Code. The complaints seek monetary damages, civil penalties, costs, injunctive relief, and attorney's fees. The Company will vigorously defend these lawsuits.</w:t>
      </w:r>
    </w:p>
    <w:p>
      <w:pPr>
        <w:spacing w:after="0" w:line="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On December 17, 2010, the Company was served with a lawsuit, </w:t>
      </w:r>
      <w:r>
        <w:rPr>
          <w:rFonts w:ascii="Times New Roman" w:cs="Times New Roman" w:eastAsia="Times New Roman" w:hAnsi="Times New Roman"/>
          <w:sz w:val="18"/>
          <w:szCs w:val="18"/>
          <w:i w:val="1"/>
          <w:iCs w:val="1"/>
          <w:color w:val="auto"/>
        </w:rPr>
        <w:t>Oliver Wuth, et al. v. Laboratory Corporation of America, et al.</w:t>
      </w:r>
      <w:r>
        <w:rPr>
          <w:rFonts w:ascii="Times New Roman" w:cs="Times New Roman" w:eastAsia="Times New Roman" w:hAnsi="Times New Roman"/>
          <w:sz w:val="18"/>
          <w:szCs w:val="18"/>
          <w:color w:val="auto"/>
        </w:rPr>
        <w:t>, filed in the State Superior Court of King County, Washington. The lawsuit alleges that the Company was negligent in the handling of a prenatal genetic test order that allegedly resulted in the parents being given incorrect information. The matter was tried to a jury beginning on October 21, 2013. On December 10, 2013, the jury returned a verdict in in Plaintiffs’ favor in the amount of $50.0, with 50.0% of liability apportioned to the Company and 50.0% of liability apportioned to co-Defendant Valley Medical Center. The Company filed post-judgment motions for a new trial, which were denied, and is vigorously pursuing an appeal of the judgment on multiple grounds. The Company carries self-insurance reserves and excess liability insurance sufficient to cover the potential liability in this case.</w:t>
      </w:r>
    </w:p>
    <w:p>
      <w:pPr>
        <w:spacing w:after="0" w:line="8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On July 3, 2012, the Company was served with a lawsuit, </w:t>
      </w:r>
      <w:r>
        <w:rPr>
          <w:rFonts w:ascii="Times New Roman" w:cs="Times New Roman" w:eastAsia="Times New Roman" w:hAnsi="Times New Roman"/>
          <w:sz w:val="18"/>
          <w:szCs w:val="18"/>
          <w:i w:val="1"/>
          <w:iCs w:val="1"/>
          <w:color w:val="auto"/>
        </w:rPr>
        <w:t>John Wisekal, as Personal Representative of the Estate of Darien Wisekal</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and Glenda C. Mixon</w:t>
      </w:r>
      <w:r>
        <w:rPr>
          <w:rFonts w:ascii="Times New Roman" w:cs="Times New Roman" w:eastAsia="Times New Roman" w:hAnsi="Times New Roman"/>
          <w:sz w:val="18"/>
          <w:szCs w:val="18"/>
          <w:color w:val="auto"/>
        </w:rPr>
        <w:t>, filed in the Circuit Court of the Fifteenth Judicial Circuit in and for Palm Beach County, Florida.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lawsuit alleges that the Company misread a Pap test. The case was removed to the United States District Court for the Southern District of Florida. The matter was tried to a jury beginning on April 1, 2014. On April 17, 2014, the jury returned a verdict in Plaintiff’s favor in the amount of $20.8, with non-economic damages reduced by 25% to account for the Plaintiff's negligence, for a final verdict of $15.8. The Company filed post-trial motions. On July 28, 2014, the Court granted the Company’s motion for remittitur and reduced the jury’s non-economic damages award to $5.0, reduced by 25.0% for the Plaintiff’s negligence. Accordingly, the total judgment is $4.4. In December 2014, the Court granted Plaintiff's Motion to Certify the remittitur order for interlocutory appeal and stayed the case pending the Eleventh Circuit Court of Appeal's review of the Plaintiff's challenge to the reduction in judgment.</w:t>
      </w:r>
    </w:p>
    <w:p>
      <w:pPr>
        <w:spacing w:after="0" w:line="91"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On July 9, 2014, the Company was served with a putative class action lawsuit, </w:t>
      </w:r>
      <w:r>
        <w:rPr>
          <w:rFonts w:ascii="Times New Roman" w:cs="Times New Roman" w:eastAsia="Times New Roman" w:hAnsi="Times New Roman"/>
          <w:sz w:val="18"/>
          <w:szCs w:val="18"/>
          <w:i w:val="1"/>
          <w:iCs w:val="1"/>
          <w:color w:val="auto"/>
        </w:rPr>
        <w:t>Christopher W. Legg, et al. v. Laboratory Corporation of America</w:t>
      </w:r>
      <w:r>
        <w:rPr>
          <w:rFonts w:ascii="Times New Roman" w:cs="Times New Roman" w:eastAsia="Times New Roman" w:hAnsi="Times New Roman"/>
          <w:sz w:val="18"/>
          <w:szCs w:val="18"/>
          <w:color w:val="auto"/>
        </w:rPr>
        <w:t>, filed in the United States District Court for the Southern District of Florida. The complaint alleges that the Company willfully violated the Fair and Accurate Credit Transactions Act by allegedly providing credit card expiration date information on an electronically printed credit card receipt. The lawsuit seeks damages of not less than $0.0001 but not more than $0.01 per violation, and punitive damages, injunctive relief, and attorney’s fees. The Company will vigorously defend the lawsuit.</w:t>
      </w:r>
    </w:p>
    <w:p>
      <w:pPr>
        <w:spacing w:after="0" w:line="87"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 xml:space="preserve">Prior to the consummation of the Company’s acquisition of LipoScience, Inc., purported stockholders of LipoScience filed four putative class action lawsuits against LipoScience, members of the LipoScience board of directors, the Company and Bear Acquisition Corp., a wholly owned subsidiary of the Company, in the Delaware Court of Chancery and, with respect to one of the lawsuits, in the Superior Court of Wake County, North Carolina. The lawsuits alleged breach of fiduciary duty and/or other violations of state law arising out of the proposed acquisition. Each suit sought, among other things, injunctive relief enjoining the merger. On October 23, 2014, the case in North Carolina was voluntarily dismissed without prejudice by the Plaintiff. On October 29, 2014, the Delaware Court of Chancery consolidated the four actions under the caption </w:t>
      </w:r>
      <w:r>
        <w:rPr>
          <w:rFonts w:ascii="Times New Roman" w:cs="Times New Roman" w:eastAsia="Times New Roman" w:hAnsi="Times New Roman"/>
          <w:sz w:val="18"/>
          <w:szCs w:val="18"/>
          <w:i w:val="1"/>
          <w:iCs w:val="1"/>
          <w:color w:val="auto"/>
        </w:rPr>
        <w:t>In re LipoScience, Inc. Stockholder Litigation, Consolidated C.A.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10252-VCP </w:t>
      </w:r>
      <w:r>
        <w:rPr>
          <w:rFonts w:ascii="Times New Roman" w:cs="Times New Roman" w:eastAsia="Times New Roman" w:hAnsi="Times New Roman"/>
          <w:sz w:val="18"/>
          <w:szCs w:val="18"/>
          <w:color w:val="auto"/>
        </w:rPr>
        <w:t>(the “Consolidated Action”). On November 7, 2014, the Consolidated Action plaintiffs entered into a memorandum of understanding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defendants regarding a settlement of the Consolidated Action. In connection with the settlement, the parties agreed that LipoScience would make certain additional disclosures to its stockholders. Subject to the completion of certain confirmatory discovery by counsel, entry by the parties into a stipulation of settlement and customary conditions, including court approval, the settlement will resolve all of the claims that were or could have been brought, including all claims relating to the merger.</w:t>
      </w:r>
    </w:p>
    <w:p>
      <w:pPr>
        <w:spacing w:after="0" w:line="98"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 xml:space="preserve">On November 19, 2014, the Company entered into a definitive merger agreement to acquire Covance for approximately $6,200.0 in cash and Company common stock. The transaction closed on February 19, 2015. Prior to the closing of the transaction, purported stockholders of Covance filed two putative class action lawsuits. One of the lawsuits, captioned </w:t>
      </w:r>
      <w:r>
        <w:rPr>
          <w:rFonts w:ascii="Times New Roman" w:cs="Times New Roman" w:eastAsia="Times New Roman" w:hAnsi="Times New Roman"/>
          <w:sz w:val="18"/>
          <w:szCs w:val="18"/>
          <w:i w:val="1"/>
          <w:iCs w:val="1"/>
          <w:color w:val="auto"/>
        </w:rPr>
        <w:t>Berk v. Covance Inc., et al., C.A. No. 10440-VCL</w:t>
      </w:r>
      <w:r>
        <w:rPr>
          <w:rFonts w:ascii="Times New Roman" w:cs="Times New Roman" w:eastAsia="Times New Roman" w:hAnsi="Times New Roman"/>
          <w:sz w:val="18"/>
          <w:szCs w:val="18"/>
          <w:color w:val="auto"/>
        </w:rPr>
        <w:t xml:space="preserve">, was filed in the Delaware Court of Chancery on December 9, 2014. The other lawsuit, captioned </w:t>
      </w:r>
      <w:r>
        <w:rPr>
          <w:rFonts w:ascii="Times New Roman" w:cs="Times New Roman" w:eastAsia="Times New Roman" w:hAnsi="Times New Roman"/>
          <w:sz w:val="18"/>
          <w:szCs w:val="18"/>
          <w:i w:val="1"/>
          <w:iCs w:val="1"/>
          <w:color w:val="auto"/>
        </w:rPr>
        <w:t>Ojeda v. Herring et al., No. MER-C-92-14</w:t>
      </w:r>
      <w:r>
        <w:rPr>
          <w:rFonts w:ascii="Times New Roman" w:cs="Times New Roman" w:eastAsia="Times New Roman" w:hAnsi="Times New Roman"/>
          <w:sz w:val="18"/>
          <w:szCs w:val="18"/>
          <w:color w:val="auto"/>
        </w:rPr>
        <w:t>, was filed in the Superior Court of New Jersey, Chancery Division, Mercer County, New Jersey, on November 12, 2014. Both suits named as defendants Covance, members of the Covance board of directors, the Company and Neon Merger Sub, Inc., a wholly owned subsidiary of the Company that was merged out of existence in connection with the Acquisition. The lawsuits alleged breach of fiduciary duty and/or other violations of state law arising out of the proposed acquisition. Each suit sought, among other things, injunctive relief enjoining the merger. On January 21, 2015, the case in New Jersey was voluntarily dismissed without prejudice by the Plaintiff. On February 9, 2015, the Plaintiffs in the Delaware case entered into a</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memorandum of understanding with the Defendants regarding a settlement. In connection with the settlement, the parties agreed that Covance would make additional disclosures to its stockholders. Subject to the entry by the parties into a stipulation of settlement and customary conditions, including court approval, the settlement will resolve all the claims that were or could have been brought, including all claims relating to the merger.</w:t>
      </w:r>
    </w:p>
    <w:p>
      <w:pPr>
        <w:spacing w:after="0" w:line="8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 December 2014, the Company received a Civil Investigative Demand issued pursuant to the federal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82"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 March 2015, the Company received a subpoena from the Attorney General of the State of New York, which requests information regarding the Company’s relationship with Direct Laboratories LLC. The Company is cooperating with the request.</w:t>
      </w:r>
    </w:p>
    <w:p>
      <w:pPr>
        <w:spacing w:after="0" w:line="6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 care programs. In December 2013, Alberta Health Services (“AHS”), the Alberta government's health care program, issued a request for proposals for laboratory services that includes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February 23-25, 2015. The decision remains pending before the Vendor Bid Appeal Panel. The Vendor Bid Appeal Panel is not required to respond by a particular date, but the Canadian partnership anticipates a decision on the bid appeal before the end of May 2015. If the appeal is unsuccessful, the Canadian partnership could then pursue a lawsuit to have the case heard in court. The Company believes that the Canadian partnership has a strong fact pattern and legal grounds to be ultimately successful in its challenge to the AHS decision, and it is the Company’s belief and best estimate, based on the facts and legal grounds presented to date, that the Canadian partnership should be successful in its challenge to the validity of the RFP process. The Canadian partnership’s existing contract with AHS remains in place through March 2016. If the AHS contract award remains with the preferred proponent, then the Canadian partnership's revenues, and accordingly the Company’s revenues, would decrease substantially and the carrying value of the Company's investment could potentially be impaired.</w:t>
      </w:r>
    </w:p>
    <w:p>
      <w:pPr>
        <w:spacing w:after="0" w:line="10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As of March 31, 2015, the Company had provided letters of credit aggregating approximately $42.5, primarily in connection with certain insurance programs. The Company's availability under its Revolving Credit Facility is reduced by the amount of these letters of credit.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POSTRETIREMENT PLANS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Company’s defined contribution retirement plan (the “401K Plan”) covers substantially all pre-Acquisition employees. All employees eligible for the 401K Plan receive a minimum 3% non-elective contribution concurrent with each payroll period. The 401K Plan also permits discretionary contributions by the Company of up to 1% and up to 3% of pay for eligible employees based on years of service with the Company. The cost of this plan was $12.9 and $13.4 for the three months ended March 31, 2015 and 2014, respectively. As a result of the Acquisition, the Company also incurred expense of $4.7 for the Covance 401K Plan during the three months ended March 31, 2015.</w:t>
      </w:r>
    </w:p>
    <w:p>
      <w:pPr>
        <w:spacing w:after="0" w:line="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also maintains a frozen defined benefit retirement plan (the “Company Plan”), that as of December 31, 2009, covered substantially all employees. The benefits to be paid under the Company Plan are based on years of credited service through December 31, 2009 and ongoing interest credits. Effective January 1, 2010, the Company Plan was closed to new participants. The Company’s policy is to fund the Company Plan with at least the minimum amount required by applicable regulations.</w:t>
      </w:r>
    </w:p>
    <w:p>
      <w:pPr>
        <w:spacing w:after="0" w:line="8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maintains a second unfunded, non-contributory, non-qualified defined benefit retirement plan (the “PEP”), that as of December 31, 2009, covered substantially all of its senior management group. The PEP supplements the Company Plan and was closed to new participants effective January 1, 2010.</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effect on operations for the Company Plan and the PEP is summarized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 for administrative expenses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10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w:t>
            </w:r>
          </w:p>
        </w:tc>
        <w:tc>
          <w:tcPr>
            <w:tcW w:w="0" w:type="dxa"/>
            <w:vAlign w:val="bottom"/>
          </w:tcPr>
          <w:p>
            <w:pPr>
              <w:spacing w:after="0"/>
              <w:rPr>
                <w:sz w:val="1"/>
                <w:szCs w:val="1"/>
                <w:color w:val="auto"/>
              </w:rPr>
            </w:pPr>
          </w:p>
        </w:tc>
      </w:tr>
      <w:tr>
        <w:trPr>
          <w:trHeight w:val="284"/>
        </w:trPr>
        <w:tc>
          <w:tcPr>
            <w:tcW w:w="8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plan costs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During the three months ended March 31, 2015, the Company contributed $2.2 to the Company Plan.</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00" w:type="dxa"/>
            <w:vAlign w:val="bottom"/>
            <w:vMerge w:val="continue"/>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firstLine="270"/>
        <w:spacing w:after="0" w:line="266" w:lineRule="auto"/>
        <w:rPr>
          <w:sz w:val="20"/>
          <w:szCs w:val="20"/>
          <w:color w:val="auto"/>
        </w:rPr>
      </w:pPr>
      <w:r>
        <w:rPr>
          <w:rFonts w:ascii="Times New Roman" w:cs="Times New Roman" w:eastAsia="Times New Roman" w:hAnsi="Times New Roman"/>
          <w:sz w:val="18"/>
          <w:szCs w:val="18"/>
          <w:color w:val="auto"/>
        </w:rPr>
        <w:t>The Company has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40" w:type="dxa"/>
            <w:vAlign w:val="bottom"/>
          </w:tcPr>
          <w:p>
            <w:pPr>
              <w:spacing w:after="0"/>
              <w:rPr>
                <w:sz w:val="20"/>
                <w:szCs w:val="20"/>
                <w:color w:val="auto"/>
              </w:rPr>
            </w:pPr>
          </w:p>
        </w:tc>
      </w:tr>
      <w:tr>
        <w:trPr>
          <w:trHeight w:val="34"/>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2015</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Pr>
          <w:p>
            <w:pPr>
              <w:spacing w:after="0"/>
              <w:rPr>
                <w:sz w:val="21"/>
                <w:szCs w:val="21"/>
                <w:color w:val="auto"/>
              </w:rPr>
            </w:pPr>
          </w:p>
        </w:tc>
      </w:tr>
      <w:tr>
        <w:trPr>
          <w:trHeight w:val="34"/>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Post-retirement medical plan benefits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the PEP, the as a result of the Acquisition, the Company also has a a frozen non-qualified Supplemental Executive Retirement Plan (“SERP”). The SERP, which is not funded, is intended to provide retirement benefits for certain executive officers of the Company. Benefit amounts are based upon years of service and compensation of the participating employees. The pension benefit obligation as of the Acquisition date was $32.8. The components of the net periodic pension cost for the three months ended March 31, 2015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9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7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9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Also as a result of the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 is shared with the retirees. The net periodic post-retirement benefit cost for the three months ended March 31, 2015 was $0.2 and the pension benefit obligation as of the Acquisition date was $6.3.</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result of the Acquisition, the Company sponsors two defined benefit pension plans for the benefit of its employees at two United Kingdom subsidiaries and one defined benefit pension plan for the benefit of its employees at a German subsidiary, all of which are legacy plans of previously acquired companies. Benefit amounts for all three plans are based upon years of service and compensation. The German plan is unfunded while the United Kingdom pension plans are funded. The Company’s funding policy has been to contribute annually a fixed percentage of the eligible employee’s salary at least equal to the local statutory funding requirements.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United Kingdom Plans</w:t>
            </w:r>
          </w:p>
        </w:tc>
        <w:tc>
          <w:tcPr>
            <w:tcW w:w="160" w:type="dxa"/>
            <w:vAlign w:val="bottom"/>
          </w:tcPr>
          <w:p>
            <w:pPr>
              <w:spacing w:after="0"/>
              <w:rPr>
                <w:sz w:val="20"/>
                <w:szCs w:val="20"/>
                <w:color w:val="auto"/>
              </w:rPr>
            </w:pPr>
          </w:p>
        </w:tc>
        <w:tc>
          <w:tcPr>
            <w:tcW w:w="2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German Plan</w:t>
            </w:r>
          </w:p>
        </w:tc>
      </w:tr>
      <w:tr>
        <w:trPr>
          <w:trHeight w:val="34"/>
        </w:trPr>
        <w:tc>
          <w:tcPr>
            <w:tcW w:w="5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r>
      <w:tr>
        <w:trPr>
          <w:trHeight w:val="225"/>
        </w:trPr>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 w:type="dxa"/>
            <w:vAlign w:val="bottom"/>
          </w:tcPr>
          <w:p>
            <w:pPr>
              <w:spacing w:after="0"/>
              <w:rPr>
                <w:sz w:val="19"/>
                <w:szCs w:val="19"/>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34"/>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 for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160" w:type="dxa"/>
            <w:vAlign w:val="bottom"/>
          </w:tcPr>
          <w:p>
            <w:pPr>
              <w:spacing w:after="0"/>
              <w:rPr>
                <w:sz w:val="21"/>
                <w:szCs w:val="21"/>
                <w:color w:val="auto"/>
              </w:rPr>
            </w:pPr>
          </w:p>
        </w:tc>
        <w:tc>
          <w:tcPr>
            <w:tcW w:w="2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plan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Assumptions used to determine defined benefit plan cost</w:t>
            </w:r>
          </w:p>
        </w:tc>
        <w:tc>
          <w:tcPr>
            <w:tcW w:w="1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Salary increases</w:t>
            </w:r>
          </w:p>
        </w:tc>
        <w:tc>
          <w:tcPr>
            <w:tcW w:w="16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65"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76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March 31, 2015 and December 31, 2014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as of</w:t>
            </w:r>
          </w:p>
        </w:tc>
        <w:tc>
          <w:tcPr>
            <w:tcW w:w="3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vMerge w:val="continue"/>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 2015</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December 31, 2014</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as of</w:t>
            </w:r>
          </w:p>
        </w:tc>
        <w:tc>
          <w:tcPr>
            <w:tcW w:w="3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vMerge w:val="continue"/>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December 31, 2014</w:t>
            </w:r>
          </w:p>
        </w:tc>
        <w:tc>
          <w:tcPr>
            <w:tcW w:w="300" w:type="dxa"/>
            <w:vAlign w:val="bottom"/>
          </w:tcPr>
          <w:p>
            <w:pPr>
              <w:spacing w:after="0"/>
              <w:rPr>
                <w:sz w:val="23"/>
                <w:szCs w:val="2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3"/>
                <w:szCs w:val="2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380" w:type="dxa"/>
            <w:vAlign w:val="bottom"/>
          </w:tcPr>
          <w:p>
            <w:pPr>
              <w:spacing w:after="0"/>
              <w:rPr>
                <w:sz w:val="23"/>
                <w:szCs w:val="23"/>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44"/>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condensed consolidated balance sheet. The noncontrolling interest put is valued at its contractually determined value, which approximates fair value.</w:t>
      </w:r>
    </w:p>
    <w:p>
      <w:pPr>
        <w:spacing w:after="0" w:line="6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 deferred compensation plan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these policies are based upon earnings and changes in the value of the underlying investments, which are typically invested in a manner similar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9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$181.1 and $155.6 as of March 31, 2015 and December 31, 2014, respectively. The fair market value of all of the senior notes, based on market pricing, was approximately $6,586.8 and $2,949.8 as of March 31, 2015 and December 31, 2014, respectively. The Company's note and debt instruments are classified as Level 2 instruments, as the fair market values of these instruments are determined using other 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 AND HEDGING ACTIVITIES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(see Interest Rate Swap section below). Although the Company’s zero-coupon subordinated notes contain features that are considered to be embedded derivative instruments (see Embedded Derivatives Related to the Zero-Coupon Subordinated Notes section below), the Company does not hold or issue derivative financial instruments for trading purposes. The Company does not believe that its exposure to market risk is material to the Company’s financial position or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w:t>
      </w:r>
    </w:p>
    <w:p>
      <w:pPr>
        <w:spacing w:after="0" w:line="22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w:t>
      </w:r>
    </w:p>
    <w:p>
      <w:pPr>
        <w:sectPr>
          <w:pgSz w:w="11900" w:h="16838" w:orient="portrait"/>
          <w:cols w:equalWidth="0" w:num="1">
            <w:col w:w="11420"/>
          </w:cols>
          <w:pgMar w:left="240" w:top="121"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2.298% to hedge against changes in the fair value of a portion of the Company's long term debt. These derivative financial instruments are accounted for as fair value hedges of the senior notes due 2020. These interest rate swaps are included in other long term assets and added to the value of the senior notes, with an aggregate fair value of $34.0 and $18.5 at March 31, 2015 and December 31, 2014, respectively.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Embedded Derivatives Related to the Zero-Coupon Subordinated Notes</w:t>
      </w:r>
    </w:p>
    <w:p>
      <w:pPr>
        <w:spacing w:after="0" w:line="225"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7" w:lineRule="exact"/>
        <w:rPr>
          <w:sz w:val="20"/>
          <w:szCs w:val="20"/>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8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6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believes these embedded derivatives had no fair value at March 31, 2015 and December 31, 2014. These embedded derivatives also had no impact on the condensed consolidated statements of operations for the three months ended March 31, 2015 and 2014,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SUPPLEMENTAL CASH FLOW INFORMATION</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34"/>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Surrender of restricted stock awards and performance awards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stock consideration for the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of zero-coupon convertible debt</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(decrease) accrued property, plant and equipment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SEGMENT INFORMATION</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months ended March 31, 2015 and 2014.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8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Prior to the first quarter of 2015, the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post Acquisition. As a result, the segment information presented in these financial statements has been conformed to present segments on this revised basis for all prior periods. Under the new organizational structure, the CODM manages the Company under two segments: LCD and CDD. LCD includes all of the legacy LabCorp business and the nutritional chemistry and food safety business, which were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are now part of LCD.</w:t>
      </w:r>
    </w:p>
    <w:p>
      <w:pPr>
        <w:spacing w:after="0" w:line="9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w:t>
      </w:r>
    </w:p>
    <w:p>
      <w:pPr>
        <w:sectPr>
          <w:pgSz w:w="11900" w:h="16838" w:orient="portrait"/>
          <w:cols w:equalWidth="0" w:num="1">
            <w:col w:w="11420"/>
          </w:cols>
          <w:pgMar w:left="240" w:top="121"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and administrative corporate expenses are included in general corporate expenses below. The accounting policies of the segments are the same as those as set forth in Note 1 to the Consolidated Financial Statements contained in the Company's Annual Report on Form 10-K for the year ended December 31, 2014 and Note 1 (Basis of Financial Statement Presentation) above to the interim condensed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information about the Company’s reporting segments for the three months ended March 31, 2015 and 2014:</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0"/>
        </w:trPr>
        <w:tc>
          <w:tcPr>
            <w:tcW w:w="8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Pr>
          <w:p>
            <w:pPr>
              <w:spacing w:after="0"/>
              <w:rPr>
                <w:sz w:val="23"/>
                <w:szCs w:val="23"/>
                <w:color w:val="auto"/>
              </w:rPr>
            </w:pPr>
          </w:p>
        </w:tc>
      </w:tr>
      <w:tr>
        <w:trPr>
          <w:trHeight w:val="34"/>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LCD - net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1,392.9</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CDD -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CDD - reimbursable out-of-pocket expenses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1,430.7</w:t>
            </w:r>
          </w:p>
        </w:tc>
      </w:tr>
      <w:tr>
        <w:trPr>
          <w:trHeight w:val="264"/>
        </w:trPr>
        <w:tc>
          <w:tcPr>
            <w:tcW w:w="83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LCD</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232.3</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203.3</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187.7</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attributable to noncontrolling interests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Laboratory Corporation of America Holdings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r>
      <w:tr>
        <w:trPr>
          <w:trHeight w:val="20"/>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and in the Company’s other public filings, press releases and discussions with Company management, including:</w:t>
      </w:r>
    </w:p>
    <w:p>
      <w:pPr>
        <w:spacing w:after="0" w:line="293" w:lineRule="exact"/>
        <w:rPr>
          <w:sz w:val="20"/>
          <w:szCs w:val="20"/>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local and third party payer regulations or policies or other future reforms in the health care system (or in the interpretation of current regulations), new insurance or payment systems, including state, regional or private insurance cooperatives (Health Insurance Exchanges), new public insurance programs or a single-payer system, affecting governmental and third-party coverage or reimbursement for clinical laboratory testing;</w:t>
      </w:r>
    </w:p>
    <w:p>
      <w:pPr>
        <w:spacing w:after="0" w:line="7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fines, penalties, assessments, refunds, repayments, and/or exclusion from the Medicare and Medicaid programs, among other adverse consequences, resulting from interpretations of, or future changes in, laws and regulations, including laws and regulations of Medicare, Medicaid, the False Claims Act, interpretations of such laws and regulations by federal or state government agencies or investigations, audits, regulatory examinations, information requests and other inquiries by state or federal government agencies;</w:t>
      </w:r>
    </w:p>
    <w:p>
      <w:pPr>
        <w:spacing w:after="0" w:line="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and/or damage to the Company’s reputation arising from the failure to comply with U.S. and international privacy and security laws and regulations, including HIPAA, HITECH, state laws and regulations, and laws and regulations of the European Union and other countries;</w:t>
      </w:r>
    </w:p>
    <w:p>
      <w:pPr>
        <w:spacing w:after="0" w:line="6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a fine or penalties under, or future changes in, or interpretations of, the law or regulations of the Clinical Laboratory Improvement Act of 1967, and the Clinical Laboratory Improvement Amendments of 1988;</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the Federal Occupational Safety and Health Administration requirements and the Needlestick Safety and Prevention Act, or similar laws and regulations of federal, state or local agencies;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utilization of laboratory tests;</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policies, including regulations and policies of the Food and Drug Administration, affecting the approval, availability of, and the selling and marketing of diagnostic tests or changes in testing guidelines or recommendations by government agencies, medical specialty societies or other authoritative bodies affecting the utilization of laboratory tests;</w:t>
      </w:r>
    </w:p>
    <w:p>
      <w:pPr>
        <w:spacing w:after="0" w:line="6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pertaining to the pharmaceutical and biotechnology industries, changes in reimbursement of pharmaceutical products or reduced spending on research and development by pharmaceutical and biotechnology customers;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inability to comply with corporate governance requirements;</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competitive bidding and/or changes or reductions to fee schedules and competition from companies that do not comply with existing laws or regulations or otherwise disregard compliance standards in the industry;</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including an increase in capitated reimbursement mechanisms or the impact of a shift to consumer-driven health plans and adverse changes in payer reimbursement or payer coverage policies related to specific testing procedures or categories of testing;</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managed care business as a result of changes in business models, including new risk based or network approaches, or other changes in strategy or business models by managed care companies;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or a reduction in tests ordered, specimens submitted or services requested by existing customers;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relationships with customers or retaining key employees as a result of uncertainty surrounding the integration of Covance and the resulting negative effects on the business of the Company;</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to effectively integrate and/or manage newly acquired businesses, including Covance, and the cost, time and effort required to integrate newly-acquired businesses, including Covance, which may be greater than anticipated;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newly-acquired businesses, including Covance, and impact on the Company's cash position, levels of indebtedness and stock price as a result of the Covance acquisition;</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meet expectations regarding accounting and tax treatments related to the Acquisition;</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delay or reduction in scope of Covance Drug Development's contracts;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Covance Drug Development's contract research services;</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harm from acts of animal rights extremists or potential liability arising from Covance Drug Development's animal research products;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experienced and qualified personnel;</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or potential use of new technologies by customers to perform their own tests;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adequate patent and other proprietary rights for protection of the Company's products and services and successfully enforce the Company's proprietary rights;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or other impact on the business due to adverse weather (including hurricanes), fires and/or other natural disasters, terrorism or other criminal acts, and/or widespread outbreak of influenza or other pandemic illness;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or increased costs due to damage to the Company's reputation and significant litigation exposure arising from failure in the Company's information technology systems, including a negative effect on the performance of services or billing processes, failure to maintain the security of business information or systems or to protect against cyber security attacks, inability to meet required financial reporting deadlines, or the failure to meet future regulatory or customer information technology, data security and connectivity requirements;</w:t>
      </w:r>
    </w:p>
    <w:p>
      <w:pPr>
        <w:spacing w:after="0" w:line="7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or general labor unrest;</w:t>
      </w:r>
    </w:p>
    <w:p>
      <w:pPr>
        <w:spacing w:after="0" w:line="53"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and/or bad debt expense levels including negative impact on the Company's reimbursement, cash collections, days sales outstanding and profitability arising from the failure of the Company, third party payers or physicians to comply with the ICD-10-CM Code Set by the compliance date of October 1, 2015;</w:t>
      </w:r>
    </w:p>
    <w:p>
      <w:pPr>
        <w:spacing w:after="0" w:line="6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 and</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Foreign Corrupt Practices Act, the U.K. Bribery Act, as well as laws and regulations that differ from those of the U.S., and economic, political, legal and other operational risks associated with foreign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 except per share data)</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March 31, 2015 increased 25.3% as compared to the prior year. The Acquisition accounted for 19.0% of the year over year net revenue growth. The remainder of the increase was due to strong organic volume growth in the clinical laboratory business and tuck-in acquisitions, partially offset by price, mix and currency.</w:t>
      </w:r>
    </w:p>
    <w:p>
      <w:pPr>
        <w:spacing w:after="0" w:line="82"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Prior to the first quarter of 2015, the chief operating decision maker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post Acquisition. As a result, the segment information presented in these financial statements has been conformed to present segments on this revised basis for all prior periods. Under the new organizational structure, the CODM manages the Company under two reportable segments: LabCorp Diagnostics ("LCD") and Covance Drug Development ("CDD"). LCD includes all of the Company's legacy LabCorp business, and the Company's nutritional chemistry and food safety business, which were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are now part of LCD.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(amounts in millions)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2015 compared with three months ended March 31,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36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LCD</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1,472.0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CDD</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r>
      <w:tr>
        <w:trPr>
          <w:trHeight w:val="257"/>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1,772.3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1,430.7</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increase in net revenue for the three months ended March 31, 2015 as compared with the corresponding period in 2014 was due to the Acquisition along with strong organic volume growth in LCD, partially offset by price, mix and currency.</w:t>
      </w:r>
    </w:p>
    <w:p>
      <w:pPr>
        <w:spacing w:after="0" w:line="6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LCD revenue for the first quarter was $1,472.0, an increase of 5.7% over revenue of $1,392.9 in the first quarter of 2014. The increase in revenue was the result of volume, measured by requisitions, and tuck-in acquisitions, partially offset by price, mix and currency. The increase in net revenue was driven by growth in volume, measured by requisition, of 6.2% (organic volume growth of 5.0%). The increase in net revenue was unfavorably impacted by (0.7%) of currency and a decline in revenue per requisition of (0.5%). In addition, acquisitions added 1.8% to net revenue.</w:t>
      </w:r>
    </w:p>
    <w:p>
      <w:pPr>
        <w:spacing w:after="0" w:line="8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CDD net revenue for the first quarter was $300.3, an increase of 694.4% over revenue of $37.8 in the first quarter of 2014. The increase in revenue is due to the inclusion of Covance revenue from close of the acquisition on February 19, 2015 through March 31, 2015.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Reimbursable Out-of-Pocket Expenses</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since CDD acts as an agent on behalf of the pharmaceutical company sponsors with regard to investigator payments.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Cost of Revenues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cost of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revenues as a % of net revenue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1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Net cost of revenues (primarily laboratory and distribution costs) increased 28.7% during the three months ended March 31, 2015 as compared with the corresponding period in 2014 period primarily due to the Acquisition. Also, during the first quarter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of 2015, the Company recorded $32.8 of compensation expense in cost of sales for the acceleration of Covance equity award payouts triggered by the February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acquisition, contributing 185 basis points to the increase in cost of revenues, as a percentage of net revenue.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30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 as a % of net revenue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1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revenues increased to 23.4% during the three months ended March 31, 2015 as compared to 19.9% during the corresponding period in 2014. The increase in selling, general and administrative expenses as a percentage of net revenues is primarily due to $80.6 of transaction costs for the Acquisition as well as consulting fees and expenses related to the Company's business process improvement initiative ("Project LaunchPad") of $6.0, which added 488 basis points to selling, general and administrative expenses as a percentage of net revenues. Bad debt expense for LCD was 4.4% of net revenues for that segment during the three months ended March 31, 2015 as compared to 4.55% during the corresponding period in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30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Pr>
          <w:p>
            <w:pPr>
              <w:spacing w:after="0"/>
              <w:rPr>
                <w:sz w:val="2"/>
                <w:szCs w:val="2"/>
                <w:color w:val="auto"/>
              </w:rPr>
            </w:pPr>
          </w:p>
        </w:tc>
      </w:tr>
      <w:tr>
        <w:trPr>
          <w:trHeight w:val="284"/>
        </w:trPr>
        <w:tc>
          <w:tcPr>
            <w:tcW w:w="350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2014</w:t>
            </w: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4"/>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7"/>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3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the impact of the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Special Charges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special charges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7"/>
        </w:trPr>
        <w:tc>
          <w:tcPr>
            <w:tcW w:w="32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2015, the Company recorded net restructuring and other special charges of $19.3, substantively all within LCD. The charges were comprised of $3.2 related to severance and other personnel costs along with $16.1 in costs associated with facility closures and impairment of information technology assets.</w:t>
      </w:r>
    </w:p>
    <w:p>
      <w:pPr>
        <w:spacing w:after="0" w:line="8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addition, during the first three months of 2015, the Company recorded $6.0 in consulting expenses (recorded in selling, general and administrative expenses) relating to fees incurred as part of its Project LaunchPad business process improvement initiative. The Company also recorded $166.0 of deal costs related to the Acquisition, of which $80.6 is included in selling, general and administrative expenses, $32.8 is included in cost of goods sold, and $52.6 is included in interest expense.</w:t>
      </w:r>
    </w:p>
    <w:p>
      <w:pPr>
        <w:spacing w:after="0" w:line="8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2014, the Company recorded net restructuring and other special charges of $7.6, all within LCD. The charges were comprised of $2.8 related to severance and other personnel costs along with $4.9 in costs associated with facility closures and general integration initiatives. These charges were offset by the reversal of previously established reserves of $0.1 in unused severance.</w:t>
      </w:r>
    </w:p>
    <w:p>
      <w:pPr>
        <w:spacing w:after="0" w:line="8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2014, the Company announced Project LaunchPad, which aims to re-engineer the Company's systems and processes, leverages technological advancements and creates a sustainable, more efficient business model. The Company expects this initiative to drive savings in excess of $150.0 over the next three years, with associated one-time costs of approximately $30.0. The Company believes that any restructuring costs which may be incurred in future periods will be more than offset by subsequent savings realized from these potential actions and that any related restructuring charges will not have a material impact on the Company's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24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INDEX</w:t>
              </w:r>
            </w:hyperlink>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655"/>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7"/>
        </w:trPr>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2015 as compared with corresponding period in 2014 is primarily due to the issuance of $3,900.0 in debt and other financing costs in connection with the Acquisition. Another component of the increase is a $37.4 make-whole payment that was required in connection with the prepayment of the $250.0 Covance senior notes. In addition, the Company recorded $15.2 in interest expense relating to the deferred financing costs associated with the Company's previous credit agreement and the bridge financing facilities used to complete the Acquisition. The bridge facility was repaid in March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178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0" w:type="dxa"/>
            <w:vAlign w:val="bottom"/>
          </w:tcPr>
          <w:p>
            <w:pPr>
              <w:spacing w:after="0"/>
              <w:rPr>
                <w:sz w:val="24"/>
                <w:szCs w:val="24"/>
                <w:color w:val="auto"/>
              </w:rPr>
            </w:pPr>
          </w:p>
        </w:tc>
      </w:tr>
      <w:tr>
        <w:trPr>
          <w:trHeight w:val="34"/>
        </w:trPr>
        <w:tc>
          <w:tcPr>
            <w:tcW w:w="17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78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178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17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is due to the decline in the profitability of one of the joint venture partnerships for the three months ended March 31, 2015 as compared to the three months ended March 31, 2014 due to a challenging business climate in its geographic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jc w:val="center"/>
              <w:ind w:right="5420"/>
              <w:spacing w:after="0"/>
              <w:rPr>
                <w:sz w:val="20"/>
                <w:szCs w:val="20"/>
                <w:color w:val="auto"/>
              </w:rPr>
            </w:pPr>
            <w:r>
              <w:rPr>
                <w:rFonts w:ascii="Times New Roman" w:cs="Times New Roman" w:eastAsia="Times New Roman" w:hAnsi="Times New Roman"/>
                <w:sz w:val="18"/>
                <w:szCs w:val="18"/>
                <w:b w:val="1"/>
                <w:bCs w:val="1"/>
                <w:color w:val="auto"/>
                <w:w w:val="98"/>
              </w:rPr>
              <w:t>Other, net</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jc w:val="center"/>
              <w:ind w:right="5420"/>
              <w:spacing w:after="0"/>
              <w:rPr>
                <w:sz w:val="20"/>
                <w:szCs w:val="20"/>
                <w:color w:val="auto"/>
              </w:rPr>
            </w:pPr>
            <w:r>
              <w:rPr>
                <w:rFonts w:ascii="Times New Roman" w:cs="Times New Roman" w:eastAsia="Times New Roman" w:hAnsi="Times New Roman"/>
                <w:sz w:val="18"/>
                <w:szCs w:val="18"/>
                <w:color w:val="auto"/>
                <w:w w:val="97"/>
              </w:rPr>
              <w:t>Other,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7"/>
        </w:trPr>
        <w:tc>
          <w:tcPr>
            <w:tcW w:w="7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decrease in other, net for the three ended March 31, 2015, is due to a gain on the sale of an investment the Company made in the area of diagnostic technology during the first quarter of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43"/>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 as a % of earnings before tax</w:t>
            </w:r>
          </w:p>
        </w:tc>
        <w:tc>
          <w:tcPr>
            <w:tcW w:w="1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tax rate for the quarter was negatively impacted by non-deductible deal costs of approximately $19.6 associated with the Acquisition and one-time tax charges of $12.8 to realign the Company's legal entity structure to facilitate the Acquisition. The rate was favorably impacted by foreign earnings taxed at lower rates than the U.S. statutory tax rate. The Company considers substantially all of the foreign earnings to be permanently reinvested overseas.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Unaudited Condensed Consolidated Financial Statements.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summary the Company's cash flows were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08"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34"/>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6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r>
      <w:tr>
        <w:trPr>
          <w:trHeight w:val="34"/>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at March 31, 2015 and 2014 totaled $446.4 and $338.9, respectively. Cash and cash equivalents consist of highly liquid instruments, such as commercial paper, time deposits, and other money market investments, which have original maturities of three months or less.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2015 and 2014, the Company's operations used $86.9 of cash as compared to being a source of $142.3 in 2014. The $229.2 decrease in cash provided from operations in 2015 as compared with the corresponding 2014 period is primarily due to lower net earnings in conjunction with the closing of the Acquisition. The Company’s earnings were impacted by restructuring and special items of $191.3 in the first quarter of 2015, $153.5 of which represents cash payments in connection with the Acquisition, compared to $7.6 during the same period in 2014. Excluding the cash payments made in conjunction with the Acquisition, CDD used over $100.0 in operating cash due to seasonal use of working capital.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2015 was $3,651.3 as compared to $108.1 for the three months ended March 31, 2014. The $3,543.2 increase in cash used in investing activities was primarily due to cash paid for the Acquisition. Capital expenditures were $33.8 and $56.5 for the three months ended March 31, 2015 and 2014, respectively. The Company expects capital expenditures of approximately $325.0 to $350.0 in 2015.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pacing w:after="0" w:line="9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2014, the Company received cash proceeds of $15.0 and recorded a net gain of $11.0 on the sale of an investment. The investment was one of several strategic investments the Company has made in the area of diagnostics.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2015 was $3,629.7 compared to $98.0 net cash used in financing activities for the three months ended March 31, 2014. The $3,727.7 increase in the cash provided by financing activities for three months ended March 31, 2015, as compared to the prior year, was primarily a result of $4,360.0 of financing proceeds for the Acquisition offset by repayments and debt issue costs of $762.1. The remainder of the period over period increase is primarily due to the suspension of share repurchases following the announcement of the Acquisition in the fourth quarter of 2014, compared to $107.7 of share repurchases in the first quarter of 2014.</w:t>
      </w:r>
    </w:p>
    <w:p>
      <w:pPr>
        <w:spacing w:after="0" w:line="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November 2, 2014, in connection with entering into the Merger Agreement with Covance, the Company entered into a bridge facility commitment letter. Under the bridge facility commitment letter, the lenders agreed to provide a $4,250.0 senior unsecured bridge term loan credit facility consisting of a $3,850.0 364-day unsecured debt bridge tranche and a $400.0 60-day unsecured cash bridge tranche for the purpose of financing all or a portion of the cash consideration and the fees and expenses in connection with the transactions contemplated by the Merger Agreement. The bridge facility was permitted to be drawn only in a single drawing on the closing date of the Acquisition.</w:t>
      </w:r>
    </w:p>
    <w:p>
      <w:pPr>
        <w:spacing w:after="0" w:line="19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Merger Agreement. Pursuant to the bridge facility commitment letter, upon the Company’s entry into the term loan credit facility, the $4,250.0 bridge facility was reduced to a $3,250.0 commitment, comprised of a $2,850.0 364-day unsecured debt bridge tranche and a $400.0 60-day cash bridge tranche. The $1,000.0 of term loan commitments made under the term loan credit facility reduced the debt bridge tranche under the bridge facility dollar for dollar.</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term loan credit facility was advanced in full on February 19, 2015, the date of the Company’s completion of the Acquisition.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credit facility will mature five years after the closing date of the Acquisition and may be prepaid without penalty. The term loan balance at March 31, 2015 was $925.0.</w:t>
      </w:r>
    </w:p>
    <w:p>
      <w:pPr>
        <w:spacing w:after="0" w:line="5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w:t>
      </w:r>
    </w:p>
    <w:p>
      <w:pPr>
        <w:spacing w:after="0" w:line="107" w:lineRule="exact"/>
        <w:rPr>
          <w:sz w:val="20"/>
          <w:szCs w:val="20"/>
          <w:color w:val="auto"/>
        </w:rPr>
      </w:pPr>
    </w:p>
    <w:p>
      <w:pPr>
        <w:jc w:val="both"/>
        <w:ind w:firstLine="162"/>
        <w:spacing w:after="0" w:line="274" w:lineRule="auto"/>
        <w:rPr>
          <w:sz w:val="20"/>
          <w:szCs w:val="20"/>
          <w:color w:val="auto"/>
        </w:rPr>
      </w:pPr>
      <w:r>
        <w:rPr>
          <w:rFonts w:ascii="Times New Roman" w:cs="Times New Roman" w:eastAsia="Times New Roman" w:hAnsi="Times New Roman"/>
          <w:sz w:val="18"/>
          <w:szCs w:val="18"/>
          <w:color w:val="auto"/>
        </w:rPr>
        <w:t>On January 30, 2015, the Company issued the Acquisition Notes, which represent $2,900.0 in debt securities. Net proceeds from the offering of the Acquisition Notes were $2,870.2 after deducting underwriting discounts and other estimated expenses of the offering. Net proceeds were used to pay a portion of the cash consideration and the fees and expenses in connection with the Acquisition. Pursuant to the bridge facility commitment letter, upon the Company’s issuance of the Acquisition Notes, the remaining $2,850.0 364-day unsecured debt bridge tranche under the senior unsecured bridge term loan credit facility was terminated.</w:t>
      </w:r>
    </w:p>
    <w:p>
      <w:pPr>
        <w:spacing w:after="0" w:line="7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entered on the terms set forth in the bridge facility commitment letter for the $400.0 60-day cash bridge tranche. The 60-day cash bridge term loan credit facility was advanced in full on February 19, 2015, the date of the Company’s completion of the Acquisition. The 60-day cash bridge term loan credit facility was repaid in March 2015.</w:t>
      </w:r>
    </w:p>
    <w:p>
      <w:pPr>
        <w:spacing w:after="0" w:line="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 loan credit facility and the new revolving credit facility, the Company is subject to negative covenants limiting subsidiary indebtedness and certain other covenants typical for investment grade-rated borrowers and the Company is required to maintain a leverage ratio that varies. Prior to the acquisition closing date, the leverage ratio was required to have been no greater than 3.75 to 1.00, calculated by excluding the $2,900.0 Acquisition Notes. From and after the acquisition closing date, the leverage ratio must be no greater than 4.75 to 1.00 with respect to the last day of each of the first four fiscal quarters ending on or after the closing date, 4.25 to 1.00 with respect to the last day of each of the fifth through eighth fiscal quarters ending after the closing date, and 3.75 to 1.00 with respect to the last day of each fiscal quarter ending thereafter. The Company was in compliance with all covenants in the Credit Agreement at March 31, 2015. As of March 31, 2015, the ratio of total debt to consolidated EBITDA was 4.2 to 1.0.</w:t>
      </w:r>
    </w:p>
    <w:p>
      <w:pPr>
        <w:spacing w:after="0" w:line="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was $60.0 and $0.0 outstanding on the Company's Revolving Credit Facility at March 31, 2015 and December 31, 2014, respectively.</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2015, the effective interest rate on the Revolving Credit Facility was 1.28% and the effective interest rate on the term loan was 1.47%.</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March 31, 2015, the Company provided letters of credit aggregating $42.5, primarily in connection with certain insurance programs. Letters of credit provided by the Company are issued under the Company's Revolving Credit Facility and are renewed annually, around mid-year.</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As of March 31, 2015,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reaches its targeted leverage ratio of total debt to consolidated EBITDA of 2.5 to 1.0.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had a $38.2 and $24.9 reserve for unrecognized income tax benefits, including interest and penalties as of March 31, 2015 and December 31, 2014, respectively. The acquisition of Covance accounted for substantially all of the increase. Substantially all of these tax reserves are classified in other long-term liabilities in the Company's Condensed Consolidated Balance Sheets at March 31, 2015 and December 31, 2014.</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Zero-coupon Subordinated Notes</w:t>
      </w:r>
    </w:p>
    <w:p>
      <w:pPr>
        <w:spacing w:after="0" w:line="12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On March 11, 2015, the Company announced that for the period from March 12, 2015 to September 11, 2015, the zero-coupon subordinated notes will accrue contingent cash interest at a rate of no less than 0.125% of the average market price of a zero-coupon subordinated note for the five trading days ended March 6, 2015, in addition to the continued accrual of the original issue discount.</w:t>
      </w:r>
    </w:p>
    <w:p>
      <w:pPr>
        <w:spacing w:after="0" w:line="82"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On April 1, 2015,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October 1, 2014, through the close of business on the last business day of the calendar quarter, which is 5:00 p.m., New York City time, on Tuesday, June 30, 2015. If notices of conversion are received, the Company plans to settle the cash portion of the conversion obligation (i.e., the accreted principal amount of the securities to be converted) with cash on hand and/or borrowings under the Revolving Credit Facility. The remaining amount, if any, will be settled with shares of common stock.</w:t>
      </w:r>
    </w:p>
    <w:p>
      <w:pPr>
        <w:spacing w:after="0" w:line="91" w:lineRule="exact"/>
        <w:rPr>
          <w:sz w:val="20"/>
          <w:szCs w:val="20"/>
          <w:color w:val="auto"/>
        </w:rPr>
      </w:pPr>
    </w:p>
    <w:p>
      <w:pPr>
        <w:ind w:right="20" w:firstLine="243"/>
        <w:spacing w:after="0" w:line="261" w:lineRule="auto"/>
        <w:rPr>
          <w:sz w:val="20"/>
          <w:szCs w:val="20"/>
          <w:color w:val="auto"/>
        </w:rPr>
      </w:pPr>
      <w:r>
        <w:rPr>
          <w:rFonts w:ascii="Times New Roman" w:cs="Times New Roman" w:eastAsia="Times New Roman" w:hAnsi="Times New Roman"/>
          <w:sz w:val="18"/>
          <w:szCs w:val="18"/>
          <w:color w:val="auto"/>
        </w:rPr>
        <w:t>As a result of the Acquisition, the Company assumed privately placed of senior notes in an aggregate principal amount of $250.0 issued pursuant to a Note Purchase Agreement dated October 2, 2013. On March 5, 2015, the Company caused Covance to prepay all of the outstanding Senior Notes at 100 percent of the principal amount plus accrued interest, and a total make-whole amount of $37.4 which is included in interest expense. The Note Purchase Agreement terminated effective March 5, 2015 in connection with the prepayment of the Senior Notes.</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Company’s debt ratings of Baa2 from Moody’s and BBB from Standard and Poor’s contribute to its ability to access capital markets.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April 2014, the FASB issued a new accounting standard on discontinued operations that significantly changes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guidance is to be applied prospectively to all new disposals of components and new classifications as held for sale beginning in 2015, with early adoption allowed in 2014. The adoption of this standard is not expected to have a material impact on the consolidated financial statements.</w:t>
      </w:r>
    </w:p>
    <w:p>
      <w:pPr>
        <w:spacing w:after="0" w:line="9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However, in April, 2015, the FASB voted to propose a one-year deferral of the effective date of the standard. If the proposal is adopted, the standard will be effective for the Company beginning January 1, 2018, with early adoption permitted for annual periods beginning after December 16, 2016. The Company is currently evaluating the expected impact of the standard.</w:t>
      </w:r>
    </w:p>
    <w:p>
      <w:pPr>
        <w:spacing w:after="0" w:line="9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April 2015, the FASB issued an update which requires debt issuance costs to be presented in the balance sheet as a direct deduction from the associated debt liability. This standard is effective for the Company beginning January 1, 2016. The new guidance will be applied on a retrospective basis. The adoption of this standard is not expected to have a material impact on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Although, as set forth below, the Company's zero-coupon subordinated notes contain features that are considered to be embedded derivative instruments, the Company does not hold or issue derivative financial instruments for trading purposes. The Company does not believe that its exposure to market risk is material to the Company's financial position or results of operations.</w:t>
      </w:r>
    </w:p>
    <w:p>
      <w:pPr>
        <w:spacing w:after="0" w:line="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w:t>
      </w:r>
    </w:p>
    <w:p>
      <w:pPr>
        <w:spacing w:after="0" w:line="8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54" w:lineRule="exact"/>
        <w:rPr>
          <w:sz w:val="20"/>
          <w:szCs w:val="20"/>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6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6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Borrowings under the Company's Revolving Credit Facility are subject to variable interest rates, unless fixed through interest rate swaps or other agreements.</w:t>
      </w:r>
    </w:p>
    <w:p>
      <w:pPr>
        <w:spacing w:after="0" w:line="67"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has operations throughout the United States and other countries including Belgium, Canada, China, France, Germany, Hong Kong, Japan, Singapore, Switzerland, the United Kingdom and the United Arab Emirates, and, accordingly, the earnings and cash flows generated from these operations are subject to foreign currency exchange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 carried out, under the supervision and with the participation of the Company’s management, including the Company’s Chief Executive Officer and Chief Financial Officer, an evaluation of the effectiveness of the design and operation of the Company’s disclosure controls and procedures (as defined in Rules13-a-15(e) and 15d-15(e) of the Securities Exchange Act of 1934). Based on the foregoing, the Company’s Chief Executive Officer and Chief Financial Officer concluded that the Company’s disclosure controls and procedures were effective as of March 31, 2015.</w:t>
      </w:r>
    </w:p>
    <w:p>
      <w:pPr>
        <w:spacing w:after="0" w:line="8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quarter ended March 31, 2015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243"/>
        <w:spacing w:after="0" w:line="282" w:lineRule="auto"/>
        <w:rPr>
          <w:sz w:val="20"/>
          <w:szCs w:val="20"/>
          <w:color w:val="auto"/>
        </w:rPr>
      </w:pPr>
      <w:r>
        <w:rPr>
          <w:rFonts w:ascii="Times New Roman" w:cs="Times New Roman" w:eastAsia="Times New Roman" w:hAnsi="Times New Roman"/>
          <w:sz w:val="18"/>
          <w:szCs w:val="18"/>
          <w:color w:val="auto"/>
        </w:rPr>
        <w:t>See Note 9 (Commitments and Contingencies) to the Company’s unaudited condensed consolidated financial statements, above, which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 set forth below revises and supplements the corresponding risk factor set forth in Part I - Item 1A of the Company’s Annual Report on Form 10-K for the year ended December 31, 2014. With the exception of the following, there have been no material changes in the risk factors that appear in Part 1 - Item 1A of the Company’s Annual Report on Form 10-K for the year ended December 31, 2014.</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federal HIPAA privacy and security regulations, including the expanded requirements under HITECH, establish comprehensive federal standards with respect to the use and disclosure of protected health information by health plans, health care providers, and health care clearinghouses, in addition to setting standards to protect the confidentiality, integrity and security of protected health information. The regulations establish a complex regulatory framework on a variety of subjects, including:</w:t>
      </w:r>
    </w:p>
    <w:p>
      <w:pPr>
        <w:spacing w:after="0" w:line="140" w:lineRule="exact"/>
        <w:rPr>
          <w:sz w:val="20"/>
          <w:szCs w:val="20"/>
          <w:color w:val="auto"/>
        </w:rPr>
      </w:pPr>
    </w:p>
    <w:p>
      <w:pPr>
        <w:jc w:val="both"/>
        <w:ind w:left="660" w:hanging="328"/>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the use and disclosure of protected health information are permitted or required without a specific authorization by the patient, including but not limited to treatment purposes, activities to obtain payments for the Company’s services, and its health care operations activities;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 to access, amend and receive an accounting of certain disclosures of protected health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notices of privacy practices for protected health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protected health information;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computing systems maintaining PHI.</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implemented policies and procedures related to compliance with the HIPAA privacy and security regulations, as required by law. The privacy and security regulations establish a “floor” and do not supersede state laws that are more stringent. Therefore, the Company is required to comply with both federal privacy and security regulations and varying state privacy and security laws and regulations. The federal privacy regulations restrict the Company’s ability to use or disclose patient identifiable laboratory data, without patient authorization, for purposes other than payment, treatment or health care operations (as defined by HIPAA), except for disclosures for various public policy purposes and other permitted purposes outlined in the privacy regulations. HIPAA, as amended by HITECH, provides for significant fines and other penalties for wrongful use or disclosure of protected health information in violation of privacy and security regulations, including potential civil and criminal fines and penalties. In addition, other federal and state laws that protect the privacy and security of patient information may be subject to enforcement and interpretations by various governmental authorities and courts resulting in complex compliance issues. For instance, the Company could incur damages under state laws pursuant to an action brought by a private party for the wrongful use or disclosure or confidential health information or other private personal information.</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laws and regulations of the European Union, as well as other countries, protect the use and disclosure of personal information. Compliance with these laws and regulations may result in increased costs and failure to comply may result in significant fines, penalties and damage to the Company’s reputation with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(Dollars in millions)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Board of Directors has authorized the repurchase of specified amounts of the Company's common stock since 2007. As of March 31, 2015, the Company had outstanding authorization from the Board of Directors to purchase up to $789.5 of Company common stock based on settled trades as of that date. The repurchase authorization has no expiration date. Following the announcement of the Acquisition, the Company suspended its share repurchases. The Company does not anticipate resuming its share repurchase activity until it reaches its targeted ratio of total debt to consolidated EBITDA of 2.5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INDEX</w:t>
              </w:r>
            </w:hyperlink>
          </w:p>
        </w:tc>
        <w:tc>
          <w:tcPr>
            <w:tcW w:w="994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91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940" w:type="dxa"/>
            <w:vAlign w:val="bottom"/>
          </w:tcPr>
          <w:p>
            <w:pPr>
              <w:spacing w:after="0"/>
              <w:rPr>
                <w:sz w:val="24"/>
                <w:szCs w:val="24"/>
                <w:color w:val="auto"/>
              </w:rPr>
            </w:pPr>
          </w:p>
        </w:tc>
      </w:tr>
      <w:tr>
        <w:trPr>
          <w:trHeight w:val="594"/>
        </w:trPr>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r>
      <w:tr>
        <w:trPr>
          <w:trHeight w:val="594"/>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88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 of earnings to fixed charges</w:t>
            </w:r>
          </w:p>
        </w:tc>
      </w:tr>
      <w:tr>
        <w:trPr>
          <w:trHeight w:val="270"/>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880" w:type="dxa"/>
            <w:vAlign w:val="bottom"/>
          </w:tcPr>
          <w:p>
            <w:pPr>
              <w:spacing w:after="0"/>
              <w:rPr>
                <w:sz w:val="23"/>
                <w:szCs w:val="23"/>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Rule 13a-14(a) or Rule 15d-14(a)</w:t>
            </w:r>
          </w:p>
        </w:tc>
      </w:tr>
      <w:tr>
        <w:trPr>
          <w:trHeight w:val="270"/>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880" w:type="dxa"/>
            <w:vAlign w:val="bottom"/>
          </w:tcPr>
          <w:p>
            <w:pPr>
              <w:spacing w:after="0"/>
              <w:rPr>
                <w:sz w:val="23"/>
                <w:szCs w:val="23"/>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by the Chief Financial Officer pursuant to Rule 13a-14(a) or Rule 15d-14(a)</w:t>
            </w:r>
          </w:p>
        </w:tc>
      </w:tr>
      <w:tr>
        <w:trPr>
          <w:trHeight w:val="252"/>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tcPr>
          <w:p>
            <w:pPr>
              <w:spacing w:after="0"/>
              <w:rPr>
                <w:sz w:val="21"/>
                <w:szCs w:val="21"/>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 pursuant to Section 906 of the Sarbanes-Oxley Act of 2002</w:t>
            </w:r>
          </w:p>
        </w:tc>
      </w:tr>
      <w:tr>
        <w:trPr>
          <w:trHeight w:val="234"/>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(18 U.S.C. Section 1350)</w:t>
            </w:r>
          </w:p>
        </w:tc>
      </w:tr>
      <w:tr>
        <w:trPr>
          <w:trHeight w:val="252"/>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tcPr>
          <w:p>
            <w:pPr>
              <w:spacing w:after="0"/>
              <w:rPr>
                <w:sz w:val="21"/>
                <w:szCs w:val="21"/>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Seventh Supplemental Indenture, dated as of January 30, 2015, between the Company and U.S. Bank National Association, as trustee,</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the form of the 2020 Notes (incorporated herein by reference to Exhibit 4.2 to the Company's Current Report on Form 8-K</w:t>
            </w:r>
          </w:p>
        </w:tc>
      </w:tr>
      <w:tr>
        <w:trPr>
          <w:trHeight w:val="234"/>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on January 30, 2015).</w:t>
            </w:r>
          </w:p>
        </w:tc>
      </w:tr>
      <w:tr>
        <w:trPr>
          <w:trHeight w:val="252"/>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Pr>
          <w:p>
            <w:pPr>
              <w:spacing w:after="0"/>
              <w:rPr>
                <w:sz w:val="21"/>
                <w:szCs w:val="21"/>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Eighth Supplemental Indenture, dated as of January 30, 2015, between the Company and U.S. Bank National Association, as trustee,</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the form of the 2022 Notes (incorporated herein by reference to Exhibit 4.2 to the Company's Current Report on Form 8-K</w:t>
            </w:r>
          </w:p>
        </w:tc>
      </w:tr>
      <w:tr>
        <w:trPr>
          <w:trHeight w:val="234"/>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on January 30, 2015).</w:t>
            </w:r>
          </w:p>
        </w:tc>
      </w:tr>
      <w:tr>
        <w:trPr>
          <w:trHeight w:val="252"/>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tcPr>
          <w:p>
            <w:pPr>
              <w:spacing w:after="0"/>
              <w:rPr>
                <w:sz w:val="21"/>
                <w:szCs w:val="21"/>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Ninth Supplemental Indenture, dated as of January 30, 2015, between the Company and U.S. Bank National Association, as trustee,</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the form of the 2025 Notes (incorporated herein by reference to Exhibit 4.2 to the Company's Current Report on Form 8-K</w:t>
            </w:r>
          </w:p>
        </w:tc>
      </w:tr>
      <w:tr>
        <w:trPr>
          <w:trHeight w:val="234"/>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on January 30, 2015).</w:t>
            </w:r>
          </w:p>
        </w:tc>
      </w:tr>
      <w:tr>
        <w:trPr>
          <w:trHeight w:val="252"/>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1"/>
                <w:szCs w:val="21"/>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Tenth Supplemental Indenture, dated as of January 30, 2015, between the Company and U.S. Bank National Association, as trustee,</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the form of the 2045 Notes (incorporated herein by reference to Exhibit 4.2 to the Company's Current Report on Form 8-K</w:t>
            </w:r>
          </w:p>
        </w:tc>
      </w:tr>
      <w:tr>
        <w:trPr>
          <w:trHeight w:val="234"/>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on January 30, 2015).</w:t>
            </w:r>
          </w:p>
        </w:tc>
      </w:tr>
      <w:tr>
        <w:trPr>
          <w:trHeight w:val="252"/>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tcPr>
          <w:p>
            <w:pPr>
              <w:spacing w:after="0"/>
              <w:rPr>
                <w:sz w:val="21"/>
                <w:szCs w:val="21"/>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Bridge Term Loan Credit Agreement, dated as of February 13, 2015, among the Company, Bank of America, N.A., as Administrative</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Agent, Wells Fargo Bank, National Association, as Syndication Agent, Credit Suisse AG, Cayman Islands Branch, as Documentation</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Agent, Merrill Lynch, Pierce, Fenner &amp; Smith Incorporated, Wells Fargo Securities, LLC, and Credit Suisse Securities (USA) LLC as</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Joint Lead Arrangers and Joint Book Managers, and as the lenders named therein (incorporated herein by reference to Exhibit 10.4 to</w:t>
            </w:r>
          </w:p>
        </w:tc>
      </w:tr>
      <w:tr>
        <w:trPr>
          <w:trHeight w:val="234"/>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Company's Annual Report on Form 10-K filed on February 26, 2015).</w:t>
            </w:r>
          </w:p>
        </w:tc>
      </w:tr>
      <w:tr>
        <w:trPr>
          <w:trHeight w:val="270"/>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tcPr>
          <w:p>
            <w:pPr>
              <w:spacing w:after="0"/>
              <w:rPr>
                <w:sz w:val="23"/>
                <w:szCs w:val="23"/>
                <w:color w:val="auto"/>
              </w:rPr>
            </w:pP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1 to Term Loan Credit Agreement with Bank of America, N.A. dated March 5, 2015.</w:t>
            </w:r>
          </w:p>
        </w:tc>
      </w:tr>
      <w:tr>
        <w:trPr>
          <w:trHeight w:val="270"/>
        </w:trPr>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70"/>
        </w:trPr>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70"/>
        </w:trPr>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70"/>
        </w:trPr>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70"/>
        </w:trPr>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171" w:lineRule="exact"/>
        <w:rPr>
          <w:sz w:val="20"/>
          <w:szCs w:val="20"/>
          <w:color w:val="auto"/>
        </w:rPr>
      </w:pPr>
    </w:p>
    <w:p>
      <w:pPr>
        <w:ind w:left="1180" w:hanging="1145"/>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08"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LABORATORY CORPORATION OF AMERICA HOLDINGS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w:t>
      </w:r>
    </w:p>
    <w:p>
      <w:pPr>
        <w:spacing w:after="0" w:line="356" w:lineRule="exact"/>
        <w:rPr>
          <w:sz w:val="20"/>
          <w:szCs w:val="20"/>
          <w:color w:val="auto"/>
        </w:rPr>
      </w:pPr>
    </w:p>
    <w:tbl>
      <w:tblPr>
        <w:tblLayout w:type="fixed"/>
        <w:tblInd w:w="574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DAVID P. KING</w:t>
            </w:r>
          </w:p>
        </w:tc>
      </w:tr>
      <w:tr>
        <w:trPr>
          <w:trHeight w:val="291"/>
        </w:trPr>
        <w:tc>
          <w:tcPr>
            <w:tcW w:w="8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P. King</w:t>
            </w:r>
          </w:p>
        </w:tc>
        <w:tc>
          <w:tcPr>
            <w:tcW w:w="1280" w:type="dxa"/>
            <w:vAlign w:val="bottom"/>
            <w:gridSpan w:val="2"/>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Executive Officer</w:t>
            </w: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GLENN A. EISENBERG</w:t>
            </w:r>
          </w:p>
        </w:tc>
      </w:tr>
      <w:tr>
        <w:trPr>
          <w:trHeight w:val="291"/>
        </w:trPr>
        <w:tc>
          <w:tcPr>
            <w:tcW w:w="800" w:type="dxa"/>
            <w:vAlign w:val="bottom"/>
          </w:tcPr>
          <w:p>
            <w:pPr>
              <w:spacing w:after="0"/>
              <w:rPr>
                <w:sz w:val="24"/>
                <w:szCs w:val="24"/>
                <w:color w:val="auto"/>
              </w:rPr>
            </w:pPr>
          </w:p>
        </w:tc>
        <w:tc>
          <w:tcPr>
            <w:tcW w:w="2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Glenn A. Eisenberg</w:t>
            </w:r>
          </w:p>
        </w:tc>
        <w:tc>
          <w:tcPr>
            <w:tcW w:w="64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2015</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240" w:top="121" w:right="3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TERM LOAN CREDIT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AMENDMENT NO. 1 dated as of March 5, 2015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 to TERM LOAN CREDIT AGREEMENT dated as of December 19, 2014 (the “</w:t>
      </w:r>
      <w:r>
        <w:rPr>
          <w:rFonts w:ascii="Times New Roman" w:cs="Times New Roman" w:eastAsia="Times New Roman" w:hAnsi="Times New Roman"/>
          <w:sz w:val="22"/>
          <w:szCs w:val="22"/>
          <w:b w:val="1"/>
          <w:bCs w:val="1"/>
          <w:color w:val="auto"/>
        </w:rPr>
        <w:t>Term Loan Credit Agreement</w:t>
      </w:r>
      <w:r>
        <w:rPr>
          <w:rFonts w:ascii="Times New Roman" w:cs="Times New Roman" w:eastAsia="Times New Roman" w:hAnsi="Times New Roman"/>
          <w:sz w:val="22"/>
          <w:szCs w:val="22"/>
          <w:color w:val="auto"/>
        </w:rPr>
        <w:t>”), among LABORATORY CORPORATION OF AMERICA HOLDINGS, a Delaware corporation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the LENDERS from time to time party thereto and BANK OF AMERICA, N.A., as Administrative Agent.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accordance with the second to last full paragraph of Section 10.01 of the Term Loan Credit Agreement,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the Borrower hereby agree as follows:</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color w:val="auto"/>
        </w:rPr>
        <w:t>Defined Terms; References.</w:t>
      </w:r>
      <w:r>
        <w:rPr>
          <w:rFonts w:ascii="Times New Roman" w:cs="Times New Roman" w:eastAsia="Times New Roman" w:hAnsi="Times New Roman"/>
          <w:sz w:val="22"/>
          <w:szCs w:val="22"/>
          <w:color w:val="auto"/>
        </w:rPr>
        <w:t xml:space="preserve"> Unless otherwise specifically defined herein, each term used herein that is defined in the Term Loan Credit Agreement has the meaning assigned to such term in the Term Loan Credit Agreement.</w:t>
      </w:r>
    </w:p>
    <w:p>
      <w:pPr>
        <w:spacing w:after="0" w:line="15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 Each of the parties hereto agrees that, effective on the First Amendment Effective Date, the Term Loan Credit Agreement shall be amended as follows:</w:t>
      </w:r>
    </w:p>
    <w:p>
      <w:pPr>
        <w:spacing w:after="0" w:line="154" w:lineRule="exact"/>
        <w:rPr>
          <w:sz w:val="20"/>
          <w:szCs w:val="20"/>
          <w:color w:val="auto"/>
        </w:rPr>
      </w:pPr>
    </w:p>
    <w:p>
      <w:pPr>
        <w:ind w:left="540" w:right="20" w:firstLine="846"/>
        <w:spacing w:after="0" w:line="284" w:lineRule="auto"/>
        <w:tabs>
          <w:tab w:leader="none" w:pos="189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phrase “unless rescinded pursuant to clause (b) below” in Section 2.05(a) of the Term Loan Credit Agreement shall be replaced with the phrase “unless rescinded pursuant to the last sentence of this Section 2.05(a)”.</w:t>
      </w:r>
    </w:p>
    <w:p>
      <w:pPr>
        <w:spacing w:after="0" w:line="144" w:lineRule="exact"/>
        <w:rPr>
          <w:sz w:val="20"/>
          <w:szCs w:val="20"/>
          <w:color w:val="auto"/>
        </w:rPr>
      </w:pPr>
    </w:p>
    <w:p>
      <w:pPr>
        <w:jc w:val="both"/>
        <w:ind w:left="540" w:firstLine="846"/>
        <w:spacing w:after="0" w:line="263" w:lineRule="auto"/>
        <w:tabs>
          <w:tab w:leader="none" w:pos="181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proviso in Section 10.06(b)(ii)(A) of the Term Loan Credit Agreement is hereby amended by adding the phrase “on or prior to the Covance Closing Date” following the phrase “no such assignment to an Affiliate of a Lender or an Approved Fund”.</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color w:val="auto"/>
        </w:rPr>
        <w:t>Effectiveness.</w:t>
      </w:r>
      <w:r>
        <w:rPr>
          <w:rFonts w:ascii="Times New Roman" w:cs="Times New Roman" w:eastAsia="Times New Roman" w:hAnsi="Times New Roman"/>
          <w:sz w:val="22"/>
          <w:szCs w:val="22"/>
          <w:color w:val="auto"/>
        </w:rPr>
        <w:t xml:space="preserve"> This Amendment shall become effective on the date (the “</w:t>
      </w:r>
      <w:r>
        <w:rPr>
          <w:rFonts w:ascii="Times New Roman" w:cs="Times New Roman" w:eastAsia="Times New Roman" w:hAnsi="Times New Roman"/>
          <w:sz w:val="22"/>
          <w:szCs w:val="22"/>
          <w:b w:val="1"/>
          <w:bCs w:val="1"/>
          <w:color w:val="auto"/>
        </w:rPr>
        <w:t>First Amendment Effective Date</w:t>
      </w:r>
      <w:r>
        <w:rPr>
          <w:rFonts w:ascii="Times New Roman" w:cs="Times New Roman" w:eastAsia="Times New Roman" w:hAnsi="Times New Roman"/>
          <w:sz w:val="22"/>
          <w:szCs w:val="22"/>
          <w:color w:val="auto"/>
        </w:rPr>
        <w:t xml:space="preserve">”) that is ten Business Days after the Administrative Agent has provided written notice of this Amendment to the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not have received a written objection to this Amendment from the Required Lenders prior to such date.</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xml:space="preserve"> This Amendment shall be governed by, and construed in accordance with, the laws of the State of New York without regard to the conflicts of law principles thereto and to the extent that such principles would direct a matter to another jurisdiction.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26" w:right="239" w:bottom="1440" w:gutter="0" w:footer="0" w:header="0"/>
        </w:sectPr>
      </w:pPr>
    </w:p>
    <w:bookmarkStart w:id="39" w:name="page40"/>
    <w:bookmarkEnd w:id="3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first above written.</w:t>
      </w:r>
    </w:p>
    <w:p>
      <w:pPr>
        <w:spacing w:after="0" w:line="30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LABORATORY CORPORATION OF</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AMERICA HOLDINGS,</w:t>
      </w:r>
    </w:p>
    <w:p>
      <w:pPr>
        <w:ind w:left="27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36" w:lineRule="exact"/>
        <w:rPr>
          <w:sz w:val="20"/>
          <w:szCs w:val="20"/>
          <w:color w:val="auto"/>
        </w:rPr>
      </w:pPr>
    </w:p>
    <w:p>
      <w:pPr>
        <w:ind w:left="2700"/>
        <w:spacing w:after="0"/>
        <w:tabs>
          <w:tab w:leader="none" w:pos="41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Glenn A.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28575</wp:posOffset>
            </wp:positionV>
            <wp:extent cx="18180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Glenn A. Eisenberg</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Chief Financial Officer and</w:t>
      </w:r>
    </w:p>
    <w:p>
      <w:pPr>
        <w:ind w:left="4140"/>
        <w:spacing w:after="0"/>
        <w:rPr>
          <w:sz w:val="20"/>
          <w:szCs w:val="20"/>
          <w:color w:val="auto"/>
        </w:rPr>
      </w:pPr>
      <w:r>
        <w:rPr>
          <w:rFonts w:ascii="Times New Roman" w:cs="Times New Roman" w:eastAsia="Times New Roman" w:hAnsi="Times New Roman"/>
          <w:sz w:val="22"/>
          <w:szCs w:val="22"/>
          <w:color w:val="auto"/>
        </w:rPr>
        <w:t>Treasurer</w:t>
      </w: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SIGNATURE PAGE TO AMENDMENT NO. 1</w:t>
      </w:r>
    </w:p>
    <w:p>
      <w:pPr>
        <w:sectPr>
          <w:pgSz w:w="11900" w:h="16838" w:orient="portrait"/>
          <w:cols w:equalWidth="0" w:num="1">
            <w:col w:w="11060"/>
          </w:cols>
          <w:pgMar w:left="240" w:top="841" w:right="599" w:bottom="1440" w:gutter="0" w:footer="0" w:header="0"/>
        </w:sectPr>
      </w:pPr>
    </w:p>
    <w:bookmarkStart w:id="40" w:name="page41"/>
    <w:bookmarkEnd w:id="40"/>
    <w:p>
      <w:pPr>
        <w:spacing w:after="0" w:line="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52"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Joseph L. Corah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28575</wp:posOffset>
            </wp:positionV>
            <wp:extent cx="1697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Joseph L. Corah</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SIGNATURE PAGE TO AMENDMENT NO. 1</w:t>
      </w:r>
    </w:p>
    <w:p>
      <w:pPr>
        <w:sectPr>
          <w:pgSz w:w="11900" w:h="16838" w:orient="portrait"/>
          <w:cols w:equalWidth="0" w:num="1">
            <w:col w:w="9019"/>
          </w:cols>
          <w:pgMar w:left="1440" w:top="1440" w:right="1440" w:bottom="1440" w:gutter="0" w:footer="0" w:header="0"/>
        </w:sectPr>
      </w:pPr>
    </w:p>
    <w:bookmarkStart w:id="41" w:name="page42"/>
    <w:bookmarkEnd w:id="41"/>
    <w:p>
      <w:pPr>
        <w:ind w:left="9420"/>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STATEMENT OF COMPUTATION OF RATIOS OF EARNINGS TO FIXED CHARGES</w:t>
      </w:r>
    </w:p>
    <w:p>
      <w:pPr>
        <w:spacing w:after="0" w:line="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(dollars in millions, except ratio information)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Fiscal Years Ended December 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866.1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in the income of investees</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distributions received from equity investees</w:t>
            </w: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55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long-term and short-term debt</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amortization of debt expense</w:t>
            </w: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55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Portion of rental expense as can be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demonstrated to be representative</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interest factor</w:t>
            </w: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fixed charges</w:t>
            </w:r>
          </w:p>
        </w:tc>
        <w:tc>
          <w:tcPr>
            <w:tcW w:w="20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 and</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charges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1,028.4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1,086.5</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80" w:top="75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80" w:hanging="10"/>
        <w:spacing w:after="0" w:line="282" w:lineRule="auto"/>
        <w:tabs>
          <w:tab w:leader="none" w:pos="3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80" w:hanging="10"/>
        <w:spacing w:after="0" w:line="282" w:lineRule="auto"/>
        <w:tabs>
          <w:tab w:leader="none" w:pos="3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80" w:hanging="10"/>
        <w:spacing w:after="0" w:line="282" w:lineRule="auto"/>
        <w:tabs>
          <w:tab w:leader="none" w:pos="3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4, 2015</w:t>
      </w:r>
    </w:p>
    <w:p>
      <w:pPr>
        <w:spacing w:after="0" w:line="63" w:lineRule="exact"/>
        <w:rPr>
          <w:sz w:val="20"/>
          <w:szCs w:val="20"/>
          <w:color w:val="auto"/>
        </w:rPr>
      </w:pPr>
    </w:p>
    <w:p>
      <w:pPr>
        <w:ind w:left="636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DAVID P. KING</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David P. King</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80" w:hanging="10"/>
        <w:spacing w:after="0" w:line="282" w:lineRule="auto"/>
        <w:tabs>
          <w:tab w:leader="none" w:pos="3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80" w:hanging="10"/>
        <w:spacing w:after="0" w:line="282" w:lineRule="auto"/>
        <w:tabs>
          <w:tab w:leader="none" w:pos="3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80" w:hanging="10"/>
        <w:spacing w:after="0" w:line="282" w:lineRule="auto"/>
        <w:tabs>
          <w:tab w:leader="none" w:pos="3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4, 2015</w:t>
      </w:r>
    </w:p>
    <w:p>
      <w:pPr>
        <w:spacing w:after="0" w:line="63" w:lineRule="exact"/>
        <w:rPr>
          <w:sz w:val="20"/>
          <w:szCs w:val="20"/>
          <w:color w:val="auto"/>
        </w:rPr>
      </w:pPr>
    </w:p>
    <w:p>
      <w:pPr>
        <w:ind w:left="636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62" w:lineRule="exact"/>
        <w:rPr>
          <w:sz w:val="20"/>
          <w:szCs w:val="20"/>
          <w:color w:val="auto"/>
        </w:rPr>
      </w:pPr>
    </w:p>
    <w:p>
      <w:pPr>
        <w:ind w:firstLine="8"/>
        <w:spacing w:after="0" w:line="282" w:lineRule="auto"/>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March 31, 2015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DAVID P. KING</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David P. King</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May 4,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6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May 4,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1"/>
    </w:lvl>
    <w:lvl w:ilvl="1">
      <w:lvlJc w:val="left"/>
      <w:lvlText w:val="(%2)"/>
      <w:numFmt w:val="lowerLetter"/>
      <w:start w:val="1"/>
    </w:lvl>
  </w:abstractNum>
  <w:abstractNum w:abstractNumId="9">
    <w:nsid w:val="6B68079A"/>
    <w:multiLevelType w:val="hybridMultilevel"/>
    <w:lvl w:ilvl="0">
      <w:lvlJc w:val="left"/>
      <w:lvlText w:val="%1."/>
      <w:numFmt w:val="decimal"/>
      <w:start w:val="8"/>
    </w:lvl>
    <w:lvl w:ilvl="1">
      <w:lvlJc w:val="left"/>
      <w:lvlText w:val="%2"/>
      <w:numFmt w:val="lowerLetter"/>
      <w:start w:val="1"/>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4"/>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2019-12-29T17:28:54Z</dcterms:created>
  <dcterms:modified xsi:type="dcterms:W3CDTF">2019-12-29T17:28:54Z</dcterms:modified>
</cp:coreProperties>
</file>