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1400" w:hanging="216"/>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2025</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3860" w:right="1160" w:hanging="2686"/>
        <w:spacing w:after="0" w:line="399" w:lineRule="auto"/>
        <w:tabs>
          <w:tab w:leader="none" w:pos="13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20" w:type="dxa"/>
            <w:vAlign w:val="bottom"/>
          </w:tcPr>
          <w:p>
            <w:pPr>
              <w:spacing w:after="0"/>
              <w:rPr>
                <w:sz w:val="20"/>
                <w:szCs w:val="20"/>
                <w:color w:val="auto"/>
              </w:rPr>
            </w:pPr>
          </w:p>
        </w:tc>
      </w:tr>
      <w:tr>
        <w:trPr>
          <w:trHeight w:val="228"/>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66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55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0"/>
                <w:szCs w:val="20"/>
                <w:color w:val="auto"/>
              </w:rPr>
            </w:pPr>
          </w:p>
        </w:tc>
      </w:tr>
      <w:tr>
        <w:trPr>
          <w:trHeight w:val="228"/>
        </w:trPr>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20" w:type="dxa"/>
            <w:vAlign w:val="bottom"/>
            <w:tcBorders>
              <w:top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Borders>
              <w:top w:val="single" w:sz="8" w:color="auto"/>
            </w:tcBorders>
          </w:tcPr>
          <w:p>
            <w:pPr>
              <w:spacing w:after="0"/>
              <w:rPr>
                <w:sz w:val="19"/>
                <w:szCs w:val="19"/>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LH</w:t>
            </w:r>
          </w:p>
        </w:tc>
        <w:tc>
          <w:tcPr>
            <w:tcW w:w="8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30, 2025, there were 82.9 million shares of the registrant’s common stock, $0.10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8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2420" w:type="dxa"/>
            <w:vAlign w:val="bottom"/>
            <w:gridSpan w:val="4"/>
          </w:tcPr>
          <w:p>
            <w:pPr>
              <w:spacing w:after="0"/>
              <w:rPr>
                <w:sz w:val="24"/>
                <w:szCs w:val="24"/>
                <w:color w:val="auto"/>
              </w:rPr>
            </w:pPr>
          </w:p>
        </w:tc>
        <w:tc>
          <w:tcPr>
            <w:tcW w:w="1920" w:type="dxa"/>
            <w:vAlign w:val="bottom"/>
            <w:tcBorders>
              <w:top w:val="single" w:sz="8" w:color="auto"/>
            </w:tcBorders>
            <w:gridSpan w:val="6"/>
          </w:tcPr>
          <w:p>
            <w:pPr>
              <w:spacing w:after="0"/>
              <w:rPr>
                <w:sz w:val="24"/>
                <w:szCs w:val="24"/>
                <w:color w:val="auto"/>
              </w:rPr>
            </w:pPr>
          </w:p>
        </w:tc>
        <w:tc>
          <w:tcPr>
            <w:tcW w:w="35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3"/>
            <w:vMerge w:val="restart"/>
          </w:tcPr>
          <w:p>
            <w:pPr>
              <w:spacing w:after="0"/>
              <w:rPr>
                <w:sz w:val="24"/>
                <w:szCs w:val="2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1500" w:type="dxa"/>
            <w:vAlign w:val="bottom"/>
            <w:tcBorders>
              <w:bottom w:val="single" w:sz="8" w:color="0000FF"/>
            </w:tcBorders>
            <w:gridSpan w:val="7"/>
            <w:vMerge w:val="continue"/>
          </w:tcPr>
          <w:p>
            <w:pPr>
              <w:spacing w:after="0"/>
              <w:rPr>
                <w:sz w:val="14"/>
                <w:szCs w:val="14"/>
                <w:color w:val="auto"/>
              </w:rPr>
            </w:pPr>
          </w:p>
        </w:tc>
        <w:tc>
          <w:tcPr>
            <w:tcW w:w="7700" w:type="dxa"/>
            <w:vAlign w:val="bottom"/>
            <w:gridSpan w:val="1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(Unaudited)</w:t>
            </w:r>
          </w:p>
        </w:tc>
        <w:tc>
          <w:tcPr>
            <w:tcW w:w="3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(Unaudited)</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6"/>
          </w:tcPr>
          <w:p>
            <w:pPr>
              <w:spacing w:after="0"/>
              <w:rPr>
                <w:sz w:val="24"/>
                <w:szCs w:val="24"/>
                <w:color w:val="auto"/>
              </w:rPr>
            </w:pPr>
          </w:p>
        </w:tc>
        <w:tc>
          <w:tcPr>
            <w:tcW w:w="2760" w:type="dxa"/>
            <w:vAlign w:val="bottom"/>
            <w:gridSpan w:val="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4"/>
          </w:tcPr>
          <w:p>
            <w:pPr>
              <w:spacing w:after="0"/>
              <w:rPr>
                <w:sz w:val="24"/>
                <w:szCs w:val="24"/>
                <w:color w:val="auto"/>
              </w:rPr>
            </w:pPr>
          </w:p>
        </w:tc>
        <w:tc>
          <w:tcPr>
            <w:tcW w:w="4900" w:type="dxa"/>
            <w:vAlign w:val="bottom"/>
            <w:gridSpan w:val="8"/>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4"/>
          </w:tcPr>
          <w:p>
            <w:pPr>
              <w:spacing w:after="0"/>
              <w:rPr>
                <w:sz w:val="24"/>
                <w:szCs w:val="24"/>
                <w:color w:val="auto"/>
              </w:rPr>
            </w:pP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24"/>
                <w:szCs w:val="24"/>
                <w:color w:val="auto"/>
              </w:rPr>
            </w:pPr>
          </w:p>
        </w:tc>
        <w:tc>
          <w:tcPr>
            <w:tcW w:w="6880" w:type="dxa"/>
            <w:vAlign w:val="bottom"/>
            <w:gridSpan w:val="11"/>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40" w:type="dxa"/>
            <w:vAlign w:val="bottom"/>
            <w:gridSpan w:val="1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871"/>
        </w:trPr>
        <w:tc>
          <w:tcPr>
            <w:tcW w:w="9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20" w:type="dxa"/>
            <w:vAlign w:val="bottom"/>
            <w:gridSpan w:val="11"/>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83.0 and 83.4 shares outstanding at September 30, 2025, and December 31,</w:t>
            </w:r>
          </w:p>
        </w:tc>
        <w:tc>
          <w:tcPr>
            <w:tcW w:w="18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40"/>
        </w:trPr>
        <w:tc>
          <w:tcPr>
            <w:tcW w:w="7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58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080" w:type="dxa"/>
            <w:vAlign w:val="bottom"/>
            <w:gridSpan w:val="8"/>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86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18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184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9,679.5</w:t>
            </w: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6,951.4</w:t>
            </w:r>
          </w:p>
        </w:tc>
      </w:tr>
      <w:tr>
        <w:trPr>
          <w:trHeight w:val="223"/>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loss,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r>
      <w:tr>
        <w:trPr>
          <w:trHeight w:val="229"/>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w:t>
            </w: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4"/>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58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320" w:type="dxa"/>
            <w:vAlign w:val="bottom"/>
            <w:gridSpan w:val="9"/>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8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8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1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1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184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29"/>
        </w:trPr>
        <w:tc>
          <w:tcPr>
            <w:tcW w:w="5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rPr>
              <w:t>Common</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Accumulated Other</w:t>
            </w:r>
          </w:p>
        </w:tc>
        <w:tc>
          <w:tcPr>
            <w:tcW w:w="120" w:type="dxa"/>
            <w:vAlign w:val="bottom"/>
          </w:tcPr>
          <w:p>
            <w:pPr>
              <w:spacing w:after="0"/>
              <w:rPr>
                <w:sz w:val="12"/>
                <w:szCs w:val="12"/>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Comprehensive Loss</w:t>
            </w:r>
          </w:p>
        </w:tc>
        <w:tc>
          <w:tcPr>
            <w:tcW w:w="120" w:type="dxa"/>
            <w:vAlign w:val="bottom"/>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1"/>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2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tcBorders>
              <w:top w:val="single" w:sz="8" w:color="CCEEFF"/>
            </w:tcBorders>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0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8,455.6</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8,307.4</w:t>
            </w:r>
          </w:p>
        </w:tc>
        <w:tc>
          <w:tcPr>
            <w:tcW w:w="0" w:type="dxa"/>
            <w:vAlign w:val="bottom"/>
          </w:tcPr>
          <w:p>
            <w:pPr>
              <w:spacing w:after="0"/>
              <w:rPr>
                <w:sz w:val="1"/>
                <w:szCs w:val="1"/>
                <w:color w:val="auto"/>
              </w:rPr>
            </w:pPr>
          </w:p>
        </w:tc>
      </w:tr>
      <w:tr>
        <w:trPr>
          <w:trHeight w:val="21"/>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tcBorders>
              <w:top w:val="single" w:sz="8" w:color="CCEEFF"/>
            </w:tcBorders>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2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7"/>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30"/>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7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decrease in supplies inventory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(increase) in prepaid expenses and other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7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unearned revenue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7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2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2"/>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or distribution of equity affiliates or other investments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equity affiliates or other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7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2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2"/>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2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for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(Dx) and Biopharma Laboratory Services (BLS). During each of the three months ended September 30, 2025, and 2024, and each of the nine months ended September 30, 2025, and 2024, Dx and BLS contributed approximately 78% and 22%, respectively, of Revenues to the Company.</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Condensed Consolidated Balance Sheet for the year ended December 31, 2024, was derived from audited financial statements but does not include all disclosures required by generally accepted accounting principles in the United States (GAAP).</w:t>
      </w:r>
    </w:p>
    <w:p>
      <w:pPr>
        <w:spacing w:after="0" w:line="10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are presented in accordance with the rules and regulations of the Securities and Exchange Commission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on Form 10-K for the fiscal year ended December 31, 2024 (Annual Report). Accordingly, these Condensed Consolidated Financial Statements and notes should be read in conjunction with the Consolidated Financial Statements and notes thereto contained in the Company’s Annual Report.</w:t>
      </w:r>
    </w:p>
    <w:p>
      <w:pPr>
        <w:spacing w:after="0" w:line="9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spacing w:after="0" w:line="9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within the Condensed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3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for Accounts Receivable and Contract Assets</w:t>
      </w:r>
      <w:r>
        <w:rPr>
          <w:rFonts w:ascii="Times New Roman" w:cs="Times New Roman" w:eastAsia="Times New Roman" w:hAnsi="Times New Roman"/>
          <w:sz w:val="18"/>
          <w:szCs w:val="18"/>
          <w:color w:val="auto"/>
        </w:rPr>
        <w:t>. This accounting pronouncement provides all entities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practical expedient to assume that current conditions as of the balance sheet date do not change for the remaining life of the assets when measuring credit losses. ASU 2025-05 is effective for fiscal years beginning after December 15, 2025. The Company is currently assessing the impact that adopting this accounting pronouncement will have on its Consolidated Financial Statements.</w:t>
      </w:r>
    </w:p>
    <w:p>
      <w:pPr>
        <w:spacing w:after="0" w:line="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Internal-Use-Software (Topic 350):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accounting pronouncement improves the operability of the existing guidance by removing all references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software development project stages so that the guidance is neutral to different software development methods. ASU 2025-06 is effective for fiscal years beginning after December 15, 2027. The Company is currently assessing the impact that adopting this accounting pronouncement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Enactment of the One Big Beautiful Bill Act</w:t>
      </w:r>
    </w:p>
    <w:p>
      <w:pPr>
        <w:spacing w:after="0" w:line="135"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On July 4, 2025, the United States (U.S.) government enacted into law the One Big Beautiful Bill Act (OBBBA), which includes significant changes to federal tax law, including modifications to bonus depreciation, research and development expensing, and international tax regimes. The tax provisions of the OBBBA will enable the Company to accelerate the realization of $194.7 of deferred tax assets relating to research and development costs over the next two years, but will have no material net impact within the Condensed Consolidated Statement of Operations.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2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40" w:type="dxa"/>
            <w:vAlign w:val="bottom"/>
            <w:tcBorders>
              <w:right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4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40" w:type="dxa"/>
            <w:vAlign w:val="bottom"/>
            <w:tcBorders>
              <w:right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Revenues in the U.S. were $2,968.5 (83.3%) and $2,738.4 (83.4%) for the three months ended September 30, 2025, and 2024, respectively, and were $8,713.9 (83.5%) and $8,091.8 (83.6%) for the nine months ended September 30, 2025, and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Services, and Unearned Revenue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1"/>
                <w:szCs w:val="21"/>
                <w:color w:val="auto"/>
              </w:rPr>
            </w:pPr>
          </w:p>
        </w:tc>
        <w:tc>
          <w:tcPr>
            <w:tcW w:w="2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$16.0 and $20.2 for the three months ended September 30, 2025, and 2024, respectively, and were $119.3 and $98.0 for the nine months ended September 30, 2025, and 2024,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estimates future expected credit losses on Accounts receivable, net and Unbilled services, net over the remaining collection period of the instrument. The rollforward for the allowance for credit losses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Accounts</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Unbilled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6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Receivable, net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Services, net</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 offs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6920" w:firstLine="8"/>
        <w:spacing w:after="0" w:line="401"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AND DISPOSITIONS Acquisitions</w:t>
      </w:r>
    </w:p>
    <w:p>
      <w:pPr>
        <w:spacing w:after="0" w:line="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acquired several businesses and related assets for cash of $324.0. The preliminary purchase considerations for these acquisitions were allocated under the acquisition method of accounting to the estimated fair market value of the net assets acquired, including approximately $202.9 in identifiable intangible assets. The weighted-average amortization periods for the customer relationships and non-compete agreements were 15.0 years and 4.8 years, respectively. A residual amount of tax deductible goodwill, including measurement period adjustments relating to prior acquisitions of $196.7 was recorded as of September 30,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purchase price allocations for these acquisitions were preliminary at September 30, 2025. The valuation of acquired assets and assumed liabilities included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Other Business Acquisitions</w:t>
            </w:r>
          </w:p>
        </w:tc>
        <w:tc>
          <w:tcPr>
            <w:tcW w:w="220" w:type="dxa"/>
            <w:vAlign w:val="bottom"/>
          </w:tcPr>
          <w:p>
            <w:pPr>
              <w:spacing w:after="0"/>
              <w:rPr>
                <w:sz w:val="16"/>
                <w:szCs w:val="16"/>
                <w:color w:val="auto"/>
              </w:rPr>
            </w:pPr>
          </w:p>
        </w:tc>
        <w:tc>
          <w:tcPr>
            <w:tcW w:w="19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Amounts Acquired During</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Closed During the Nine</w:t>
            </w:r>
          </w:p>
        </w:tc>
        <w:tc>
          <w:tcPr>
            <w:tcW w:w="2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During the Nine</w:t>
            </w: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BioReference Health</w:t>
            </w:r>
          </w:p>
        </w:tc>
        <w:tc>
          <w:tcPr>
            <w:tcW w:w="2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 September</w:t>
            </w:r>
          </w:p>
        </w:tc>
        <w:tc>
          <w:tcPr>
            <w:tcW w:w="2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 September 30,</w:t>
            </w:r>
          </w:p>
        </w:tc>
        <w:tc>
          <w:tcPr>
            <w:tcW w:w="140" w:type="dxa"/>
            <w:vAlign w:val="bottom"/>
          </w:tcPr>
          <w:p>
            <w:pPr>
              <w:spacing w:after="0"/>
              <w:rPr>
                <w:sz w:val="14"/>
                <w:szCs w:val="14"/>
                <w:color w:val="auto"/>
              </w:rPr>
            </w:pPr>
          </w:p>
        </w:tc>
        <w:tc>
          <w:tcPr>
            <w:tcW w:w="18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Nine Months Ended</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0" w:type="dxa"/>
            <w:vAlign w:val="bottom"/>
          </w:tcPr>
          <w:p>
            <w:pPr>
              <w:spacing w:after="0"/>
              <w:rPr>
                <w:sz w:val="1"/>
                <w:szCs w:val="1"/>
                <w:color w:val="auto"/>
              </w:rPr>
            </w:pPr>
          </w:p>
        </w:tc>
      </w:tr>
      <w:tr>
        <w:trPr>
          <w:trHeight w:val="234"/>
        </w:trPr>
        <w:tc>
          <w:tcPr>
            <w:tcW w:w="3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$151.6 (€140.4). The transaction closed in March 2025 and is accounted for as an equity method investment within the Company’s Condensed Consolidated Financial Statements.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22, 2025, the Company announced that it entered into an agreement with Community Health Systems, Inc. (CHS) to acquire select assets of the outreach business from CHS for a purchase price of approximately $195.0. The transaction is anticipated to close in the fourth quarter of 2025, subject to customary closing conditions and applicable regulatory approvals for a transaction of this type.</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September 15, 2025, the Company entered into an agreement with Empire City Laboratories, Inc. to acquire select clinical laboratory assets, which serves the New York Tri-State area. The purchase price for the transaction is up to $250.0, including $165.0 payable at closing and up to $85.0 of additional consideration contingent on performance. The transaction is anticipated to close in the first quarter of 2026, subject to customary closing conditions and applicable regulatory approvals for a transaction of this type.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Had the aggregate of the Company’s 2025 and 2024 acquisitions, that were accounted for as business combinations, been completed at January 1, 2024, the Company’s unaudited pro forma results would have been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39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1"/>
                <w:szCs w:val="21"/>
                <w:color w:val="auto"/>
              </w:rPr>
            </w:pPr>
          </w:p>
        </w:tc>
        <w:tc>
          <w:tcPr>
            <w:tcW w:w="34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354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10,065.6</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4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exited an equity method investment for cash proceeds of $6.0. During the nine months ended September 30, 2024, the Company sold the assets of Beacon Laboratory Benefit Solutions, Inc. for cash proceeds of $13.5 and recorded a gain of $4.9 included in Other, net in the Condensed Consolidated Statements of Operations.</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Basic earnings per share (Basic EPS) is computed by dividing Net earnings attributable to Labcorp Holdings Inc. by the weighted-average number of common shares outstanding. Diluted earnings per common share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2080" w:right="9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represents a reconciliation of Basic EPS to Diluted EPS:</w:t>
      </w:r>
    </w:p>
    <w:p>
      <w:pPr>
        <w:spacing w:after="0" w:line="167"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840"/>
        <w:spacing w:after="0" w:line="297" w:lineRule="auto"/>
        <w:rPr>
          <w:sz w:val="20"/>
          <w:szCs w:val="20"/>
          <w:color w:val="auto"/>
        </w:rPr>
      </w:pPr>
      <w:r>
        <w:rPr>
          <w:rFonts w:ascii="Times New Roman" w:cs="Times New Roman" w:eastAsia="Times New Roman" w:hAnsi="Times New Roman"/>
          <w:sz w:val="18"/>
          <w:szCs w:val="18"/>
          <w:color w:val="auto"/>
        </w:rPr>
        <w:t>Net earnings attributable to LHI Weighted-average common shares outstanding Per common share amount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184"/>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8"/>
              </w:rPr>
              <w:t>Dilutive</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8"/>
              </w:rPr>
              <w:t>Dilutive</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1"/>
        </w:trPr>
        <w:tc>
          <w:tcPr>
            <w:tcW w:w="1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EPS</w:t>
            </w:r>
          </w:p>
        </w:tc>
      </w:tr>
      <w:tr>
        <w:trPr>
          <w:trHeight w:val="225"/>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9"/>
        </w:trPr>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220" w:space="720"/>
            <w:col w:w="6300"/>
          </w:cols>
          <w:pgMar w:left="320" w:top="121" w:right="339" w:bottom="1440" w:gutter="0" w:footer="0" w:header="0"/>
          <w:type w:val="continuous"/>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10"/>
          </w:tcPr>
          <w:p>
            <w:pPr>
              <w:ind w:left="7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36"/>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76"/>
        </w:trPr>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494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EPS</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5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common share amount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antidilutive: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7"/>
        </w:trPr>
        <w:tc>
          <w:tcPr>
            <w:tcW w:w="402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02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2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balances, net of impairment, and changes in the carrying amount of goodwill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BLS</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6,369.7</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6,682.3</w:t>
            </w:r>
          </w:p>
        </w:tc>
      </w:tr>
      <w:tr>
        <w:trPr>
          <w:trHeight w:val="21"/>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did not record a goodwill or intangible asset impairment charge.</w:t>
      </w:r>
    </w:p>
    <w:p>
      <w:pPr>
        <w:spacing w:after="0" w:line="13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as of September 30, 2025, and December 31, 2024, was $648.5 and represents the goodwill of the Company’s Early Development Research Laboratories reporting unit within the BLS segment.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Range of Useful Lives</w:t>
            </w:r>
          </w:p>
        </w:tc>
        <w:tc>
          <w:tcPr>
            <w:tcW w:w="140" w:type="dxa"/>
            <w:vAlign w:val="bottom"/>
          </w:tcPr>
          <w:p>
            <w:pPr>
              <w:spacing w:after="0"/>
              <w:rPr>
                <w:sz w:val="14"/>
                <w:szCs w:val="14"/>
                <w:color w:val="auto"/>
              </w:rPr>
            </w:pPr>
          </w:p>
        </w:tc>
        <w:tc>
          <w:tcPr>
            <w:tcW w:w="7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Years)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9"/>
                <w:szCs w:val="19"/>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licenses, and technology</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(2,199.3)</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2,931.4</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Canadian and other licenses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$69.5 and $63.7 for the three months ended September 30, 2025, and 2024, respectively, and was $207.4 and $186.0 for the nine months ended September 30, 2025, and 2024, respectively. The amortization expense of intangible assets is estimated to be $76.3 for</w:t>
      </w:r>
    </w:p>
    <w:tbl>
      <w:tblPr>
        <w:tblLayout w:type="fixed"/>
        <w:tblInd w:w="0" w:type="dxa"/>
        <w:tblCellMar>
          <w:top w:w="0" w:type="dxa"/>
          <w:left w:w="0" w:type="dxa"/>
          <w:bottom w:w="0" w:type="dxa"/>
          <w:right w:w="0" w:type="dxa"/>
        </w:tblCellMar>
      </w:tblPr>
      <w:tr>
        <w:trPr>
          <w:trHeight w:val="234"/>
        </w:trPr>
        <w:tc>
          <w:tcPr>
            <w:tcW w:w="9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remainder of 2025, $281.2 in 2026, $268.1 in 2027, $260.4 in 2028, $247.2 in 2029, and $1,873.8 thereafter.</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consisted of the following:</w:t>
            </w:r>
          </w:p>
        </w:tc>
        <w:tc>
          <w:tcPr>
            <w:tcW w:w="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either (i) a Secured Overnight Financing Rate-based rate plus a margin ranging from 0.805% to 1.300% or (ii) a base rate plus a margin ranging from 0.0% to 0.300%, in each case depending on the Company’s long-term debt ratings. The Company is required to pay a facility fee quarterly on the aggregate amount of commitments under the revolving credit facility, at a per annum rate ranging from 0.070% to 0.200%, depending on the Company’s long-term debt ratings, regardless of usage.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and $103.3 in outstanding letters of credit on the Company’s subfacility as of September 30, 2025. At September 30, 2025, the effective interest rate on the revolving credit facility was 5.16%. The revolving credit facility expires in June 2030.</w:t>
      </w:r>
    </w:p>
    <w:p>
      <w:pPr>
        <w:spacing w:after="0" w:line="11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September 30, 2025, and expects that it will remain in compliance with its existing debt covenants for the next 12 months.</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(SPV) entered into an accounts receivable securitization facility with a three-year term (AR Facility). The AR Facility allowed the Company to borrow an amount of up to $300.0 through August of 2027 and increase up to $700.0, subject to the satisfaction of certain conditions.</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January 31, 2025, the Company amended its AR Facility (AR Facility Amendment). The AR Facility Amendment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the amount the Company can borrow from $300.0 to $700.0 through August of 2027.</w:t>
      </w:r>
    </w:p>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Although the SPV is included in the Company’s Condensed Consolidated Financial Statements, it is a separate legal entity with separate creditors.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received loan proceeds of $225.0 and $300.0 under the AR Facility, which is included in cash from financing activities in the Condensed Consolidated Statement of Cash Flows.</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265.0 shares of its common stock, par value $0.10 per share (Common Stock). The Company is authorized to issue up to 30.0 shares of preferred stock, par value $0.10 per share. There were no preferred shares outstanding at September 30, 2025, and December 31, 2024.</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changes in the Company’s shares of Common Stock issued and outstanding are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80" w:type="dxa"/>
            <w:vAlign w:val="bottom"/>
            <w:tcBorders>
              <w:bottom w:val="single" w:sz="8" w:color="CCEEFF"/>
            </w:tcBorders>
          </w:tcPr>
          <w:p>
            <w:pPr>
              <w:spacing w:after="0"/>
              <w:rPr>
                <w:sz w:val="21"/>
                <w:szCs w:val="21"/>
                <w:color w:val="auto"/>
              </w:rPr>
            </w:pPr>
          </w:p>
        </w:tc>
        <w:tc>
          <w:tcPr>
            <w:tcW w:w="4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7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repurchased</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0"/>
        </w:trPr>
        <w:tc>
          <w:tcPr>
            <w:tcW w:w="708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within the Condensed Consolidated Balance Sheets unless subject to limitation or the balance in Additional paid-in-capital is exhausted. Remaining amounts are recognized as a reduction in Retained earnings within the Company’s Condensed Consolidated Balance Sheets.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purchased 0.9 shares of its Common Stock at an average price of $249.27 per share for a total cost of $225.0. During the nine months ended September 30, 2024, the Company purchased 0.8 shares of its Common Stock at an average price of $211.63 per share for a total cost of $175.0.</w:t>
      </w:r>
    </w:p>
    <w:p>
      <w:pPr>
        <w:spacing w:after="0" w:line="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outstanding authorization from its board of directors (Board) to purchase up to $1,055.4 maximum value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September 30, 2025, and 2024, and each of the nine months ended September 30, 2025, and 2024, a cash dividend of $0.72 and $2.16 per share of Common Stock, respectively, was declared and paid.</w:t>
      </w:r>
    </w:p>
    <w:p>
      <w:pPr>
        <w:spacing w:after="0" w:line="8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On October 8, 2025, the Company announced a cash dividend of $0.72 per share of Common Stock, or approximately $60.6 in the aggregate. The dividend will be paid on December 11, 2025, to stockholders of record of all issued and outstanding shares of Common Stock as of the close of business on November 26, 2025. The declaration and payment of any future dividends will be at the discretion of the Board.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Net Benefit Plan Adjustments</w:t>
            </w:r>
          </w:p>
        </w:tc>
        <w:tc>
          <w:tcPr>
            <w:tcW w:w="240" w:type="dxa"/>
            <w:vAlign w:val="bottom"/>
          </w:tcPr>
          <w:p>
            <w:pPr>
              <w:spacing w:after="0"/>
              <w:rPr>
                <w:sz w:val="16"/>
                <w:szCs w:val="16"/>
                <w:color w:val="auto"/>
              </w:rPr>
            </w:pP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color w:val="auto"/>
              </w:rPr>
              <w:t>Adjustments</w:t>
            </w:r>
          </w:p>
        </w:tc>
        <w:tc>
          <w:tcPr>
            <w:tcW w:w="2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color w:val="auto"/>
              </w:rPr>
              <w:t>Comprehensive Loss</w:t>
            </w:r>
          </w:p>
        </w:tc>
        <w:tc>
          <w:tcPr>
            <w:tcW w:w="0" w:type="dxa"/>
            <w:vAlign w:val="bottom"/>
          </w:tcPr>
          <w:p>
            <w:pPr>
              <w:spacing w:after="0"/>
              <w:rPr>
                <w:sz w:val="1"/>
                <w:szCs w:val="1"/>
                <w:color w:val="auto"/>
              </w:rPr>
            </w:pPr>
          </w:p>
        </w:tc>
      </w:tr>
      <w:tr>
        <w:trPr>
          <w:trHeight w:val="94"/>
        </w:trPr>
        <w:tc>
          <w:tcPr>
            <w:tcW w:w="4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48"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8"/>
          <w:szCs w:val="18"/>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9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2024, the Texas Court of Appeals issued a decision reversing the District Court’s order granting the Company’s Motion for Partial Summary Judgment. On February 28, 2025, the Company filed in the Texas Supreme Court a Petition for Review with respect to the Texas Court of Appeals decision. The Company will vigorously defend the lawsuit.</w:t>
      </w:r>
    </w:p>
    <w:p>
      <w:pPr>
        <w:spacing w:after="0" w:line="9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alleged that the Company violated the Florida Consumer Collection Practices Act by billing patients who were collecting benefits under the Workers’ Compensation Statutes. The lawsuit sought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On or about October 31, 2024, Labcorp and the Plaintiff (on behalf of the putative class) entered into a Settlement Agreement. On August 13, 2025, the court entered a Final Judgment Approving Settlement Agreement, Certifying Class and Approving Service Fee Award and Attorneys’ Fees and Costs.</w:t>
      </w:r>
    </w:p>
    <w:p>
      <w:pPr>
        <w:spacing w:after="0" w:line="9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responded to the DOJ.</w:t>
      </w:r>
    </w:p>
    <w:p>
      <w:pPr>
        <w:spacing w:after="0" w:line="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0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The Company will vigorously defend the remaining claims in the multi-district litigation.</w:t>
      </w:r>
    </w:p>
    <w:p>
      <w:pPr>
        <w:spacing w:after="0" w:line="93"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1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United States Supreme Court, which was granted on January 24, 2025, and then dismissed on June 5, 2025. The Company will vigorously defend the lawsuit.</w:t>
      </w:r>
    </w:p>
    <w:p>
      <w:pPr>
        <w:spacing w:after="0" w:line="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Company strongly disagrees with the verdict, based on a number of legal factors, and will vigorously defend the lawsuit through the appeal process.</w:t>
      </w:r>
    </w:p>
    <w:p>
      <w:pPr>
        <w:spacing w:after="0" w:line="104"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asserted these actions violated various California Labor Code provisions and Section 17200 of the Business and Professional Code. The lawsuit sought monetary damages, civil penalties, and recovery of attorney’s fees and costs.</w:t>
      </w:r>
    </w:p>
    <w:p>
      <w:pPr>
        <w:spacing w:after="0" w:line="91"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8"/>
          <w:szCs w:val="18"/>
          <w:color w:val="auto"/>
        </w:rPr>
        <w:t xml:space="preserve">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sought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second lawsuit sought to recover civil penalties and recovery of attorney’s fees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On October 15, 2025, the court granted final approval of the parties’ settlements in both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and dismissed the lawsuits.</w:t>
      </w:r>
    </w:p>
    <w:p>
      <w:pPr>
        <w:spacing w:after="0" w:line="9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September 27, 2024, the Court denied the Motion to Dismiss the Amended Complaint. The Company will vigorously defend the lawsuit.</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has responded to this request.</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 AND DERIVATIVE INSTRUMENTS AND HEDGING ACTIVITIES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7"/>
              </w:rPr>
              <w:t>Fair Value at</w:t>
            </w:r>
          </w:p>
        </w:tc>
        <w:tc>
          <w:tcPr>
            <w:tcW w:w="120" w:type="dxa"/>
            <w:vAlign w:val="bottom"/>
          </w:tcPr>
          <w:p>
            <w:pPr>
              <w:spacing w:after="0"/>
              <w:rPr>
                <w:sz w:val="7"/>
                <w:szCs w:val="7"/>
                <w:color w:val="auto"/>
              </w:rPr>
            </w:pPr>
          </w:p>
        </w:tc>
        <w:tc>
          <w:tcPr>
            <w:tcW w:w="2720" w:type="dxa"/>
            <w:vAlign w:val="bottom"/>
            <w:gridSpan w:val="7"/>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22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8"/>
                <w:szCs w:val="18"/>
                <w:color w:val="auto"/>
                <w:w w:val="98"/>
              </w:rPr>
              <w:t>Balance Sheets</w:t>
            </w:r>
          </w:p>
        </w:tc>
        <w:tc>
          <w:tcPr>
            <w:tcW w:w="16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expenses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140"/>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60" w:type="dxa"/>
            <w:vAlign w:val="bottom"/>
            <w:vMerge w:val="continue"/>
            <w:shd w:val="clear" w:color="auto" w:fill="CCEEFF"/>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8"/>
        </w:trPr>
        <w:tc>
          <w:tcPr>
            <w:tcW w:w="4120" w:type="dxa"/>
            <w:vAlign w:val="bottom"/>
          </w:tcPr>
          <w:p>
            <w:pPr>
              <w:spacing w:after="0"/>
              <w:rPr>
                <w:sz w:val="24"/>
                <w:szCs w:val="24"/>
                <w:color w:val="auto"/>
              </w:rPr>
            </w:pPr>
          </w:p>
        </w:tc>
        <w:tc>
          <w:tcPr>
            <w:tcW w:w="2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7"/>
          </w:tcPr>
          <w:p>
            <w:pPr>
              <w:jc w:val="center"/>
              <w:ind w:right="31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rPr>
              <w:t>December 31, 2024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12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40" w:type="dxa"/>
            <w:vAlign w:val="bottom"/>
            <w:gridSpan w:val="7"/>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22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Balance Sheets</w:t>
            </w:r>
          </w:p>
        </w:tc>
        <w:tc>
          <w:tcPr>
            <w:tcW w:w="1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48"/>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80" w:type="dxa"/>
            <w:vAlign w:val="bottom"/>
            <w:vMerge w:val="continue"/>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color w:val="auto"/>
              </w:rPr>
              <w:t>Contingent Consideration</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Additions from business acquisitions</w:t>
            </w:r>
          </w:p>
        </w:tc>
        <w:tc>
          <w:tcPr>
            <w:tcW w:w="2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option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deferred compensation plan (DCP). A participant’s deferrals are allocated by the participant to one or more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measured the fair value of contingent consideration liabilities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8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Although recorded at amortized cost on the Company’s Condensed Consolidated Balance Sheets, the fair market value of the Company’s senior notes was $4,954.8 and $5,762.6 as of September 30, 2025, and December 31, 2024, respectively. The Company’s senior notes are considered Level 2 instruments, as the fair market values of these instruments are based on observable market pricing.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currently based on the three-month Secured Overnight Financing Rate, plus 1.7060%.</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of the fixed-rate debt being hedged, the derivative instruments are assumed to be perfectly effective hedges and accordingly, there is no impact to the Company’s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6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entered into five new USD to Swiss Franc cross currency swaps, with an aggregate notional value of $600.0, of which $300.0 matures in 2029 and $300.0 matures in 2034.</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above instruments are designated as a hedge against the impact of foreign exchange movements on its net investment in a Swiss subsidiary. Changes in the fair value of the cross-currency swaps are charged or credited through Accumulated other comprehensive income in the Condensed Consolidated Balance Sheet until the hedged item is recognized in earnings. The cumulative amount of the fair value hedging adjustments is recognized as currency translation within the Condensed Consolidated Statement of Comprehensive Earnings.</w:t>
      </w:r>
    </w:p>
    <w:p>
      <w:pPr>
        <w:spacing w:after="0" w:line="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gains (losses) of derivatives designated in fair value hedging relationships: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Amounts included in other comprehensive income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354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(66.4)</w:t>
            </w: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SUPPLEMENTAL CASH FLOW INFORMATION</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8"/>
        </w:trPr>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194.5</w:t>
            </w:r>
          </w:p>
        </w:tc>
      </w:tr>
      <w:tr>
        <w:trPr>
          <w:trHeight w:val="23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(35.6)</w:t>
            </w:r>
          </w:p>
        </w:tc>
      </w:tr>
    </w:tbl>
    <w:p>
      <w:pPr>
        <w:spacing w:after="0" w:line="19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and nine months ended September 30, 2025, and 2024.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CODM uses segment operating income to evaluate segment performance and to allocate resources. This segment performance measure excludes the amortization of intangibles and other assets, restructuring and other charges, goodwill and other asset impairments,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6"/>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40" w:type="dxa"/>
            <w:vAlign w:val="bottom"/>
          </w:tcPr>
          <w:p>
            <w:pPr>
              <w:spacing w:after="0"/>
              <w:rPr>
                <w:sz w:val="21"/>
                <w:szCs w:val="21"/>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10,435.9</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w:t>
            </w: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40" w:type="dxa"/>
            <w:vAlign w:val="bottom"/>
          </w:tcPr>
          <w:p>
            <w:pPr>
              <w:spacing w:after="0"/>
              <w:rPr>
                <w:sz w:val="21"/>
                <w:szCs w:val="21"/>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9,679.5</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w:t>
            </w:r>
          </w:p>
        </w:tc>
      </w:tr>
      <w:tr>
        <w:trPr>
          <w:trHeight w:val="21"/>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283"/>
        <w:spacing w:after="0" w:line="246" w:lineRule="auto"/>
        <w:rPr>
          <w:sz w:val="20"/>
          <w:szCs w:val="20"/>
          <w:color w:val="auto"/>
        </w:rPr>
      </w:pPr>
      <w:r>
        <w:rPr>
          <w:rFonts w:ascii="Times New Roman" w:cs="Times New Roman" w:eastAsia="Times New Roman" w:hAnsi="Times New Roman"/>
          <w:sz w:val="18"/>
          <w:szCs w:val="18"/>
          <w:color w:val="auto"/>
        </w:rPr>
        <w:t>In this Quarterly Report on Form 10-Q (Quarterly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LHI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on Form 10-K, and in the Company’s other public filings, press releases, and discussions with Company management, including:</w:t>
      </w:r>
    </w:p>
    <w:p>
      <w:pPr>
        <w:spacing w:after="0" w:line="199" w:lineRule="exact"/>
        <w:rPr>
          <w:sz w:val="20"/>
          <w:szCs w:val="20"/>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United States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the U.S. Department of Agriculture, the Medicine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Healthcare products Regulatory Agency in the United Kingdom,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68" w:lineRule="exact"/>
        <w:rPr>
          <w:sz w:val="20"/>
          <w:szCs w:val="20"/>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7" w:lineRule="exact"/>
        <w:rPr>
          <w:rFonts w:ascii="Times New Roman" w:cs="Times New Roman" w:eastAsia="Times New Roman" w:hAnsi="Times New Roman"/>
          <w:sz w:val="18"/>
          <w:szCs w:val="18"/>
          <w:color w:val="auto"/>
        </w:rPr>
      </w:pPr>
    </w:p>
    <w:p>
      <w:pPr>
        <w:ind w:left="640" w:hanging="55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7" w:lineRule="exact"/>
        <w:rPr>
          <w:rFonts w:ascii="Times New Roman" w:cs="Times New Roman" w:eastAsia="Times New Roman" w:hAnsi="Times New Roman"/>
          <w:sz w:val="18"/>
          <w:szCs w:val="18"/>
          <w:color w:val="auto"/>
        </w:rPr>
      </w:pPr>
    </w:p>
    <w:p>
      <w:pPr>
        <w:jc w:val="both"/>
        <w:ind w:left="660" w:right="2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1"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0"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6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the Company’s former clinical development and commercialization services business (Spin-off) Fortrea Holdings Inc. (Fortrea), including but not limited to factors that could adversely affect the Company’s ability to realize the expected benefits of the Spin-off or the failure of the Spin-off to qualify as a tax-free transaction for U.S. federal income tax purposes.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w:t>
      </w:r>
    </w:p>
    <w:p>
      <w:pPr>
        <w:spacing w:after="0" w:line="135"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Company’s revenues were $3,563.5, an increase of 8.6% from $3,282.0 for the corresponding period in 2024. The 8.6% increase for the three months ended September 30, 2025, as compared to the corresponding period in 2024, was due to organic revenue of 6.2%, acquisitions, net of divestitures, of 1.7%, and favorable foreign currency translation of 0.7%.</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Company’s revenues were $10,435.9, an increase of 7.8% from $9,679.5 for the corresponding period in 2024. The 7.8% increase for the nine months ended September 30, 2025, as compared to the corresponding period in 2024, was due to organic revenue of 4.6%, acquisitions, net of divestitures, of 3.0%, and favorable foreign currency translation of 0.3%.</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defines organic growth as the change in revenue excluding the year-over-year impact of acquisitions, divestitures, and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12-month period following the closing of each transaction.</w:t>
      </w:r>
    </w:p>
    <w:p>
      <w:pPr>
        <w:spacing w:after="0" w:line="11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June 30, 2023, the Company completed the Spin-off. The Transition Services Agreement (TSA) dated June 29, 2023 between Fortrea and Laboratory Corporation of America Holdings (LCAH) expired on June 30, 2025, and all services provided under the TSA terminated on or before the expiration date.</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4, 2025, the U.S. government enacted into law the One Big Beautiful Bill Act (OBBBA), which includes provisions addressing regulations and federal funding affecting healthcare. These provisions include, but are not limited to, changes to Medicaid and the Affordable Care Act, and could lead to revised regulatory requirements and reduced federal funding. As a result of these changes, the Company could experience a decline in utilization of its diagnostic testing services due to a reduction in overall insurance coverage, which may cause the Company’s revenue to decrease. However, the Company currently believes any such reduction would not likely have a material impact on its results of operations in future periods. The potential impacts described above represent the Company’s assessment at this time, and the Company will continue to evaluate the impact of the OBBBA on its business and operations as the legislation’s provisions continue to become effective through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performance.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4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38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6"/>
        </w:trPr>
        <w:tc>
          <w:tcPr>
            <w:tcW w:w="740" w:type="dxa"/>
            <w:vAlign w:val="bottom"/>
            <w:tcBorders>
              <w:bottom w:val="single" w:sz="8" w:color="CCEEFF"/>
            </w:tcBorders>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r>
      <w:tr>
        <w:trPr>
          <w:trHeight w:val="22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revenues for the three months ended September 30, 2025, were $2,769.6, an increase of 8.5% over $2,553.5 in the third quarter of 2024. The increase was primarily due to organic revenue of 6.3% and acquisitions, net of divestitures, of 2.2%.</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total volume, measured by requisitions, increased by 4.7% as organic volume increased by 3.5% and acquisition volume, net of divestitures, contributed 1.2%. Price/mix increased by 3.7% primarily due to organic growth of 2.8% and acquisitions, net of divestitures, of 1.0%.</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revenues for the three months ended September 30, 2025, were $799.1, an increase of 8.3% over $737.7 in the third quarter of 2024. The increase was due to organic growth of 5.3% and favorable foreign currency translation of 3.0%.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41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36"/>
        </w:trPr>
        <w:tc>
          <w:tcPr>
            <w:tcW w:w="132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2,538.4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2,377.6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6.8% during the three months ended September 30, 2025, as compared with the corresponding period in 2024. Cost of revenues as a percentage of revenues during the three months ended September 30, 2025, decreased to 71.2% as compared to 72.4% in the corresponding period in 2024. This decrease was primarily due to operational efficiencies and the impact from revenue growth, including the performance of Invitae.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37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18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15.5% and 17.3% during the three months ended September 30, 2025, and 2024, respectively. The decrease was primarily due to the impact from revenue growth, including the performance of Invitae, and a decrease in costs related to the Spin-off of Fortrea.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130"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9"/>
        </w:trPr>
        <w:tc>
          <w:tcPr>
            <w:tcW w:w="30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impairment charges for the three months ended September 30, 2025, were due to the write-off of certain capitalized software costs.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6"/>
        </w:trPr>
        <w:tc>
          <w:tcPr>
            <w:tcW w:w="262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bl>
    <w:p>
      <w:pPr>
        <w:spacing w:after="0" w:line="19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recorded net restructuring and other charges of $5.9. The charges were comprised of $4.2 related to severance and other personnel costs, $1.8 in facility-related costs, and $0.2 in contract termination costs. The charges were adjusted by the reversal of a previously established liability of $0.2 in unused severance and other personnel costs and $0.1 in unused facility-related costs.</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recorded net restructuring and other charges of $18.0. The charges were comprised of $19.3 related to severance and other personnel costs. The charges were adjusted by the reversal of a previously established liability of $1.2 in unused severance and other personnel costs and $0.1 in unused facility-related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6"/>
        </w:trPr>
        <w:tc>
          <w:tcPr>
            <w:tcW w:w="128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interest expense increased 10.9% as compared with the corresponding period in 2024. The increase was primarily due to higher weighted-average interest rates and an increase in the average amount of total debt outstanding during the three months ended September 30, 2025, when compared to the three months ended September 30,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6"/>
        </w:trPr>
        <w:tc>
          <w:tcPr>
            <w:tcW w:w="19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6"/>
        </w:trPr>
        <w:tc>
          <w:tcPr>
            <w:tcW w:w="192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r>
    </w:tbl>
    <w:p>
      <w:pPr>
        <w:spacing w:after="0" w:line="13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healthcare industry. The increase in Equity method loss, net for the three months ended September 30, 2025, as compared with the corresponding period in 2024, was primarily due to the loss recognized from the SYNLAB investment that closed in the first quarter of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4"/>
        </w:trPr>
        <w:tc>
          <w:tcPr>
            <w:tcW w:w="8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37"/>
        </w:trPr>
        <w:tc>
          <w:tcPr>
            <w:tcW w:w="8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9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bl>
    <w:p>
      <w:pPr>
        <w:spacing w:after="0" w:line="1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change in Other, net for the three months ended September 30, 2025, as compared to the three months ended September 30, 2024, is primarily due to the TSA expiration resulting in a $18.4 decrease of fees charged to Fortrea for the three months ended September 30, 2025, as compared with the corresponding period in 2024, related to administrative and information technology systems support. The costs to provide these transition services are included in Operating income, but the service fees are included in Other, net. In addition, there were investment gains of $2.3, recorded during the three months ended September 30, 2025, compared to investment losses of $1.6 for the corresponding period of 2024. Foreign currency transaction losses of $4.9 were recognized for the three months ended September 30, 2025, as compared to losses of $10.0 for the corresponding period of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210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3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210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 of earnings before taxes</w:t>
            </w:r>
          </w:p>
        </w:tc>
        <w:tc>
          <w:tcPr>
            <w:tcW w:w="13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22.4 %</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September 30, 2025, as compared to the three months ended September 30, 2024, was primarily attributable to the jurisdictional mix of earnings.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9"/>
        </w:trPr>
        <w:tc>
          <w:tcPr>
            <w:tcW w:w="234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414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37"/>
        </w:trPr>
        <w:tc>
          <w:tcPr>
            <w:tcW w:w="234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122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22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0"/>
        </w:trPr>
        <w:tc>
          <w:tcPr>
            <w:tcW w:w="2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Dx segment operating income was $450.4 for the three months ended September 30, 2025, an increase of $63.0 over operating income of $387.4 in the corresponding period of 2024, and Dx segment operating margin increased 110 basis points year-over-year. The increase in operating income and operating margin was primarily due to organic demand, including the performance of Invitae, as well as slight favorability from weather during the three months ended September 30, 2025, as compared to the corresponding period of 2024.</w:t>
      </w:r>
    </w:p>
    <w:p>
      <w:pPr>
        <w:spacing w:after="0" w:line="99"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segment operating income was $132.2 for the three months ended September 30, 2025, an increase of $11.3 over operating income of $120.9 in the corresponding period of 2024, and BLS segment operating margin increased 20 basis points year-over-year. The increase in operating income was primarily due to an increase in organic demand.</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$109.9 for the three months ended September 30, 2025, a decrease of $62.6 compared to corporate expenses of $172.5 in the corresponding period of 2024, primarily due to decreases in acquisition-related costs and costs related to the Spin-off of Fortrea.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74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6"/>
        </w:trPr>
        <w:tc>
          <w:tcPr>
            <w:tcW w:w="740" w:type="dxa"/>
            <w:vAlign w:val="bottom"/>
            <w:tcBorders>
              <w:bottom w:val="single" w:sz="8" w:color="CCEEFF"/>
            </w:tcBorders>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
        </w:trPr>
        <w:tc>
          <w:tcPr>
            <w:tcW w:w="7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revenues for the nine months ended September 30, 2025, were $8,148.0, an increase of 7.8% over $7,558.1 during the nine months ended September 30, 2024. The increase was due to organic revenue of 4.1% and acquisitions, net of divestitures, of 3.8%, partially offset by unfavorable foreign currency translation of 0.1%.</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total volume, measured by requisitions, increased by 4.2% as organic volume increased by 2.6% and acquisition volume, net of divestitures, contributed 1.6%. Price/mix increased by 3.6% due to acquisitions, net of divestitures, of 2.2% and organic growth of 1.5%, partially offset by unfavorable foreign currency translation of 0.1%.</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revenues for the nine months ended September 30, 2025, were $2,305.2, an increase of 6.9% over $2,155.6 during the nine months ended September 30, 2024. The increase was due to organic growth of 5.2% and favorable foreign currency translation of 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416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4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7,416.6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6,951.4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Cost of revenues increased 6.7% during the nine months ended September 30, 2025, as compared with the corresponding period in 2024. Cost of revenues as a percentage of revenues during the nine months ended September 30, 2025, decreased to 71.1% as compared to 71.8% in the corresponding period in 2024. This decrease was primarily due to growth in demand as the Company leveraged the growth of its revenues and operational efficiencies, including the performance of Invitae.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358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416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40" w:type="dxa"/>
            <w:vAlign w:val="bottom"/>
          </w:tcPr>
          <w:p>
            <w:pPr>
              <w:spacing w:after="0"/>
              <w:rPr>
                <w:sz w:val="24"/>
                <w:szCs w:val="24"/>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1,677.7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1,634.8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16.1% and 16.9% during the nine months ended September 30, 2025, and 2024, respectively. The decrease was primarily due to growth in demand as the Company leveraged the growth of its revenues and a decrease in costs related to the Spin-off of Fortrea, partially offset by higher personnel costs and the impact from Invitae.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36"/>
        </w:trPr>
        <w:tc>
          <w:tcPr>
            <w:tcW w:w="35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bl>
    <w:p>
      <w:pPr>
        <w:spacing w:after="0" w:line="130"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30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98"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impairment charges for the nine months ended September 30, 2025, were due to the write-off of certain capitalized software costs. The impairment charges for the nine months ended September 30, 2024, were primarily due to the decommissioning of a robotic asset.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7"/>
        </w:trPr>
        <w:tc>
          <w:tcPr>
            <w:tcW w:w="262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(52.6)%</w:t>
            </w:r>
          </w:p>
        </w:tc>
      </w:tr>
    </w:tbl>
    <w:p>
      <w:pPr>
        <w:spacing w:after="0" w:line="18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net restructuring and other charges of $16.4. The charges were comprised of $21.2 related to severance and other personnel costs, $15.3 in contract termination costs, and $9.1 in facility-related costs. The charges were adjusted by the reversal of a previously established liability of $27.6 in unused facility-related costs and $1.6 in unused severance and other personnel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net restructuring and other charges of $34.6. The charges were comprised of $34.4 related to severance and other personnel costs and $1.8 in facility-related costs. The charges were adjusted by the reversal of a previously established liability of $1.2 in unused severance and other personnel costs and $0.4 in unused facility-related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bl>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interest expense increased 16.7% as compared with the corresponding period in 2024. The increase was primarily due to higher weighted-average interest rates and an increase in the average amount of total debt outstanding during the nine months ended September 30, 2025, when compared to the nine months ended September 30,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19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37"/>
        </w:trPr>
        <w:tc>
          <w:tcPr>
            <w:tcW w:w="192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 care industry. The increase in Equity method loss, net for the nine months ended September 30, 2025, as compared with the corresponding period in 2024, was primarily due to the loss recognized from the SYNLAB investment that closed in the first quarter of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37"/>
        </w:trPr>
        <w:tc>
          <w:tcPr>
            <w:tcW w:w="780" w:type="dxa"/>
            <w:vAlign w:val="bottom"/>
            <w:tcBorders>
              <w:bottom w:val="single" w:sz="8" w:color="CCEEFF"/>
            </w:tcBorders>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bl>
    <w:p>
      <w:pPr>
        <w:spacing w:after="0" w:line="13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change in Other, net for the nine months ended September 30, 2025, as compared to the nine months ended September 30, 2024, is primarily due to the TSA expiration resulting in a $59.9 decrease of fees charged to Fortrea for the nine months ended September 30, 2025, as compared with the corresponding period in 2024, related to administrative and information technology systems support. The costs to provide these transition services are included in Operating income, but the service fees are included in Other, net. In addition, there were investment losses of $32.4, recorded during the nine months ended September 30, 2025, compared to investment losses of $7.3 for the corresponding period of 2024.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210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3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6"/>
        </w:trPr>
        <w:tc>
          <w:tcPr>
            <w:tcW w:w="210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 of earnings before taxes</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right="20" w:firstLine="283"/>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nine months ended September 30, 2025, as compared to the nine months ended September 30, 2024, was primarily attributable to the jurisdictional mix of earnings.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05"/>
        </w:trPr>
        <w:tc>
          <w:tcPr>
            <w:tcW w:w="236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416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20" w:type="dxa"/>
            <w:vAlign w:val="bottom"/>
          </w:tcPr>
          <w:p>
            <w:pPr>
              <w:spacing w:after="0"/>
              <w:rPr>
                <w:sz w:val="24"/>
                <w:szCs w:val="24"/>
                <w:color w:val="auto"/>
              </w:rPr>
            </w:pPr>
          </w:p>
        </w:tc>
      </w:tr>
      <w:tr>
        <w:trPr>
          <w:trHeight w:val="236"/>
        </w:trPr>
        <w:tc>
          <w:tcPr>
            <w:tcW w:w="236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1,360.7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29"/>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0.5 %</w:t>
            </w: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1,723.1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118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18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1,117.1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1"/>
        </w:trPr>
        <w:tc>
          <w:tcPr>
            <w:tcW w:w="2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segment operating income was $1,360.7 for the nine months ended September 30, 2025, an increase of $113.9 over operating income of $1,246.8 in the corresponding period of 2024, and Dx segment operating margin increased 20 basis points year-over-year. The increase in operating margin was primarily due to increased demand.</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segment operating income was $362.4 for the nine months ended September 30, 2025, an increase of $34.2 over operating income of $328.2 in the corresponding period of 2024, and BLS segment operating margin increased 50 basis points year-over-year. The increase in operating margin was primarily due to increased organic demand and operating efficiencies, partially offset by higher personnel costs.</w:t>
      </w:r>
    </w:p>
    <w:p>
      <w:pPr>
        <w:spacing w:after="0" w:line="9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$381.5 for the nine months ended September 30, 2025, a decrease of $100.2 over corporate expenses of $481.7 in the corresponding period of 2024, primarily due to decreases in costs related to the Spin-off of Fortrea and acquisition-related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in millions, except per share data)</w:t>
      </w:r>
    </w:p>
    <w:p>
      <w:pPr>
        <w:spacing w:after="0" w:line="13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Company’s cash flows were as follows: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85"/>
        </w:trPr>
        <w:tc>
          <w:tcPr>
            <w:tcW w:w="7520" w:type="dxa"/>
            <w:vAlign w:val="bottom"/>
          </w:tcPr>
          <w:p>
            <w:pPr>
              <w:spacing w:after="0"/>
              <w:rPr>
                <w:sz w:val="24"/>
                <w:szCs w:val="24"/>
                <w:color w:val="auto"/>
              </w:rPr>
            </w:pPr>
          </w:p>
        </w:tc>
        <w:tc>
          <w:tcPr>
            <w:tcW w:w="37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5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September 30, 2025, and 2024, totaled $598.1 and $1,517.3, respectively. Cash and cash equivalents consist of highly liquid instruments, such as time deposits, and other money market investments, which have original maturities of three months or less.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3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Company’s operations provided $1,026.3 of cash as compared to $808.6 during the same period in 2024. The $217.7 increase in cash provided by operations in 2025 as compared with the corresponding 2024 period was primarily due to higher earnings.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2025, was $804.1 as compared to $1,157.2 for the nine months ended September 30, 2024. The decrease in cash used for investing activities for the nine months ended September 30, 2025, as compared to the corresponding period in 2024, was primarily due to a decrease in business acquisitions and lower capital expenditures, partially offset by the investment in SYNLAB during the nine months ended September 30, 2025.</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Capital expenditures were $310.6 and $377.8 for the nine months ended September 30, 2025, and 2024, respectively. Capital expenditures for the nine months ended September 30, 2025, were 3.0% of revenues, primarily in connection with projects to support growth in the Company’s core businesses, facility expansion and updates, and further acquisition integration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2025, was $1,166.6 as compared to net cash provided by financing activities of $1,326.6 for the nine months ended September 30, 2024. The change in cash flows from financing activities for the nine months ended September 30, 2025, as compared to the nine months ended September 30, 2024, was primarily due to a decrease of proceeds from senior note offerings of $2,000.0, an increase in senior note payments of $400.0, a decrease of proceeds from the Company’s accounts receivable securitization facility of $75.0, and an increase in common stock repurchases of $50.0.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Cash and cash equivalents, at September 30, 2025, the Company had $1,000.0 of available borrowings under its revolving credit facility, which, as amended on June 27, 2025, expires in 2030. Under the Company’s credit facilities and indentures relating to the Company’s senior notes, the Company is subject to negative covenants limiting subsidiary indebtedness and certain other covenants typical for investment grade-rated borrowers, and with respect to the credit facilities, the Company is required to maintain certain leverage ratios. The Company was in compliance with all covenants under the credit facilities and the indentures related to the Company’s outstanding senior notes as of September 30, 2025. The Company expects that it will remain in compliance with all covenants associated with its existing debt obligations for the next 12 months.</w:t>
      </w:r>
    </w:p>
    <w:p>
      <w:pPr>
        <w:spacing w:after="0" w:line="10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outstanding authorization from its board of directors (Board) to purchase up to $1,055.4 maximum value of Company common stock, par value $0.10 per share (Common Stock). The repurchase authorization has no expiration date.</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 Company paid $181.4 in Common Stock dividends. On October 8, 2025, the Company announced a cash dividend of $0.72 per share of Common Stock, or approximately $60.6 in the aggregate. The dividend will be payable on December 11, 2025, to stockholders of record of all issued and outstanding shares of Common Stock at the close of business on November 26, 2025. The declaration and payment of any future dividends will be at the discretion of the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September 30, 2025, there was $3,096.6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the Company has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investment grade debt ratings from Moody’s and S&amp;P Global Ratings contribute to the Company’s ability to access capital markets.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does not have any variable interest entities or special purpose entities whose financial results are not included in the Company’s Condensed Consolidated Financial Statements and the Company does not have any off-balance sheet financing other than normal, short-term leases and letters of credit.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outstanding debt instruments. At September 30, 2025, the Company had total future payments of $5,622.0, with $500.4 of payments due within 12 months, which the Company anticipates refinancing in future periods.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leases for patient service centers, laboratories and testing facilities, clinical facilities, general office spaces, vehicles, and office and laboratory equipment. At September 30, 2025, the Company had total future payments for short-term and long-term leases of $1,159.5, with payments of $230.3 due within 12 months.</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pending acquisitions of select assets of the outreach business from Community Health Systems, Inc. (CHS) and select clinical laboratory assets from Empire City Laboratories, Inc. (Empire City), the Company expects to pay up to $445.0, which includes $85.0 of consideration contingent on performance. Subject to customary closing conditions and applicable regulatory approvals, the Company expects the acquisitions of select assets from CHS and Empire City to close 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fourth quarter of 2025 and the first quarter of 2026, respectively. See Note 3 Business Acquisitions and Dispositions to the Company’s Condensed Consolidated Financial Statements for additional information.</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provided letters of credit aggregating approximately $103.3, primarily in connection with certain insurance programs which are renewed annually.</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CRITICAL ACCOUNTING ESTIMATES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that appear in Part II - Item 7 of the Company's Annual Report on Form 10-K for the year 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IMPACT OF RECENT ACCOUNTING PRONOUNCEMENTS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if any, is discussed in Note 1 Basis of Financial Statement Presentation to the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3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4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13.5% and 13.6% of the Company’s revenues for the nine months ended September 30, 2025, and 2024, respectively, were denominated in currencies other than the U.S. dollar (USD). The Company’s Condensed Consolidated Financial Statements are reported in USD and, accordingly, fluctuations in exchange rates will affect the translation of revenues and expenses denominated in foreign currencies into USD for the purpose of reporting the Company’s consolidated financial results. In the third quarter of 2025 and the year ended December 31, 2024,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nine months ended September 30, 2025, by approximately $23.9. Accumulated currency translation adjustments recorded as a separate component of Shareholders’ equity were $(7.8) and $78.3 for the quarter ended September 30, 2025, and 2024, respectively. The Company does not have significant operations in countries in which the economy is considered to be highly inflationary.</w:t>
      </w:r>
    </w:p>
    <w:p>
      <w:pPr>
        <w:spacing w:after="0" w:line="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2025, the Company had 13 open foreign exchange forward contracts with various amounts maturing monthly through October 2025 with a notional value totaling approximately $311.2. At December 31, 2024, the Company had 12 open foreign exchange forward contracts with various amounts maturing monthly through January 2025 with a notional value totaling approximately $302.4.</w:t>
      </w:r>
    </w:p>
    <w:p>
      <w:pPr>
        <w:spacing w:after="0" w:line="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party to USD to Swiss Franc cross-currency swap agreements with an aggregate notional amount of $1,200.0, with $300.0 maturing in 2029, $300.0 maturing in 2031, and $600.0 maturing in 2034, as a hedge against the impact of foreign exchange movements on its net investment in a Swiss Franc functional currency subsidiary.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mix of fixed and variable rate debt including the utilization of derivative financial instruments, primarily interest rate swaps.</w:t>
      </w:r>
    </w:p>
    <w:p>
      <w:pPr>
        <w:spacing w:after="0" w:line="14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Borrowings under the Company’s term loan credit facilities, and revolving credit facility are subject to variable interest rates, unless fixed through interest rate swaps or other agreements.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currently based on the three-month Secured Overnight Financing Rate, plus 1.0706%.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September 30,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appear in Part I - Item 1A of the Company's Annual Report on Form 10-K for the year ended December 31, 2024.</w:t>
      </w:r>
    </w:p>
    <w:p>
      <w:pPr>
        <w:spacing w:after="0" w:line="63" w:lineRule="exact"/>
        <w:rPr>
          <w:sz w:val="20"/>
          <w:szCs w:val="20"/>
          <w:color w:val="auto"/>
        </w:rPr>
      </w:pPr>
    </w:p>
    <w:p>
      <w:pPr>
        <w:ind w:left="660" w:right="4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September 30, 2025, the Company repurchased the following shares of its common stock: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Maximum Dollar Value of</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6"/>
                <w:szCs w:val="16"/>
                <w:color w:val="auto"/>
              </w:rPr>
            </w:pPr>
          </w:p>
        </w:tc>
        <w:tc>
          <w:tcPr>
            <w:tcW w:w="122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Repurchased Under the</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Repurchased</w:t>
            </w:r>
          </w:p>
        </w:tc>
        <w:tc>
          <w:tcPr>
            <w:tcW w:w="1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outstanding authorization from its Board to purchase up to $1,055.4 maximum value of Common Stock. The repurchase authorization has no expiration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3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22.1*</w:t>
            </w:r>
          </w:p>
        </w:tc>
        <w:tc>
          <w:tcPr>
            <w:tcW w:w="314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Subsidiary Issuers of Guaranteed Securities</w:t>
            </w:r>
          </w:p>
        </w:tc>
        <w:tc>
          <w:tcPr>
            <w:tcW w:w="6480" w:type="dxa"/>
            <w:vAlign w:val="bottom"/>
            <w:gridSpan w:val="4"/>
          </w:tcPr>
          <w:p>
            <w:pPr>
              <w:spacing w:after="0"/>
              <w:rPr>
                <w:sz w:val="16"/>
                <w:szCs w:val="16"/>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140" w:type="dxa"/>
            <w:vAlign w:val="bottom"/>
            <w:gridSpan w:val="2"/>
          </w:tcPr>
          <w:p>
            <w:pPr>
              <w:spacing w:after="0"/>
              <w:rPr>
                <w:sz w:val="19"/>
                <w:szCs w:val="19"/>
                <w:color w:val="auto"/>
              </w:rPr>
            </w:pPr>
          </w:p>
        </w:tc>
      </w:tr>
      <w:tr>
        <w:trPr>
          <w:trHeight w:val="35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Written Statement of Chief Executive Officer and Chief Financial Officer pursuant to Section 906 of the Sarbanes-Oxley Act of 2002</w:t>
            </w:r>
          </w:p>
        </w:tc>
      </w:tr>
      <w:tr>
        <w:trPr>
          <w:trHeight w:val="156"/>
        </w:trPr>
        <w:tc>
          <w:tcPr>
            <w:tcW w:w="1560" w:type="dxa"/>
            <w:vAlign w:val="bottom"/>
          </w:tcPr>
          <w:p>
            <w:pPr>
              <w:spacing w:after="0"/>
              <w:rPr>
                <w:sz w:val="13"/>
                <w:szCs w:val="13"/>
                <w:color w:val="auto"/>
              </w:rPr>
            </w:pPr>
          </w:p>
        </w:tc>
        <w:tc>
          <w:tcPr>
            <w:tcW w:w="18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77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56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3" w:lineRule="exact"/>
        <w:rPr>
          <w:sz w:val="20"/>
          <w:szCs w:val="20"/>
          <w:color w:val="auto"/>
        </w:rPr>
      </w:pPr>
    </w:p>
    <w:p>
      <w:pPr>
        <w:ind w:left="1120" w:hanging="1094"/>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20" w:hanging="1094"/>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153"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c>
          <w:tcPr>
            <w:tcW w:w="174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760" w:type="dxa"/>
            <w:vAlign w:val="bottom"/>
          </w:tcPr>
          <w:p>
            <w:pPr>
              <w:spacing w:after="0"/>
              <w:rPr>
                <w:sz w:val="21"/>
                <w:szCs w:val="21"/>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2320" w:type="dxa"/>
            <w:vAlign w:val="bottom"/>
            <w:gridSpan w:val="2"/>
          </w:tcPr>
          <w:p>
            <w:pPr>
              <w:spacing w:after="0"/>
              <w:rPr>
                <w:sz w:val="21"/>
                <w:szCs w:val="21"/>
                <w:color w:val="auto"/>
              </w:rPr>
            </w:pPr>
          </w:p>
        </w:tc>
      </w:tr>
      <w:tr>
        <w:trPr>
          <w:trHeight w:val="230"/>
        </w:trPr>
        <w:tc>
          <w:tcPr>
            <w:tcW w:w="760" w:type="dxa"/>
            <w:vAlign w:val="bottom"/>
          </w:tcPr>
          <w:p>
            <w:pPr>
              <w:spacing w:after="0"/>
              <w:rPr>
                <w:sz w:val="19"/>
                <w:szCs w:val="19"/>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760" w:type="dxa"/>
            <w:vAlign w:val="bottom"/>
          </w:tcPr>
          <w:p>
            <w:pPr>
              <w:spacing w:after="0"/>
              <w:rPr>
                <w:sz w:val="20"/>
                <w:szCs w:val="20"/>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31, 2025</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280"/>
          </w:cols>
          <w:pgMar w:left="320" w:top="121" w:right="1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September 30, 2025.</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4" w:lineRule="exact"/>
        <w:rPr>
          <w:sz w:val="20"/>
          <w:szCs w:val="20"/>
          <w:color w:val="auto"/>
        </w:rPr>
      </w:pPr>
    </w:p>
    <w:p>
      <w:pPr>
        <w:ind w:left="20" w:right="580"/>
        <w:spacing w:after="0" w:line="250" w:lineRule="auto"/>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Indenture, dated as of November 19, 2010, by and between LCAH and U.S. Bank Trust Company, National Association, as trustee (the “2010 Indenture”))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50" w:lineRule="exact"/>
        <w:rPr>
          <w:sz w:val="20"/>
          <w:szCs w:val="20"/>
          <w:color w:val="auto"/>
        </w:rPr>
      </w:pPr>
    </w:p>
    <w:p>
      <w:pPr>
        <w:ind w:left="20" w:right="880"/>
        <w:spacing w:after="0" w:line="250"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obligors under the Senior Notes consisted of LHI, as guarantor, and LCAH, as issuer.</w:t>
      </w:r>
    </w:p>
    <w:p>
      <w:pPr>
        <w:sectPr>
          <w:pgSz w:w="11900" w:h="16838" w:orient="portrait"/>
          <w:cols w:equalWidth="0" w:num="1">
            <w:col w:w="11240"/>
          </w:cols>
          <w:pgMar w:left="320" w:top="14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October 31,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52"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October 31,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September 30, 2025,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r>
      <w:tr>
        <w:trPr>
          <w:trHeight w:val="245"/>
        </w:trPr>
        <w:tc>
          <w:tcPr>
            <w:tcW w:w="5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2025</w:t>
            </w:r>
          </w:p>
        </w:tc>
      </w:tr>
      <w:tr>
        <w:trPr>
          <w:trHeight w:val="79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580" w:type="dxa"/>
            <w:vAlign w:val="bottom"/>
          </w:tcPr>
          <w:p>
            <w:pPr>
              <w:spacing w:after="0"/>
              <w:rPr>
                <w:sz w:val="21"/>
                <w:szCs w:val="21"/>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2025</w:t>
            </w:r>
          </w:p>
        </w:tc>
      </w:tr>
    </w:tbl>
    <w:p>
      <w:pPr>
        <w:sectPr>
          <w:pgSz w:w="11900" w:h="16838" w:orient="portrait"/>
          <w:cols w:equalWidth="0" w:num="1">
            <w:col w:w="10420"/>
          </w:cols>
          <w:pgMar w:left="320" w:top="887" w:right="115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120"/>
      </w:cols>
      <w:pgMar w:left="32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29"/>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2025-10-31T11:16:37Z</dcterms:created>
  <dcterms:modified xsi:type="dcterms:W3CDTF">2025-10-31T11:16:37Z</dcterms:modified>
</cp:coreProperties>
</file>