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40" w:after="283"/>
        <w:jc w:val="center"/>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40" w:after="283"/>
        <w:jc w:val="center"/>
        <w:rPr/>
      </w:pPr>
      <w:r>
        <w:rPr>
          <w:rFonts w:ascii="Times New Roman;serif" w:hAnsi="Times New Roman;serif"/>
          <w:b w:val="false"/>
          <w:color w:val="000000"/>
          <w:sz w:val="20"/>
        </w:rPr>
        <w:t xml:space="preserve">For the quarterly period ended </w:t>
      </w:r>
      <w:r>
        <w:rPr>
          <w:rFonts w:ascii="Times New Roman;serif" w:hAnsi="Times New Roman;serif"/>
          <w:b w:val="false"/>
          <w:color w:val="000000"/>
          <w:sz w:val="20"/>
          <w:u w:val="single"/>
        </w:rPr>
        <w:t>June 30, 2026</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140" w:after="283"/>
        <w:jc w:val="center"/>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lineRule="auto" w:line="288" w:before="140" w:after="283"/>
        <w:jc w:val="center"/>
        <w:rPr/>
      </w:pPr>
      <w:r>
        <w:rPr>
          <w:rFonts w:ascii="Times New Roman;serif" w:hAnsi="Times New Roman;serif"/>
          <w:b w:val="false"/>
          <w:color w:val="000000"/>
          <w:sz w:val="20"/>
        </w:rPr>
        <w:t>Commission file number </w:t>
      </w:r>
      <w:r>
        <w:rPr>
          <w:rFonts w:ascii="Times New Roman;serif" w:hAnsi="Times New Roman;serif"/>
          <w:b w:val="false"/>
          <w:color w:val="000000"/>
          <w:sz w:val="20"/>
          <w:u w:val="single"/>
        </w:rPr>
        <w:t>1-11353</w:t>
      </w:r>
      <w:r>
        <w:rPr>
          <w:color w:val="000000"/>
        </w:rPr>
        <w:t xml:space="preserve"> </w:t>
      </w:r>
    </w:p>
    <w:p>
      <w:pPr>
        <w:pStyle w:val="TextBody"/>
        <w:bidi w:val="0"/>
        <w:spacing w:before="120" w:after="283"/>
        <w:jc w:val="center"/>
        <w:rPr/>
      </w:pPr>
      <w:r>
        <w:rPr/>
        <w:drawing>
          <wp:inline distT="0" distB="0" distL="0" distR="0">
            <wp:extent cx="18288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85775"/>
                    </a:xfrm>
                    <a:prstGeom prst="rect">
                      <a:avLst/>
                    </a:prstGeom>
                  </pic:spPr>
                </pic:pic>
              </a:graphicData>
            </a:graphic>
          </wp:inline>
        </w:drawing>
      </w:r>
      <w:bookmarkStart w:id="0" w:name="i-1"/>
      <w:bookmarkEnd w:id="0"/>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 xml:space="preserve">LABCORP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u w:val="single"/>
        </w:rPr>
        <w:t>336-229-1127</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83" w:type="dxa"/>
        <w:jc w:val="left"/>
        <w:tblInd w:w="0" w:type="dxa"/>
        <w:tblLayout w:type="fixed"/>
        <w:tblCellMar>
          <w:top w:w="28" w:type="dxa"/>
          <w:left w:w="28" w:type="dxa"/>
          <w:bottom w:w="28" w:type="dxa"/>
          <w:right w:w="28" w:type="dxa"/>
        </w:tblCellMar>
      </w:tblPr>
      <w:tblGrid>
        <w:gridCol w:w="1021"/>
        <w:gridCol w:w="894"/>
        <w:gridCol w:w="905"/>
        <w:gridCol w:w="109"/>
        <w:gridCol w:w="109"/>
        <w:gridCol w:w="109"/>
        <w:gridCol w:w="474"/>
        <w:gridCol w:w="474"/>
        <w:gridCol w:w="476"/>
        <w:gridCol w:w="109"/>
        <w:gridCol w:w="109"/>
        <w:gridCol w:w="109"/>
        <w:gridCol w:w="962"/>
        <w:gridCol w:w="962"/>
        <w:gridCol w:w="1361"/>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4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As of August 4, 2026, there were 81.1 million shares of the registrant’s common stock, $0.10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before="0" w:after="0"/>
        <w:jc w:val="left"/>
        <w:rPr/>
      </w:pPr>
      <w:r>
        <w:rPr/>
      </w:r>
    </w:p>
    <w:tbl>
      <w:tblPr>
        <w:tblW w:w="9301" w:type="dxa"/>
        <w:jc w:val="left"/>
        <w:tblInd w:w="0" w:type="dxa"/>
        <w:tblLayout w:type="fixed"/>
        <w:tblCellMar>
          <w:top w:w="28" w:type="dxa"/>
          <w:left w:w="28" w:type="dxa"/>
          <w:bottom w:w="28" w:type="dxa"/>
          <w:right w:w="28" w:type="dxa"/>
        </w:tblCellMar>
      </w:tblPr>
      <w:tblGrid>
        <w:gridCol w:w="496"/>
        <w:gridCol w:w="435"/>
        <w:gridCol w:w="435"/>
        <w:gridCol w:w="2434"/>
        <w:gridCol w:w="2434"/>
        <w:gridCol w:w="2496"/>
        <w:gridCol w:w="167"/>
        <w:gridCol w:w="167"/>
        <w:gridCol w:w="237"/>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0">
              <w:r>
                <w:rPr>
                  <w:rStyle w:val="InternetLink"/>
                  <w:rFonts w:ascii="Times New Roman;serif" w:hAnsi="Times New Roman;serif"/>
                  <w:b w:val="false"/>
                  <w:color w:val="0000FF"/>
                  <w:sz w:val="20"/>
                  <w:u w:val="single"/>
                </w:rPr>
                <w:t>Commonly Used Abbreviations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0">
              <w:r>
                <w:rPr>
                  <w:rStyle w:val="InternetLink"/>
                  <w:rFonts w:ascii="Times New Roman;serif" w:hAnsi="Times New Roman;serif"/>
                  <w:b w:val="false"/>
                  <w:color w:val="0000FF"/>
                  <w:sz w:val="20"/>
                  <w:u w:val="single"/>
                </w:rPr>
                <w:t>2</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3">
              <w:r>
                <w:rPr>
                  <w:rStyle w:val="InternetLink"/>
                  <w:rFonts w:ascii="Times New Roman;serif" w:hAnsi="Times New Roman;serif"/>
                  <w:b/>
                  <w:color w:val="0000FF"/>
                  <w:sz w:val="20"/>
                  <w:u w:val="single"/>
                </w:rPr>
                <w:t>Part I.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3">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3">
              <w:r>
                <w:rPr>
                  <w:rStyle w:val="InternetLink"/>
                  <w:rFonts w:ascii="Times New Roman;serif" w:hAnsi="Times New Roman;serif"/>
                  <w:b w:val="false"/>
                  <w:color w:val="0000FF"/>
                  <w:sz w:val="20"/>
                  <w:u w:val="single"/>
                </w:rPr>
                <w:t>3</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6">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6">
              <w:r>
                <w:rPr>
                  <w:rStyle w:val="InternetLink"/>
                  <w:rFonts w:ascii="Times New Roman;serif" w:hAnsi="Times New Roman;serif"/>
                  <w:b w:val="false"/>
                  <w:color w:val="0000FF"/>
                  <w:sz w:val="20"/>
                  <w:u w:val="single"/>
                </w:rPr>
                <w:t>3</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22">
              <w:r>
                <w:rPr>
                  <w:rStyle w:val="InternetLink"/>
                  <w:rFonts w:ascii="Times New Roman;serif" w:hAnsi="Times New Roman;serif"/>
                  <w:b w:val="false"/>
                  <w:color w:val="0000FF"/>
                  <w:sz w:val="20"/>
                  <w:u w:val="single"/>
                </w:rPr>
                <w:t>Condensed Consolidated Statements of Operations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22">
              <w:r>
                <w:rPr>
                  <w:rStyle w:val="InternetLink"/>
                  <w:rFonts w:ascii="Times New Roman;serif" w:hAnsi="Times New Roman;serif"/>
                  <w:b w:val="false"/>
                  <w:color w:val="0000FF"/>
                  <w:sz w:val="20"/>
                  <w:u w:val="single"/>
                </w:rPr>
                <w:t>4</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25">
              <w:r>
                <w:rPr>
                  <w:rStyle w:val="InternetLink"/>
                  <w:rFonts w:ascii="Times New Roman;serif" w:hAnsi="Times New Roman;serif"/>
                  <w:b w:val="false"/>
                  <w:color w:val="0000FF"/>
                  <w:sz w:val="20"/>
                  <w:u w:val="single"/>
                </w:rPr>
                <w:t>Condensed Consolidated Statements of Comprehensive Earnings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25">
              <w:r>
                <w:rPr>
                  <w:rStyle w:val="InternetLink"/>
                  <w:rFonts w:ascii="Times New Roman;serif" w:hAnsi="Times New Roman;serif"/>
                  <w:b w:val="false"/>
                  <w:color w:val="0000FF"/>
                  <w:sz w:val="20"/>
                  <w:u w:val="singl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28">
              <w:r>
                <w:rPr>
                  <w:rStyle w:val="InternetLink"/>
                  <w:rFonts w:ascii="Times New Roman;serif" w:hAnsi="Times New Roman;serif"/>
                  <w:b w:val="false"/>
                  <w:color w:val="0000FF"/>
                  <w:sz w:val="20"/>
                  <w:u w:val="single"/>
                </w:rPr>
                <w:t>Condensed Consolidated Statements of Changes in Shareholders’ Equity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28">
              <w:r>
                <w:rPr>
                  <w:rStyle w:val="InternetLink"/>
                  <w:rFonts w:ascii="Times New Roman;serif" w:hAnsi="Times New Roman;serif"/>
                  <w:b w:val="false"/>
                  <w:color w:val="0000FF"/>
                  <w:sz w:val="20"/>
                  <w:u w:val="single"/>
                </w:rPr>
                <w:t>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31">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31">
              <w:r>
                <w:rPr>
                  <w:rStyle w:val="InternetLink"/>
                  <w:rFonts w:ascii="Times New Roman;serif" w:hAnsi="Times New Roman;serif"/>
                  <w:b w:val="false"/>
                  <w:color w:val="0000FF"/>
                  <w:sz w:val="20"/>
                  <w:u w:val="single"/>
                </w:rPr>
                <w:t>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34">
              <w:r>
                <w:rPr>
                  <w:rStyle w:val="InternetLink"/>
                  <w:rFonts w:ascii="Times New Roman;serif" w:hAnsi="Times New Roman;serif"/>
                  <w:b w:val="false"/>
                  <w:color w:val="0000FF"/>
                  <w:sz w:val="20"/>
                  <w:u w:val="single"/>
                </w:rPr>
                <w:t>Notes to the Condensed Consolidated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34">
              <w:r>
                <w:rPr>
                  <w:rStyle w:val="InternetLink"/>
                  <w:rFonts w:ascii="Times New Roman;serif" w:hAnsi="Times New Roman;serif"/>
                  <w:b w:val="false"/>
                  <w:color w:val="0000FF"/>
                  <w:sz w:val="20"/>
                  <w:u w:val="single"/>
                </w:rPr>
                <w:t>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85">
              <w:r>
                <w:rPr>
                  <w:rStyle w:val="InternetLink"/>
                  <w:rFonts w:ascii="Times New Roman;serif" w:hAnsi="Times New Roman;serif"/>
                  <w:b w:val="false"/>
                  <w:color w:val="0000FF"/>
                  <w:sz w:val="20"/>
                  <w:u w:val="single"/>
                </w:rPr>
                <w:t>24</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06">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06">
              <w:r>
                <w:rPr>
                  <w:rStyle w:val="InternetLink"/>
                  <w:rFonts w:ascii="Times New Roman;serif" w:hAnsi="Times New Roman;serif"/>
                  <w:b w:val="false"/>
                  <w:color w:val="0000FF"/>
                  <w:sz w:val="20"/>
                  <w:u w:val="single"/>
                </w:rPr>
                <w:t>33</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09">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09">
              <w:r>
                <w:rPr>
                  <w:rStyle w:val="InternetLink"/>
                  <w:rFonts w:ascii="Times New Roman;serif" w:hAnsi="Times New Roman;serif"/>
                  <w:b w:val="false"/>
                  <w:color w:val="0000FF"/>
                  <w:sz w:val="20"/>
                  <w:u w:val="single"/>
                </w:rPr>
                <w:t>34</w:t>
              </w:r>
            </w:hyperlink>
          </w:p>
        </w:tc>
      </w:tr>
    </w:tbl>
    <w:p>
      <w:pPr>
        <w:pStyle w:val="TextBody"/>
        <w:bidi w:val="0"/>
        <w:spacing w:before="0" w:after="0"/>
        <w:jc w:val="center"/>
        <w:rPr/>
      </w:pPr>
      <w:r>
        <w:rPr/>
      </w:r>
    </w:p>
    <w:p>
      <w:pPr>
        <w:pStyle w:val="TextBody"/>
        <w:bidi w:val="0"/>
        <w:spacing w:lineRule="auto" w:line="288" w:before="0" w:after="0"/>
        <w:jc w:val="left"/>
        <w:rPr/>
      </w:pPr>
      <w:hyperlink w:anchor="i8065d45d9c5348eebc489542f8124a7e_112">
        <w:r>
          <w:rPr>
            <w:rStyle w:val="InternetLink"/>
            <w:rFonts w:ascii="Times New Roman;serif" w:hAnsi="Times New Roman;serif"/>
            <w:b/>
            <w:color w:val="0000FF"/>
            <w:sz w:val="20"/>
            <w:u w:val="single"/>
          </w:rPr>
          <w:t>Part II. Other Information</w:t>
        </w:r>
      </w:hyperlink>
    </w:p>
    <w:p>
      <w:pPr>
        <w:pStyle w:val="TextBody"/>
        <w:bidi w:val="0"/>
        <w:spacing w:before="0" w:after="0"/>
        <w:jc w:val="left"/>
        <w:rPr/>
      </w:pPr>
      <w:r>
        <w:rPr/>
      </w:r>
    </w:p>
    <w:tbl>
      <w:tblPr>
        <w:tblW w:w="6102" w:type="dxa"/>
        <w:jc w:val="left"/>
        <w:tblInd w:w="0" w:type="dxa"/>
        <w:tblLayout w:type="fixed"/>
        <w:tblCellMar>
          <w:top w:w="28" w:type="dxa"/>
          <w:left w:w="28" w:type="dxa"/>
          <w:bottom w:w="28" w:type="dxa"/>
          <w:right w:w="28" w:type="dxa"/>
        </w:tblCellMar>
      </w:tblPr>
      <w:tblGrid>
        <w:gridCol w:w="293"/>
        <w:gridCol w:w="258"/>
        <w:gridCol w:w="259"/>
        <w:gridCol w:w="1638"/>
        <w:gridCol w:w="1638"/>
        <w:gridCol w:w="1644"/>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15">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15">
              <w:r>
                <w:rPr>
                  <w:rStyle w:val="InternetLink"/>
                  <w:rFonts w:ascii="Times New Roman;serif" w:hAnsi="Times New Roman;serif"/>
                  <w:b w:val="false"/>
                  <w:color w:val="0000FF"/>
                  <w:sz w:val="20"/>
                  <w:u w:val="single"/>
                </w:rPr>
                <w:t>35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1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18">
              <w:r>
                <w:rPr>
                  <w:rStyle w:val="InternetLink"/>
                  <w:rFonts w:ascii="Times New Roman;serif" w:hAnsi="Times New Roman;serif"/>
                  <w:b w:val="false"/>
                  <w:color w:val="0000FF"/>
                  <w:sz w:val="20"/>
                  <w:u w:val="single"/>
                </w:rPr>
                <w:t>35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21">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21">
              <w:r>
                <w:rPr>
                  <w:rStyle w:val="InternetLink"/>
                  <w:rFonts w:ascii="Times New Roman;serif" w:hAnsi="Times New Roman;serif"/>
                  <w:b w:val="false"/>
                  <w:color w:val="0000FF"/>
                  <w:sz w:val="20"/>
                  <w:u w:val="single"/>
                </w:rPr>
                <w:t>35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24">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24">
              <w:r>
                <w:rPr>
                  <w:rStyle w:val="InternetLink"/>
                  <w:rFonts w:ascii="Times New Roman;serif" w:hAnsi="Times New Roman;serif"/>
                  <w:b w:val="false"/>
                  <w:color w:val="0000FF"/>
                  <w:sz w:val="20"/>
                  <w:u w:val="single"/>
                </w:rPr>
                <w:t>35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27">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27">
              <w:r>
                <w:rPr>
                  <w:rStyle w:val="InternetLink"/>
                  <w:rFonts w:ascii="Times New Roman;serif" w:hAnsi="Times New Roman;serif"/>
                  <w:b w:val="false"/>
                  <w:color w:val="0000FF"/>
                  <w:sz w:val="20"/>
                  <w:u w:val="single"/>
                </w:rPr>
                <w:t>35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30">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30">
              <w:r>
                <w:rPr>
                  <w:rStyle w:val="InternetLink"/>
                  <w:rFonts w:ascii="Times New Roman;serif" w:hAnsi="Times New Roman;serif"/>
                  <w:b w:val="false"/>
                  <w:color w:val="0000FF"/>
                  <w:sz w:val="20"/>
                  <w:u w:val="single"/>
                </w:rPr>
                <w:t>35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36">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36">
              <w:r>
                <w:rPr>
                  <w:rStyle w:val="InternetLink"/>
                  <w:rFonts w:ascii="Times New Roman;serif" w:hAnsi="Times New Roman;serif"/>
                  <w:b w:val="false"/>
                  <w:color w:val="0000FF"/>
                  <w:sz w:val="20"/>
                  <w:u w:val="single"/>
                </w:rPr>
                <w:t>36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65d45d9c5348eebc489542f8124a7e_139">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65d45d9c5348eebc489542f8124a7e_139">
              <w:r>
                <w:rPr>
                  <w:rStyle w:val="InternetLink"/>
                  <w:rFonts w:ascii="Times New Roman;serif" w:hAnsi="Times New Roman;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COMMONLY USED ABBREVIATIONS</w:t>
      </w:r>
    </w:p>
    <w:p>
      <w:pPr>
        <w:pStyle w:val="TextBody"/>
        <w:bidi w:val="0"/>
        <w:spacing w:before="0" w:after="0"/>
        <w:jc w:val="center"/>
        <w:rPr/>
      </w:pPr>
      <w:r>
        <w:rPr/>
      </w:r>
    </w:p>
    <w:tbl>
      <w:tblPr>
        <w:tblW w:w="9801" w:type="dxa"/>
        <w:jc w:val="left"/>
        <w:tblInd w:w="0" w:type="dxa"/>
        <w:tblLayout w:type="fixed"/>
        <w:tblCellMar>
          <w:top w:w="28" w:type="dxa"/>
          <w:left w:w="28" w:type="dxa"/>
          <w:bottom w:w="28" w:type="dxa"/>
          <w:right w:w="28" w:type="dxa"/>
        </w:tblCellMar>
      </w:tblPr>
      <w:tblGrid>
        <w:gridCol w:w="681"/>
        <w:gridCol w:w="600"/>
        <w:gridCol w:w="600"/>
        <w:gridCol w:w="600"/>
        <w:gridCol w:w="600"/>
        <w:gridCol w:w="600"/>
        <w:gridCol w:w="1770"/>
        <w:gridCol w:w="1770"/>
        <w:gridCol w:w="2580"/>
      </w:tblGrid>
      <w:tr>
        <w:trPr/>
        <w:tc>
          <w:tcPr>
            <w:tcW w:w="68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r>
      <w:tr>
        <w:trPr/>
        <w:tc>
          <w:tcPr>
            <w:tcW w:w="98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abbreviations listed below may be commonly used in this report.</w:t>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AMCA</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Medical Collection Agency</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 for the fiscal year ended December 31, 2025</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Facility</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facility</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Biopharma Laboratory Services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 of Labcorp Holdings Inc.</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 organization</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DCP</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DOJ</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Justice</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Diagnostics Laboratories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Development Research Laboratories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Fortrea</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Fortrea Holdings Inc.</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LCAH</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Corporation of America Holdings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MCO</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 organization</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OBBBA</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Big Beautiful Bill Act</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OCR</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Office of Civil Rights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PSC</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 center</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Spin-off</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2023 spin-off of Fortrea</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SPV</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special purpose vehicle</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Term Loan</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credit agreement entered on March 20, 2026</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 with Fortrea</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53"/>
        <w:gridCol w:w="2165"/>
        <w:gridCol w:w="2159"/>
        <w:gridCol w:w="222"/>
        <w:gridCol w:w="918"/>
        <w:gridCol w:w="114"/>
        <w:gridCol w:w="109"/>
        <w:gridCol w:w="109"/>
        <w:gridCol w:w="109"/>
        <w:gridCol w:w="280"/>
        <w:gridCol w:w="1159"/>
        <w:gridCol w:w="208"/>
      </w:tblGrid>
      <w:tr>
        <w:trPr/>
        <w:tc>
          <w:tcPr>
            <w:tcW w:w="2653"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5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services,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inventory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4,020.5 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partnerships and equity method investments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18,392.7 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5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finance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and current portion of long-term debt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2,823.5 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tax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9,756.0 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80.9 and 82.2 shares outstanding at June 30, 2026, and December 31, 2025, respectively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8,619.8 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18,392.7 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0"/>
        <w:gridCol w:w="1456"/>
        <w:gridCol w:w="1444"/>
        <w:gridCol w:w="219"/>
        <w:gridCol w:w="799"/>
        <w:gridCol w:w="113"/>
        <w:gridCol w:w="113"/>
        <w:gridCol w:w="113"/>
        <w:gridCol w:w="113"/>
        <w:gridCol w:w="219"/>
        <w:gridCol w:w="799"/>
        <w:gridCol w:w="113"/>
        <w:gridCol w:w="109"/>
        <w:gridCol w:w="109"/>
        <w:gridCol w:w="109"/>
        <w:gridCol w:w="211"/>
        <w:gridCol w:w="766"/>
        <w:gridCol w:w="109"/>
        <w:gridCol w:w="109"/>
        <w:gridCol w:w="109"/>
        <w:gridCol w:w="109"/>
        <w:gridCol w:w="211"/>
        <w:gridCol w:w="766"/>
        <w:gridCol w:w="317"/>
      </w:tblGrid>
      <w:tr>
        <w:trPr/>
        <w:tc>
          <w:tcPr>
            <w:tcW w:w="167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3,731.1 </w:t>
            </w:r>
          </w:p>
        </w:tc>
        <w:tc>
          <w:tcPr>
            <w:tcW w:w="1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3,527.3 </w:t>
            </w:r>
          </w:p>
        </w:tc>
        <w:tc>
          <w:tcPr>
            <w:tcW w:w="1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6,872.4 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1,994.2 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loss,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 before income taxes</w:t>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earnings attributable to the noncontrolling interest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Labcorp Holdings Inc.</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20"/>
        <w:gridCol w:w="1552"/>
        <w:gridCol w:w="1554"/>
        <w:gridCol w:w="244"/>
        <w:gridCol w:w="715"/>
        <w:gridCol w:w="126"/>
        <w:gridCol w:w="126"/>
        <w:gridCol w:w="126"/>
        <w:gridCol w:w="126"/>
        <w:gridCol w:w="244"/>
        <w:gridCol w:w="715"/>
        <w:gridCol w:w="126"/>
        <w:gridCol w:w="109"/>
        <w:gridCol w:w="109"/>
        <w:gridCol w:w="109"/>
        <w:gridCol w:w="225"/>
        <w:gridCol w:w="658"/>
        <w:gridCol w:w="116"/>
        <w:gridCol w:w="116"/>
        <w:gridCol w:w="116"/>
        <w:gridCol w:w="116"/>
        <w:gridCol w:w="225"/>
        <w:gridCol w:w="658"/>
        <w:gridCol w:w="174"/>
      </w:tblGrid>
      <w:tr>
        <w:trPr/>
        <w:tc>
          <w:tcPr>
            <w:tcW w:w="182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2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2731" w:type="dxa"/>
            <w:gridSpan w:val="12"/>
            <w:tcBorders/>
          </w:tcPr>
          <w:p>
            <w:pPr>
              <w:pStyle w:val="TableContents"/>
              <w:bidi w:val="0"/>
              <w:spacing w:before="0" w:after="283"/>
              <w:jc w:val="left"/>
              <w:rPr>
                <w:sz w:val="4"/>
                <w:szCs w:val="4"/>
              </w:rPr>
            </w:pPr>
            <w:r>
              <w:rPr>
                <w:sz w:val="4"/>
                <w:szCs w:val="4"/>
              </w:rPr>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451.3 </w:t>
            </w:r>
          </w:p>
        </w:tc>
        <w:tc>
          <w:tcPr>
            <w:tcW w:w="17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benefit plan adjustments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tax</w:t>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related to items of comprehensive earnings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net of tax</w:t>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Comprehensive earnings</w:t>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earnings attributable to the noncontrolling interest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 attributable to Labcorp Holdings Inc.</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81"/>
        <w:gridCol w:w="888"/>
        <w:gridCol w:w="892"/>
        <w:gridCol w:w="216"/>
        <w:gridCol w:w="414"/>
        <w:gridCol w:w="121"/>
        <w:gridCol w:w="109"/>
        <w:gridCol w:w="109"/>
        <w:gridCol w:w="109"/>
        <w:gridCol w:w="231"/>
        <w:gridCol w:w="480"/>
        <w:gridCol w:w="130"/>
        <w:gridCol w:w="109"/>
        <w:gridCol w:w="109"/>
        <w:gridCol w:w="109"/>
        <w:gridCol w:w="227"/>
        <w:gridCol w:w="803"/>
        <w:gridCol w:w="126"/>
        <w:gridCol w:w="109"/>
        <w:gridCol w:w="109"/>
        <w:gridCol w:w="109"/>
        <w:gridCol w:w="437"/>
        <w:gridCol w:w="1274"/>
        <w:gridCol w:w="244"/>
        <w:gridCol w:w="109"/>
        <w:gridCol w:w="109"/>
        <w:gridCol w:w="109"/>
        <w:gridCol w:w="209"/>
        <w:gridCol w:w="739"/>
        <w:gridCol w:w="118"/>
        <w:gridCol w:w="109"/>
        <w:gridCol w:w="158"/>
      </w:tblGrid>
      <w:tr>
        <w:trPr/>
        <w:tc>
          <w:tcPr>
            <w:tcW w:w="10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DECEMBER 31, 2024</w:t>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12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8,303.4 </w:t>
            </w:r>
          </w:p>
        </w:tc>
        <w:tc>
          <w:tcPr>
            <w:tcW w:w="1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(261.6)</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8,052.2 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earnings attributable to Labcorp Holdings Inc.</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earnings, net of tax</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under employee stock plans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share settlement tax payments from issuance of stock to employees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MARCH 31, 2025</w:t>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8,455.6 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(191.6)</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8,307.4 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earnings attributable to Labcorp Holdings Inc.</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earnings, net of tax</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share settlement tax payments from issuance of stock to employees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common stock</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JUNE 30, 2025</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8,498.0 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8,472.7 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DECEMBER 31, 2025</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8,639.9 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earnings attributable to Labcorp Holdings Inc.</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 of tax</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under employee stock plans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share settlement tax payments from issuance of stock to employees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common stock</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MARCH 31, 2026</w:t>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8,784.4 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8,728.6 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earnings attributable to Labcorp Holdings Inc.</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 of tax</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under employee stock plans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share settlement tax payments from issuance of stock to employees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common stock</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JUNE 30, 2026</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8,701.4 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(101.9)</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8,606.8 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238" w:type="dxa"/>
        <w:jc w:val="left"/>
        <w:tblInd w:w="0" w:type="dxa"/>
        <w:tblLayout w:type="fixed"/>
        <w:tblCellMar>
          <w:top w:w="28" w:type="dxa"/>
          <w:left w:w="28" w:type="dxa"/>
          <w:bottom w:w="28" w:type="dxa"/>
          <w:right w:w="28" w:type="dxa"/>
        </w:tblCellMar>
      </w:tblPr>
      <w:tblGrid>
        <w:gridCol w:w="2469"/>
        <w:gridCol w:w="2168"/>
        <w:gridCol w:w="2173"/>
        <w:gridCol w:w="228"/>
        <w:gridCol w:w="667"/>
        <w:gridCol w:w="118"/>
        <w:gridCol w:w="118"/>
        <w:gridCol w:w="118"/>
        <w:gridCol w:w="118"/>
        <w:gridCol w:w="228"/>
        <w:gridCol w:w="667"/>
        <w:gridCol w:w="166"/>
      </w:tblGrid>
      <w:tr>
        <w:trPr/>
        <w:tc>
          <w:tcPr>
            <w:tcW w:w="246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13"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provided by operating activities: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expense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assets and liabilities (net of effects of acquisitions and divestitures):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unbilled services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supplies inventory</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payable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unearned revenue</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accrued expenses and other</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or distribution of equity affiliates or other investments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affiliates or other investments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term loan</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senior notes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facilities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accounts receivable securitization</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accounts receivable securitization</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tax payments from issuance of stock to employees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stock to employees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changes in Cash and cash equivalents</w:t>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1.    BASIS OF FINANCIAL STATEMENT PRESENTATION</w:t>
      </w:r>
    </w:p>
    <w:p>
      <w:pPr>
        <w:pStyle w:val="TextBody"/>
        <w:bidi w:val="0"/>
        <w:spacing w:lineRule="auto" w:line="288" w:before="140" w:after="140"/>
        <w:ind w:left="0" w:right="0" w:firstLine="270"/>
        <w:jc w:val="both"/>
        <w:rPr/>
      </w:pPr>
      <w:r>
        <w:rPr>
          <w:rFonts w:ascii="Times New Roman;serif" w:hAnsi="Times New Roman;serif"/>
          <w:b w:val="false"/>
          <w:color w:val="000000"/>
          <w:sz w:val="20"/>
        </w:rPr>
        <w:t>Labcorp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Holdings Inc. (Labcorp, LHI,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reports its business in two segments, Diagnostics Laboratories and Biopharma Laboratory Services. During each of the three months ended June 30, 2026, and 2025, and each of the six months ended June 30, 2026, and 2025, Dx and BLS contributed approximately 78% and 22%, respectively, of Revenues to the Company.</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balance sheet for the year ended December 31, 2025 presented herein, was derived from the Company’s annual audited Consolidated Financial Statements but does not include all disclosures required by GAAP, which are contained within the Annual Report.</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notes are presented in accordance with the rules and regulations of the SEC and GAAP for interim reporting. As such, certain notes or other information that are normally required by the SEC or GAAP have been omitted if they substantially duplicate the disclosures contained in the Company’s annual audited Consolidated Financial Statements contained within its Annual Report. Accordingly, these Condensed Consolidated Financial Statements and notes should be read in conjunction with the Consolidated Financial Statements and notes thereto contained in the Company’s Annual Report.</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The Company also has investments in other companies or investment funds that develop technology relating to the Company’s operations.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The carrying values of these type of investments were $210.0 and $201.9 at June 30, 2026 and December 31, 2025, respectively, and is included within Other assets, net in the Company’s Condensed Consolidated Balance Sheets.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All significant intercompany transactions and accounts have been eliminated. The Company does not have any significant variable interest entities or special purpose entities whose financial results are not included in these Condensed Consolidated Financial Statements.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loss within the Condensed Consolidated Balance Sheets.</w:t>
      </w:r>
    </w:p>
    <w:p>
      <w:pPr>
        <w:pStyle w:val="TextBody"/>
        <w:bidi w:val="0"/>
        <w:spacing w:lineRule="auto" w:line="288" w:before="60" w:after="14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60" w:after="140"/>
        <w:ind w:left="0" w:right="0" w:firstLine="27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accounting pronouncement provides all entities with a practical expedient to assume that current conditions as of the balance sheet date do not change for the remaining life of the assets when measuring credit losses. ASU 2025-05 is effective for fiscal years beginning after December 15, 2025. This accounting pronouncement did not have a material impact on the Company’s Condensed Consolidated Financial Statements.</w:t>
      </w:r>
    </w:p>
    <w:p>
      <w:pPr>
        <w:pStyle w:val="TextBody"/>
        <w:bidi w:val="0"/>
        <w:spacing w:lineRule="auto" w:line="288" w:before="60" w:after="140"/>
        <w:ind w:left="0" w:right="0" w:firstLine="27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Internal-Use-Software (Topic 350): Targeted Improvements to the Accounting for Internal-Use Software</w:t>
      </w:r>
      <w:r>
        <w:rPr>
          <w:rFonts w:ascii="Times New Roman;serif" w:hAnsi="Times New Roman;serif"/>
          <w:b w:val="false"/>
          <w:color w:val="000000"/>
          <w:sz w:val="20"/>
        </w:rPr>
        <w:t>. This accounting pronouncement improves the operability of the existing guidance by removing all references to software development project stages so that the guidance is neutral to different software development methods. ASU 2025-06 is effective for fiscal years beginning after December 15, 2027. The Company is currently assessing the impact that adopting this accounting pronouncement will have on its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140"/>
        <w:ind w:left="0" w:right="0" w:firstLine="27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This accounting pronouncement establishes guidance on the recognition, measurement, and presentation of government grants received by business entities. ASU 2025-10 is effective for fiscal years beginning after December 15, 2028. The Company is currently assessing the impact that adopting this accounting pronouncement will have on its Condensed Consolidated Financial Statements.</w:t>
      </w:r>
    </w:p>
    <w:p>
      <w:pPr>
        <w:pStyle w:val="TextBody"/>
        <w:bidi w:val="0"/>
        <w:spacing w:lineRule="auto" w:line="288" w:before="60" w:after="140"/>
        <w:ind w:left="0" w:right="0" w:firstLine="27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This accounting pronouncement is intended to improve the navigability of guidance in ASC 270, Interim Reporting, and clarify when it applies. ASU 2025-11 is effective for fiscal years beginning after December 15, 2027. The Company is currently assessing the impact that adopting this accounting pronouncement will have on its future interim reporting.</w:t>
      </w:r>
    </w:p>
    <w:p>
      <w:pPr>
        <w:pStyle w:val="TextBody"/>
        <w:bidi w:val="0"/>
        <w:spacing w:lineRule="auto" w:line="288" w:before="60" w:after="140"/>
        <w:ind w:left="0" w:right="0" w:firstLine="27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This accounting pronouncement addresses suggestions received from stakeholders regarding the Accounting Standards Codification and makes other incremental improvements to GAAP that clarify, correct errors in, or make other improvements to a variety of topics that are intended to make it easier to understand and apply. ASU 2025-12 is effective for fiscal years beginning after December 15, 2026. The Company is currently assessing the impact that adopting this accounting pronouncement will have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2.    REVENUES</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Revenues by segment and by payer group were as follows:</w:t>
      </w:r>
    </w:p>
    <w:tbl>
      <w:tblPr>
        <w:tblW w:w="10205" w:type="dxa"/>
        <w:jc w:val="left"/>
        <w:tblInd w:w="0" w:type="dxa"/>
        <w:tblLayout w:type="fixed"/>
        <w:tblCellMar>
          <w:top w:w="28" w:type="dxa"/>
          <w:left w:w="28" w:type="dxa"/>
          <w:bottom w:w="28" w:type="dxa"/>
          <w:right w:w="28" w:type="dxa"/>
        </w:tblCellMar>
      </w:tblPr>
      <w:tblGrid>
        <w:gridCol w:w="916"/>
        <w:gridCol w:w="621"/>
        <w:gridCol w:w="627"/>
        <w:gridCol w:w="188"/>
        <w:gridCol w:w="186"/>
        <w:gridCol w:w="412"/>
        <w:gridCol w:w="109"/>
        <w:gridCol w:w="109"/>
        <w:gridCol w:w="109"/>
        <w:gridCol w:w="203"/>
        <w:gridCol w:w="203"/>
        <w:gridCol w:w="324"/>
        <w:gridCol w:w="109"/>
        <w:gridCol w:w="109"/>
        <w:gridCol w:w="109"/>
        <w:gridCol w:w="203"/>
        <w:gridCol w:w="203"/>
        <w:gridCol w:w="262"/>
        <w:gridCol w:w="109"/>
        <w:gridCol w:w="109"/>
        <w:gridCol w:w="109"/>
        <w:gridCol w:w="209"/>
        <w:gridCol w:w="212"/>
        <w:gridCol w:w="246"/>
        <w:gridCol w:w="109"/>
        <w:gridCol w:w="109"/>
        <w:gridCol w:w="109"/>
        <w:gridCol w:w="188"/>
        <w:gridCol w:w="186"/>
        <w:gridCol w:w="412"/>
        <w:gridCol w:w="109"/>
        <w:gridCol w:w="109"/>
        <w:gridCol w:w="109"/>
        <w:gridCol w:w="203"/>
        <w:gridCol w:w="203"/>
        <w:gridCol w:w="324"/>
        <w:gridCol w:w="109"/>
        <w:gridCol w:w="109"/>
        <w:gridCol w:w="109"/>
        <w:gridCol w:w="203"/>
        <w:gridCol w:w="203"/>
        <w:gridCol w:w="262"/>
        <w:gridCol w:w="109"/>
        <w:gridCol w:w="109"/>
        <w:gridCol w:w="109"/>
        <w:gridCol w:w="209"/>
        <w:gridCol w:w="212"/>
        <w:gridCol w:w="296"/>
      </w:tblGrid>
      <w:tr>
        <w:trPr/>
        <w:tc>
          <w:tcPr>
            <w:tcW w:w="91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83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882" w:type="dxa"/>
            <w:gridSpan w:val="21"/>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Dx:</w:t>
            </w:r>
          </w:p>
        </w:tc>
        <w:tc>
          <w:tcPr>
            <w:tcW w:w="7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Clients</w:t>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9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Patients</w:t>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9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Medicare and Medicaid</w:t>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9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Third party</w:t>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9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Total Dx revenues</w:t>
            </w:r>
          </w:p>
        </w:tc>
        <w:tc>
          <w:tcPr>
            <w:tcW w:w="37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96"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BLS:</w:t>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Pharmaceutical, biotechnology, medical device, diagnostic companies, and CROs</w:t>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9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74"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96"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83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882" w:type="dxa"/>
            <w:gridSpan w:val="21"/>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Dx:</w:t>
            </w:r>
          </w:p>
        </w:tc>
        <w:tc>
          <w:tcPr>
            <w:tcW w:w="7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Clients</w:t>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9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Patients</w:t>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9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Medicare and Medicaid</w:t>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9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Third party</w:t>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9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Total Dx revenues</w:t>
            </w:r>
          </w:p>
        </w:tc>
        <w:tc>
          <w:tcPr>
            <w:tcW w:w="37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96"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BLS:</w:t>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Pharmaceutical, biotechnology, medical device, diagnostic companies, and CROs</w:t>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9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74" w:type="dxa"/>
            <w:gridSpan w:val="2"/>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4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4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96" w:type="dxa"/>
            <w:tcBorders>
              <w:top w:val="single" w:sz="8" w:space="0" w:color="000000"/>
              <w:bottom w:val="single" w:sz="8" w:space="0" w:color="000000"/>
              <w:right w:val="single" w:sz="8" w:space="0" w:color="000000"/>
            </w:tcBorders>
            <w:shd w:fill="CCEEFF" w:val="clear"/>
            <w:tcMar>
              <w:top w:w="52"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Revenues in the U.S. were $3,095.5 (83.0%) and $2,931.6 (83.1%) for the three months ended June 30, 2026, and 2025, respectively, and were $6,009.5 (82.7%) and $5,745.4 (83.6%) for the six months ended June 30, 2026, and 2025, respectively.</w:t>
      </w:r>
    </w:p>
    <w:p>
      <w:pPr>
        <w:pStyle w:val="TextBody"/>
        <w:bidi w:val="0"/>
        <w:spacing w:lineRule="auto" w:line="288" w:before="140" w:after="140"/>
        <w:jc w:val="left"/>
        <w:rPr>
          <w:rFonts w:ascii="Times New Roman;serif" w:hAnsi="Times New Roman;serif"/>
          <w:b/>
          <w:color w:val="000000"/>
          <w:sz w:val="20"/>
        </w:rPr>
      </w:pPr>
      <w:r>
        <w:rPr>
          <w:rFonts w:ascii="Times New Roman;serif" w:hAnsi="Times New Roman;serif"/>
          <w:b/>
          <w:color w:val="000000"/>
          <w:sz w:val="20"/>
        </w:rPr>
        <w:t>Accounts Receivable, Unbilled Services, and Unearned Revenue</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and unbilled services from contracts with customers:</w:t>
      </w:r>
    </w:p>
    <w:tbl>
      <w:tblPr>
        <w:tblW w:w="6491" w:type="dxa"/>
        <w:jc w:val="left"/>
        <w:tblInd w:w="0" w:type="dxa"/>
        <w:tblLayout w:type="fixed"/>
        <w:tblCellMar>
          <w:top w:w="28" w:type="dxa"/>
          <w:left w:w="28" w:type="dxa"/>
          <w:bottom w:w="28" w:type="dxa"/>
          <w:right w:w="28" w:type="dxa"/>
        </w:tblCellMar>
      </w:tblPr>
      <w:tblGrid>
        <w:gridCol w:w="1130"/>
        <w:gridCol w:w="993"/>
        <w:gridCol w:w="996"/>
        <w:gridCol w:w="247"/>
        <w:gridCol w:w="900"/>
        <w:gridCol w:w="128"/>
        <w:gridCol w:w="109"/>
        <w:gridCol w:w="109"/>
        <w:gridCol w:w="109"/>
        <w:gridCol w:w="330"/>
        <w:gridCol w:w="1199"/>
        <w:gridCol w:w="241"/>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 accounts receivable</w:t>
            </w:r>
          </w:p>
        </w:tc>
        <w:tc>
          <w:tcPr>
            <w:tcW w:w="24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1,546.6 </w:t>
            </w:r>
          </w:p>
        </w:tc>
        <w:tc>
          <w:tcPr>
            <w:tcW w:w="12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24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 accounts receivable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BLS allowance for credit losses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unbilled services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BLS allowance for credit losses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services, net</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Revenues recognized during the period that were included in the unearned revenue balance at the beginning of the period were $34.1 and $34.4 for the three months ended June 30, 2026, and 2025, respectively, and were $92.4 and $103.3 for the six months ended June 30, 2026, and 2025, respectively.</w:t>
      </w: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BLS estimates future expected credit losses on Accounts receivable, net and Unbilled services, net over the remaining collection period of the underlying asset. The rollforward for the allowance for credit losses was as follows:</w:t>
      </w:r>
    </w:p>
    <w:tbl>
      <w:tblPr>
        <w:tblW w:w="9705" w:type="dxa"/>
        <w:jc w:val="left"/>
        <w:tblInd w:w="0" w:type="dxa"/>
        <w:tblLayout w:type="fixed"/>
        <w:tblCellMar>
          <w:top w:w="28" w:type="dxa"/>
          <w:left w:w="28" w:type="dxa"/>
          <w:bottom w:w="28" w:type="dxa"/>
          <w:right w:w="28" w:type="dxa"/>
        </w:tblCellMar>
      </w:tblPr>
      <w:tblGrid>
        <w:gridCol w:w="1489"/>
        <w:gridCol w:w="1306"/>
        <w:gridCol w:w="1315"/>
        <w:gridCol w:w="551"/>
        <w:gridCol w:w="1337"/>
        <w:gridCol w:w="287"/>
        <w:gridCol w:w="109"/>
        <w:gridCol w:w="109"/>
        <w:gridCol w:w="109"/>
        <w:gridCol w:w="549"/>
        <w:gridCol w:w="1055"/>
        <w:gridCol w:w="286"/>
        <w:gridCol w:w="109"/>
        <w:gridCol w:w="109"/>
        <w:gridCol w:w="109"/>
        <w:gridCol w:w="211"/>
        <w:gridCol w:w="51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Unbilled Services,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December 31, 2025</w:t>
            </w:r>
          </w:p>
        </w:tc>
        <w:tc>
          <w:tcPr>
            <w:tcW w:w="5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8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8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June 30, 2026</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3.    BUSINESS ACQUISITIONS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acquired various businesses and related assets for total consideration of $528.6, net of cash acquired and including measurement period adjustments. Total consideration included cash payments and, as applicable, contingent consideration payable by the Company primarily upon the achievement of specified future performance targets of the acquired businesses. The preliminary purchase considerations for these acquisitions were allocated under the acquisition method of accounting to the estimated fair market value of the net assets acquired. A residual amount of tax-deductible goodwill, including measurement period adjustments relating to prior acquisitions, of $262.1 was recorded during the six months ended June 30, 2026. The purchase price allocations for these acquisitions were preliminary at June 30, 2026. The valuation of acquired assets and assumed liabilities included the following:</w:t>
      </w:r>
    </w:p>
    <w:tbl>
      <w:tblPr>
        <w:tblW w:w="10205" w:type="dxa"/>
        <w:jc w:val="left"/>
        <w:tblInd w:w="0" w:type="dxa"/>
        <w:tblLayout w:type="fixed"/>
        <w:tblCellMar>
          <w:top w:w="28" w:type="dxa"/>
          <w:left w:w="28" w:type="dxa"/>
          <w:bottom w:w="28" w:type="dxa"/>
          <w:right w:w="28" w:type="dxa"/>
        </w:tblCellMar>
      </w:tblPr>
      <w:tblGrid>
        <w:gridCol w:w="621"/>
        <w:gridCol w:w="465"/>
        <w:gridCol w:w="468"/>
        <w:gridCol w:w="401"/>
        <w:gridCol w:w="1061"/>
        <w:gridCol w:w="209"/>
        <w:gridCol w:w="339"/>
        <w:gridCol w:w="963"/>
        <w:gridCol w:w="188"/>
        <w:gridCol w:w="422"/>
        <w:gridCol w:w="1201"/>
        <w:gridCol w:w="237"/>
        <w:gridCol w:w="492"/>
        <w:gridCol w:w="1021"/>
        <w:gridCol w:w="275"/>
        <w:gridCol w:w="357"/>
        <w:gridCol w:w="1014"/>
        <w:gridCol w:w="198"/>
        <w:gridCol w:w="109"/>
        <w:gridCol w:w="164"/>
      </w:tblGrid>
      <w:tr>
        <w:trPr/>
        <w:tc>
          <w:tcPr>
            <w:tcW w:w="6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Empire City Laboratories, Inc.</w:t>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Parkview Health Systems, Inc.</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Other Acquisitions Closed During the </w:t>
              <w:br/>
              <w:t>Six Months Ended</w:t>
              <w:br/>
              <w:t>June 30, 2026</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Measurement Period Adjustments</w:t>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Amounts Acquired During the </w:t>
              <w:b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3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14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acquired</w:t>
            </w:r>
          </w:p>
        </w:tc>
        <w:tc>
          <w:tcPr>
            <w:tcW w:w="14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14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escrow payments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w:t>
            </w:r>
          </w:p>
        </w:tc>
        <w:tc>
          <w:tcPr>
            <w:tcW w:w="4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Intangible assets recognized from business acquisitions that closed during the six months ended June 30, 2026, including any related measurement period adjustments, and their weighted-average amortization periods were as follows:</w:t>
      </w:r>
    </w:p>
    <w:tbl>
      <w:tblPr>
        <w:tblW w:w="6767" w:type="dxa"/>
        <w:jc w:val="left"/>
        <w:tblInd w:w="0" w:type="dxa"/>
        <w:tblLayout w:type="fixed"/>
        <w:tblCellMar>
          <w:top w:w="28" w:type="dxa"/>
          <w:left w:w="28" w:type="dxa"/>
          <w:bottom w:w="28" w:type="dxa"/>
          <w:right w:w="28" w:type="dxa"/>
        </w:tblCellMar>
      </w:tblPr>
      <w:tblGrid>
        <w:gridCol w:w="787"/>
        <w:gridCol w:w="692"/>
        <w:gridCol w:w="695"/>
        <w:gridCol w:w="211"/>
        <w:gridCol w:w="616"/>
        <w:gridCol w:w="109"/>
        <w:gridCol w:w="109"/>
        <w:gridCol w:w="109"/>
        <w:gridCol w:w="109"/>
        <w:gridCol w:w="975"/>
        <w:gridCol w:w="975"/>
        <w:gridCol w:w="1380"/>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Weighted-average Amortization Period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Years)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0"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0"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28, 2026, the Company entered into an agreement to acquire select assets of an outreach laboratory services business for a purchase price of approximately $155.0. The transaction is anticipated to close in the third quarter of 2026, subject to customary closing conditions and applicable regulatory approvals for a transaction of this type.</w:t>
      </w:r>
    </w:p>
    <w:p>
      <w:pPr>
        <w:pStyle w:val="TextBody"/>
        <w:bidi w:val="0"/>
        <w:spacing w:lineRule="auto" w:line="288" w:before="140" w:after="140"/>
        <w:jc w:val="both"/>
        <w:rPr>
          <w:rFonts w:ascii="Times New Roman;serif" w:hAnsi="Times New Roman;serif"/>
          <w:b/>
          <w:i/>
          <w:color w:val="000000"/>
          <w:sz w:val="20"/>
        </w:rPr>
      </w:pPr>
      <w:r>
        <w:rPr>
          <w:rFonts w:ascii="Times New Roman;serif" w:hAnsi="Times New Roman;serif"/>
          <w:b/>
          <w:i/>
          <w:color w:val="000000"/>
          <w:sz w:val="20"/>
        </w:rPr>
        <w:t>Unaudited Supplemental Pro Forma Information</w:t>
      </w:r>
    </w:p>
    <w:p>
      <w:pPr>
        <w:pStyle w:val="TextBody"/>
        <w:bidi w:val="0"/>
        <w:spacing w:lineRule="auto" w:line="288" w:before="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the aggregate of the Company’s 2026 and 2025 acquisitions, that were accounted for as business combinations, had been completed at January 1, 2025, the Company’s pro forma results would have been as follows:</w:t>
      </w:r>
    </w:p>
    <w:tbl>
      <w:tblPr>
        <w:tblW w:w="8300" w:type="dxa"/>
        <w:jc w:val="left"/>
        <w:tblInd w:w="0" w:type="dxa"/>
        <w:tblLayout w:type="fixed"/>
        <w:tblCellMar>
          <w:top w:w="28" w:type="dxa"/>
          <w:left w:w="28" w:type="dxa"/>
          <w:bottom w:w="28" w:type="dxa"/>
          <w:right w:w="28" w:type="dxa"/>
        </w:tblCellMar>
      </w:tblPr>
      <w:tblGrid>
        <w:gridCol w:w="978"/>
        <w:gridCol w:w="856"/>
        <w:gridCol w:w="866"/>
        <w:gridCol w:w="221"/>
        <w:gridCol w:w="804"/>
        <w:gridCol w:w="114"/>
        <w:gridCol w:w="114"/>
        <w:gridCol w:w="114"/>
        <w:gridCol w:w="114"/>
        <w:gridCol w:w="221"/>
        <w:gridCol w:w="804"/>
        <w:gridCol w:w="114"/>
        <w:gridCol w:w="109"/>
        <w:gridCol w:w="109"/>
        <w:gridCol w:w="109"/>
        <w:gridCol w:w="211"/>
        <w:gridCol w:w="766"/>
        <w:gridCol w:w="109"/>
        <w:gridCol w:w="109"/>
        <w:gridCol w:w="109"/>
        <w:gridCol w:w="109"/>
        <w:gridCol w:w="211"/>
        <w:gridCol w:w="766"/>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Revenues</w:t>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3,734.1 </w:t>
            </w:r>
          </w:p>
        </w:tc>
        <w:tc>
          <w:tcPr>
            <w:tcW w:w="11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3,582.7 </w:t>
            </w:r>
          </w:p>
        </w:tc>
        <w:tc>
          <w:tcPr>
            <w:tcW w:w="11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earnings attributable to LHI</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283"/>
        <w:ind w:left="0" w:right="0" w:hanging="360"/>
        <w:jc w:val="both"/>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Basic EPS is computed by dividing Net earnings attributable to Labcorp Holdings Inc. by the weighted-average number of common shares outstanding.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units, and/or performance share awards.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represents a reconciliation of Basic EPS to Diluted EPS:</w:t>
      </w:r>
    </w:p>
    <w:tbl>
      <w:tblPr>
        <w:tblW w:w="10205" w:type="dxa"/>
        <w:jc w:val="left"/>
        <w:tblInd w:w="0" w:type="dxa"/>
        <w:tblLayout w:type="fixed"/>
        <w:tblCellMar>
          <w:top w:w="28" w:type="dxa"/>
          <w:left w:w="28" w:type="dxa"/>
          <w:bottom w:w="28" w:type="dxa"/>
          <w:right w:w="28" w:type="dxa"/>
        </w:tblCellMar>
      </w:tblPr>
      <w:tblGrid>
        <w:gridCol w:w="966"/>
        <w:gridCol w:w="414"/>
        <w:gridCol w:w="416"/>
        <w:gridCol w:w="211"/>
        <w:gridCol w:w="616"/>
        <w:gridCol w:w="109"/>
        <w:gridCol w:w="109"/>
        <w:gridCol w:w="109"/>
        <w:gridCol w:w="109"/>
        <w:gridCol w:w="274"/>
        <w:gridCol w:w="274"/>
        <w:gridCol w:w="275"/>
        <w:gridCol w:w="109"/>
        <w:gridCol w:w="109"/>
        <w:gridCol w:w="109"/>
        <w:gridCol w:w="213"/>
        <w:gridCol w:w="624"/>
        <w:gridCol w:w="110"/>
        <w:gridCol w:w="109"/>
        <w:gridCol w:w="109"/>
        <w:gridCol w:w="109"/>
        <w:gridCol w:w="211"/>
        <w:gridCol w:w="616"/>
        <w:gridCol w:w="109"/>
        <w:gridCol w:w="109"/>
        <w:gridCol w:w="109"/>
        <w:gridCol w:w="109"/>
        <w:gridCol w:w="274"/>
        <w:gridCol w:w="274"/>
        <w:gridCol w:w="275"/>
        <w:gridCol w:w="109"/>
        <w:gridCol w:w="109"/>
        <w:gridCol w:w="109"/>
        <w:gridCol w:w="213"/>
        <w:gridCol w:w="624"/>
        <w:gridCol w:w="110"/>
        <w:gridCol w:w="109"/>
        <w:gridCol w:w="109"/>
        <w:gridCol w:w="109"/>
        <w:gridCol w:w="109"/>
        <w:gridCol w:w="109"/>
        <w:gridCol w:w="109"/>
        <w:gridCol w:w="109"/>
        <w:gridCol w:w="109"/>
        <w:gridCol w:w="109"/>
        <w:gridCol w:w="109"/>
        <w:gridCol w:w="109"/>
        <w:gridCol w:w="163"/>
      </w:tblGrid>
      <w:tr>
        <w:trPr/>
        <w:tc>
          <w:tcPr>
            <w:tcW w:w="96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3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10"/>
            <w:tcBorders/>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8"/>
            <w:tcBorders/>
          </w:tcPr>
          <w:p>
            <w:pPr>
              <w:pStyle w:val="TableContents"/>
              <w:bidi w:val="0"/>
              <w:spacing w:before="0" w:after="283"/>
              <w:jc w:val="left"/>
              <w:rPr>
                <w:sz w:val="4"/>
                <w:szCs w:val="4"/>
              </w:rPr>
            </w:pPr>
            <w:r>
              <w:rPr>
                <w:sz w:val="4"/>
                <w:szCs w:val="4"/>
              </w:rPr>
            </w:r>
          </w:p>
        </w:tc>
      </w:tr>
      <w:tr>
        <w:trPr/>
        <w:tc>
          <w:tcPr>
            <w:tcW w:w="17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Effect</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Effect</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947"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82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947"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11"/>
            <w:tcBorders/>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LHI</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3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Effect</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Effect</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947"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82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947"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LHI</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amount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common shares not included in the computation of Diluted EPS because their impact would have been antidilutive:</w:t>
      </w:r>
    </w:p>
    <w:tbl>
      <w:tblPr>
        <w:tblW w:w="8403" w:type="dxa"/>
        <w:jc w:val="left"/>
        <w:tblInd w:w="0" w:type="dxa"/>
        <w:tblLayout w:type="fixed"/>
        <w:tblCellMar>
          <w:top w:w="28" w:type="dxa"/>
          <w:left w:w="28" w:type="dxa"/>
          <w:bottom w:w="28" w:type="dxa"/>
          <w:right w:w="28" w:type="dxa"/>
        </w:tblCellMar>
      </w:tblPr>
      <w:tblGrid>
        <w:gridCol w:w="1095"/>
        <w:gridCol w:w="964"/>
        <w:gridCol w:w="970"/>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10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Employee stock options and awards</w:t>
            </w:r>
          </w:p>
        </w:tc>
        <w:tc>
          <w:tcPr>
            <w:tcW w:w="58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ind w:left="0" w:right="0" w:hanging="360"/>
        <w:jc w:val="both"/>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balances, net of impairment, and changes in the carrying amount of goodwill were as follows:</w:t>
      </w:r>
    </w:p>
    <w:tbl>
      <w:tblPr>
        <w:tblW w:w="10100" w:type="dxa"/>
        <w:jc w:val="left"/>
        <w:tblInd w:w="0" w:type="dxa"/>
        <w:tblLayout w:type="fixed"/>
        <w:tblCellMar>
          <w:top w:w="28" w:type="dxa"/>
          <w:left w:w="28" w:type="dxa"/>
          <w:bottom w:w="28" w:type="dxa"/>
          <w:right w:w="28" w:type="dxa"/>
        </w:tblCellMar>
      </w:tblPr>
      <w:tblGrid>
        <w:gridCol w:w="1989"/>
        <w:gridCol w:w="1748"/>
        <w:gridCol w:w="1752"/>
        <w:gridCol w:w="211"/>
        <w:gridCol w:w="766"/>
        <w:gridCol w:w="109"/>
        <w:gridCol w:w="109"/>
        <w:gridCol w:w="109"/>
        <w:gridCol w:w="109"/>
        <w:gridCol w:w="109"/>
        <w:gridCol w:w="109"/>
        <w:gridCol w:w="211"/>
        <w:gridCol w:w="766"/>
        <w:gridCol w:w="109"/>
        <w:gridCol w:w="109"/>
        <w:gridCol w:w="109"/>
        <w:gridCol w:w="109"/>
        <w:gridCol w:w="109"/>
        <w:gridCol w:w="109"/>
        <w:gridCol w:w="211"/>
        <w:gridCol w:w="766"/>
        <w:gridCol w:w="109"/>
        <w:gridCol w:w="109"/>
        <w:gridCol w:w="154"/>
      </w:tblGrid>
      <w:tr>
        <w:trPr/>
        <w:tc>
          <w:tcPr>
            <w:tcW w:w="198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at December 31, 2025</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Goodwill acquired, excluding measurement period adjustments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Foreign currency impact and other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did not record a goodwill or intangible asset impairment charge.</w:t>
      </w:r>
    </w:p>
    <w:p>
      <w:pPr>
        <w:pStyle w:val="TextBody"/>
        <w:bidi w:val="0"/>
        <w:spacing w:lineRule="auto" w:line="288" w:before="4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cumulative goodwill impairment for the Company as of June 30, 2026, and December 31, 2025, was $648.5 and primarily represents the goodwill of the Company’s ED reporting unit within the BLS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identifiable intangible assets were as follows:</w:t>
      </w:r>
    </w:p>
    <w:tbl>
      <w:tblPr>
        <w:tblW w:w="10572" w:type="dxa"/>
        <w:jc w:val="left"/>
        <w:tblInd w:w="0" w:type="dxa"/>
        <w:tblLayout w:type="fixed"/>
        <w:tblCellMar>
          <w:top w:w="28" w:type="dxa"/>
          <w:left w:w="28" w:type="dxa"/>
          <w:bottom w:w="28" w:type="dxa"/>
          <w:right w:w="28" w:type="dxa"/>
        </w:tblCellMar>
      </w:tblPr>
      <w:tblGrid>
        <w:gridCol w:w="502"/>
        <w:gridCol w:w="349"/>
        <w:gridCol w:w="350"/>
        <w:gridCol w:w="109"/>
        <w:gridCol w:w="109"/>
        <w:gridCol w:w="109"/>
        <w:gridCol w:w="109"/>
        <w:gridCol w:w="109"/>
        <w:gridCol w:w="109"/>
        <w:gridCol w:w="109"/>
        <w:gridCol w:w="109"/>
        <w:gridCol w:w="109"/>
        <w:gridCol w:w="109"/>
        <w:gridCol w:w="109"/>
        <w:gridCol w:w="109"/>
        <w:gridCol w:w="196"/>
        <w:gridCol w:w="691"/>
        <w:gridCol w:w="109"/>
        <w:gridCol w:w="109"/>
        <w:gridCol w:w="109"/>
        <w:gridCol w:w="109"/>
        <w:gridCol w:w="196"/>
        <w:gridCol w:w="731"/>
        <w:gridCol w:w="109"/>
        <w:gridCol w:w="109"/>
        <w:gridCol w:w="109"/>
        <w:gridCol w:w="109"/>
        <w:gridCol w:w="196"/>
        <w:gridCol w:w="691"/>
        <w:gridCol w:w="109"/>
        <w:gridCol w:w="109"/>
        <w:gridCol w:w="109"/>
        <w:gridCol w:w="109"/>
        <w:gridCol w:w="196"/>
        <w:gridCol w:w="691"/>
        <w:gridCol w:w="109"/>
        <w:gridCol w:w="109"/>
        <w:gridCol w:w="109"/>
        <w:gridCol w:w="109"/>
        <w:gridCol w:w="196"/>
        <w:gridCol w:w="731"/>
        <w:gridCol w:w="109"/>
        <w:gridCol w:w="109"/>
        <w:gridCol w:w="109"/>
        <w:gridCol w:w="109"/>
        <w:gridCol w:w="196"/>
        <w:gridCol w:w="691"/>
        <w:gridCol w:w="109"/>
        <w:gridCol w:w="109"/>
        <w:gridCol w:w="109"/>
        <w:gridCol w:w="154"/>
      </w:tblGrid>
      <w:tr>
        <w:trPr/>
        <w:tc>
          <w:tcPr>
            <w:tcW w:w="50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Range of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Definite-lived intangible assets:</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Patents, licenses,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Canadian and other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$78.1 and $68.3 for the three months ended June 30, 2026, and 2025, respectively, and was $153.7 and $137.9 for the six months ended June 30, 2026, and 2025, respectively. The amortization expense of intangible assets is estimated to be $152.1 for the remainder of 2026, $297.2 in 2027, $289.6 in 2028, $276.5 in 2029, $268.1 in 2030, and $1,853.1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88"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Short-term borrowings and the current portion of long-term debt consisted of the following:</w:t>
      </w:r>
    </w:p>
    <w:tbl>
      <w:tblPr>
        <w:tblW w:w="8845" w:type="dxa"/>
        <w:jc w:val="left"/>
        <w:tblInd w:w="0" w:type="dxa"/>
        <w:tblLayout w:type="fixed"/>
        <w:tblCellMar>
          <w:top w:w="28" w:type="dxa"/>
          <w:left w:w="28" w:type="dxa"/>
          <w:bottom w:w="28" w:type="dxa"/>
          <w:right w:w="28" w:type="dxa"/>
        </w:tblCellMar>
      </w:tblPr>
      <w:tblGrid>
        <w:gridCol w:w="1983"/>
        <w:gridCol w:w="1737"/>
        <w:gridCol w:w="1755"/>
        <w:gridCol w:w="370"/>
        <w:gridCol w:w="713"/>
        <w:gridCol w:w="191"/>
        <w:gridCol w:w="109"/>
        <w:gridCol w:w="109"/>
        <w:gridCol w:w="109"/>
        <w:gridCol w:w="328"/>
        <w:gridCol w:w="958"/>
        <w:gridCol w:w="483"/>
      </w:tblGrid>
      <w:tr>
        <w:trPr/>
        <w:tc>
          <w:tcPr>
            <w:tcW w:w="198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1.55% senior notes due 2026</w:t>
            </w:r>
          </w:p>
        </w:tc>
        <w:tc>
          <w:tcPr>
            <w:tcW w:w="37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8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8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 and current portion of long-term debt</w:t>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5847" w:type="dxa"/>
        <w:jc w:val="left"/>
        <w:tblInd w:w="0" w:type="dxa"/>
        <w:tblLayout w:type="fixed"/>
        <w:tblCellMar>
          <w:top w:w="28" w:type="dxa"/>
          <w:left w:w="28" w:type="dxa"/>
          <w:bottom w:w="28" w:type="dxa"/>
          <w:right w:w="28" w:type="dxa"/>
        </w:tblCellMar>
      </w:tblPr>
      <w:tblGrid>
        <w:gridCol w:w="896"/>
        <w:gridCol w:w="787"/>
        <w:gridCol w:w="792"/>
        <w:gridCol w:w="247"/>
        <w:gridCol w:w="900"/>
        <w:gridCol w:w="128"/>
        <w:gridCol w:w="109"/>
        <w:gridCol w:w="109"/>
        <w:gridCol w:w="109"/>
        <w:gridCol w:w="330"/>
        <w:gridCol w:w="1199"/>
        <w:gridCol w:w="241"/>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Term Loan</w:t>
            </w:r>
          </w:p>
        </w:tc>
        <w:tc>
          <w:tcPr>
            <w:tcW w:w="24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2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3.60% senior notes due 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2.95% senior notes due 2029</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4.35% senior notes due 2030</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2.70% senior notes due 2031</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 senior notes due 2032</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4.80% senior notes due 2034</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4.70% senior notes due 2045</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 Facility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5,857.6 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5,084.6 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60"/>
        <w:jc w:val="both"/>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20, 2026, the Company entered into the $750.0 2026 Term Loan that will mature on March 20, 2028. On June 1, 2026, the net proceeds of the 2026 Term Loan were used to redeem the Company’s outstanding 1.55% senior notes due 2026 and, to the extent not used for such purpose, were made available for other general corporate uses. The principal balance of the 2026 Term Loan bears interest at a floating per annum rate equal to, at the Company’s election, either (i) a SOFR-based rate plus a margin of 0.700% or (ii) a base rate plus a margin of 0.0%. As of June 30, 2026, the effective interest rate on the 2026 Term Loan was 4.38%.</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senior revolving credit facility, which was amended and restated on June 27, 2025. It consists of a five-year revolving facility in the principal amount of up to $1,000.0, with the option of increasing the facility by up to an additional $500.0, subject to certain conditions, including obtaining additional commitments from new or existing lenders. The revolving credit facility also provides for a subfacility of up to $100.0 for swing line borrowings and a subfacility of up to $150.0 for issuances of letters of credit. Borrowings under the revolving credit facility bear interest at a floating rate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140"/>
        <w:jc w:val="both"/>
        <w:rPr>
          <w:rFonts w:ascii="Times New Roman;serif" w:hAnsi="Times New Roman;serif"/>
          <w:b w:val="false"/>
          <w:color w:val="000000"/>
          <w:sz w:val="20"/>
        </w:rPr>
      </w:pPr>
      <w:r>
        <w:rPr>
          <w:rFonts w:ascii="Times New Roman;serif" w:hAnsi="Times New Roman;serif"/>
          <w:b w:val="false"/>
          <w:color w:val="000000"/>
          <w:sz w:val="20"/>
        </w:rPr>
        <w:t>either (i) a SOFR-based rate plus a margin ranging from 0.805% to 1.300% or (ii) a base rate plus a margin ranging from 0.0% to 0.300%, in each case depending on the Company’s long-term debt ratings. The Company is required to pay a facility fee quarterly on the aggregate amount of commitments under the revolving credit facility, at a per annum rate ranging from 0.070% to 0.200%, depending on the Company’s long-term debt ratings, regardless of usage. The revolving credit facility is permitted to be used for general corporate purposes, including working capital, capital expenditures, funding of share repurchases and certain other payments, acquisitions, and other investments. At June 30, 2026, there were no balances outstanding on the Company’s current revolving credit facility and $107.4 in outstanding letters of credit on the Company’s subfacility. At June 30, 2026, the effective interest rate on the revolving credit facility was 4.68%. The revolving credit facility expires in June 2030.</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August 23, 2024, the Company and a SPV entered into a $300.0 three-year accounts receivable securitization facility with PNC Bank, National Association (PNC) as administrative agent. The AR Facility provides for purchases of accounts receivable by PNC in an amount of up to $300.0 through August 2027, and may increase up to $700.0, subject to the satisfaction of certain conditions.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January 31, 2025, the Company amended its AR Facility. The amended AR Facility increased the amount the Company can borrow from $300.0 to $700.0 through August 2027. On January 28, 2026, the Company further amended its AR Facility. Among other things, this amendment extended the scheduled termination date to January 26, 2029.</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SPV is a variable interest entity for which the Company is the primary beneficiary. The SPV’s sole business consists of the continuous purchase of receivables from the Company which is used as collateral for the loan. Although the SPV is included in the Company’s Condensed Consolidated Financial Statements, it is a separate legal entity with separate creditors.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net of repayments, the Company received loan proceeds of $25.0 and $225.0, respectively, under the AR Facility. Proceeds and payments under the AR Facility are included in financing activities in the Condensed Consolidated Statement of Cash Flows.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Company’s 2026 Term Loan, revolving credit facility, indentures relating to the Company’s senior notes, and AR Facility, the Company is subject to negative covenants limiting subsidiary indebtedness and certain other covenants typical for investment grade-rated borrowers, and with respect to the 2026 Term Loan and revolving credit facility, the Company is required to maintain certain leverage ratios. The Company was in compliance with all such covenants and leverage ratios at June 30, 2026, and expects that it will remain in compliance with its existing covenants and leverage ratios for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both"/>
        <w:rPr>
          <w:rFonts w:ascii="Times New Roman;serif" w:hAnsi="Times New Roman;serif"/>
          <w:b/>
          <w:color w:val="000000"/>
          <w:sz w:val="20"/>
        </w:rPr>
      </w:pPr>
      <w:r>
        <w:rPr>
          <w:rFonts w:ascii="Times New Roman;serif" w:hAnsi="Times New Roman;serif"/>
          <w:b/>
          <w:color w:val="000000"/>
          <w:sz w:val="20"/>
        </w:rPr>
        <w:t>7.    PREFERRED STOCK AND COMMON SHAREHOLDERS’ EQUITY</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up to 265.0 shares of its Common Stock. The Company is authorized to issue up to 30.0 shares of preferred stock, par value $0.10 per share. There were no preferred shares outstanding at June 30, 2026, and December 31, 2025. </w:t>
      </w:r>
    </w:p>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changes in the Company’s shares of Common Stock issued and outstanding are summarized below:</w:t>
      </w:r>
    </w:p>
    <w:tbl>
      <w:tblPr>
        <w:tblW w:w="7930" w:type="dxa"/>
        <w:jc w:val="left"/>
        <w:tblInd w:w="0" w:type="dxa"/>
        <w:tblLayout w:type="fixed"/>
        <w:tblCellMar>
          <w:top w:w="28" w:type="dxa"/>
          <w:left w:w="28" w:type="dxa"/>
          <w:bottom w:w="28" w:type="dxa"/>
          <w:right w:w="28" w:type="dxa"/>
        </w:tblCellMar>
      </w:tblPr>
      <w:tblGrid>
        <w:gridCol w:w="1402"/>
        <w:gridCol w:w="1230"/>
        <w:gridCol w:w="1237"/>
        <w:gridCol w:w="109"/>
        <w:gridCol w:w="109"/>
        <w:gridCol w:w="2851"/>
        <w:gridCol w:w="109"/>
        <w:gridCol w:w="255"/>
        <w:gridCol w:w="256"/>
        <w:gridCol w:w="109"/>
        <w:gridCol w:w="109"/>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992" w:type="dxa"/>
            <w:gridSpan w:val="6"/>
            <w:tcBorders/>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Shares issued under employee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60" w:after="142"/>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and may continue to enter into Rule 10b5-1 plans from time to time to facilitate repurchases of its Common Stock. During the six months ended June 30, 2026, the Company purchased 1.7 shares of its Common Stock at an average price of $263.12 per share for a total cost of $451.8. During the six months ended June 30, 2025, the Company purchased 0.8 shares of its Common Stock at an average price of $246.18 per share for a total cost of $200.0. At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14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outstanding authorization from its Board to purchase up to $378.6 maximum value of shares of Common Stock. </w:t>
      </w:r>
    </w:p>
    <w:p>
      <w:pPr>
        <w:pStyle w:val="TextBody"/>
        <w:bidi w:val="0"/>
        <w:spacing w:lineRule="auto" w:line="288" w:before="60" w:after="142"/>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8, 2026, the Board authorized the repurchase of an additional $1,000.0 in the maximum value of the Company’s shares of Common Stock as part of the Company’s ongoing share repurchase program, bringing the total share repurchase authorization to $1,378.6 maximum value of shares of Common Stock. The repurchase authorization has no expiration date.</w:t>
      </w:r>
    </w:p>
    <w:p>
      <w:pPr>
        <w:pStyle w:val="TextBody"/>
        <w:bidi w:val="0"/>
        <w:spacing w:lineRule="auto" w:line="288" w:before="60" w:after="142"/>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When the Company repurchases shares of Common Stock, the amount paid to repurchase the shares in excess of the par or stated value is allocated to Additional paid-in-capital within the Condensed Consolidated Balance Sheet unless subject to limitation or the balance in Additional paid-in-capital is exhausted. Remaining amounts are recognized as a reduction in Retained earnings within the Company’s Condensed Consolidated Balance Sheet.</w:t>
      </w:r>
    </w:p>
    <w:p>
      <w:pPr>
        <w:pStyle w:val="TextBody"/>
        <w:bidi w:val="0"/>
        <w:spacing w:lineRule="auto" w:line="288" w:before="200" w:after="6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each of the three months ended June 30, 2026, and 2025, and each of the six months ended June 30, 2026, and 2025, the Company declared and paid a cash dividend of $0.72 and $1.44, respectively, per share of Common Stock. </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9, 2026, the Company announced a cash dividend of $0.72 per share of Common Stock, or approximately $59.0 in the aggregate. The dividend will be paid on September 11, 2026, to stockholders of record of all issued and outstanding shares of Common Stock as of the close of business on August 28, 2026. The declaration and payment of any future dividends will be at the discretion of the Board.</w:t>
      </w:r>
    </w:p>
    <w:p>
      <w:pPr>
        <w:pStyle w:val="TextBody"/>
        <w:bidi w:val="0"/>
        <w:spacing w:lineRule="auto" w:line="288" w:before="60" w:after="140"/>
        <w:jc w:val="both"/>
        <w:rPr>
          <w:rFonts w:ascii="Times New Roman;serif" w:hAnsi="Times New Roman;serif"/>
          <w:b/>
          <w:color w:val="000000"/>
          <w:sz w:val="20"/>
        </w:rPr>
      </w:pPr>
      <w:r>
        <w:rPr>
          <w:rFonts w:ascii="Times New Roman;serif" w:hAnsi="Times New Roman;serif"/>
          <w:b/>
          <w:color w:val="000000"/>
          <w:sz w:val="20"/>
        </w:rPr>
        <w:t>Accumulated Other Comprehensive Loss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were as follows:</w:t>
      </w:r>
    </w:p>
    <w:tbl>
      <w:tblPr>
        <w:tblW w:w="10205" w:type="dxa"/>
        <w:jc w:val="left"/>
        <w:tblInd w:w="0" w:type="dxa"/>
        <w:tblLayout w:type="fixed"/>
        <w:tblCellMar>
          <w:top w:w="28" w:type="dxa"/>
          <w:left w:w="28" w:type="dxa"/>
          <w:bottom w:w="28" w:type="dxa"/>
          <w:right w:w="28" w:type="dxa"/>
        </w:tblCellMar>
      </w:tblPr>
      <w:tblGrid>
        <w:gridCol w:w="827"/>
        <w:gridCol w:w="689"/>
        <w:gridCol w:w="694"/>
        <w:gridCol w:w="543"/>
        <w:gridCol w:w="1778"/>
        <w:gridCol w:w="280"/>
        <w:gridCol w:w="109"/>
        <w:gridCol w:w="109"/>
        <w:gridCol w:w="109"/>
        <w:gridCol w:w="554"/>
        <w:gridCol w:w="1066"/>
        <w:gridCol w:w="288"/>
        <w:gridCol w:w="109"/>
        <w:gridCol w:w="109"/>
        <w:gridCol w:w="109"/>
        <w:gridCol w:w="109"/>
        <w:gridCol w:w="109"/>
        <w:gridCol w:w="552"/>
        <w:gridCol w:w="1652"/>
        <w:gridCol w:w="410"/>
      </w:tblGrid>
      <w:tr>
        <w:trPr/>
        <w:tc>
          <w:tcPr>
            <w:tcW w:w="82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Benefit Plan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54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8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4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Current year adjustments</w:t>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Tax effect on adjustments</w:t>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3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Current year adjustments</w:t>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Tax effect on adjustments</w:t>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4"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4"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4"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4"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4"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Current year adjustments</w:t>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Tax effect on adjustments</w:t>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3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Current year adjustments</w:t>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Tax effect of adjustments</w:t>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5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both"/>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40" w:after="14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60" w:after="142"/>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 noncancelable contract with a vendor to purchase supplies inventory pursuant to which the Company is obligated to make expected total future minimum payments of $115.4, including $20.9 for the remainder of 2026, $20.5 in 2027, and $74.0 in 2028.</w:t>
      </w:r>
    </w:p>
    <w:p>
      <w:pPr>
        <w:pStyle w:val="TextBody"/>
        <w:bidi w:val="0"/>
        <w:spacing w:lineRule="auto" w:line="268" w:before="140" w:after="140"/>
        <w:jc w:val="left"/>
        <w:rPr>
          <w:rFonts w:ascii="Times New Roman;serif" w:hAnsi="Times New Roman;serif"/>
          <w:b/>
          <w:color w:val="000000"/>
          <w:sz w:val="20"/>
        </w:rPr>
      </w:pPr>
      <w:r>
        <w:rPr>
          <w:rFonts w:ascii="Times New Roman;serif" w:hAnsi="Times New Roman;serif"/>
          <w:b/>
          <w:color w:val="000000"/>
          <w:sz w:val="20"/>
        </w:rPr>
        <w:t>Legal Contingencies</w:t>
      </w:r>
    </w:p>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pStyle w:val="TextBody"/>
        <w:bidi w:val="0"/>
        <w:spacing w:lineRule="auto" w:line="288" w:before="140" w:after="140"/>
        <w:ind w:left="0" w:right="0" w:firstLine="315"/>
        <w:jc w:val="both"/>
        <w:rPr/>
      </w:pPr>
      <w:r>
        <w:rPr>
          <w:rFonts w:ascii="Times New Roman;serif" w:hAnsi="Times New Roman;serif"/>
          <w:b w:val="false"/>
          <w:color w:val="000000"/>
          <w:sz w:val="20"/>
        </w:rPr>
        <w:t>The Company also is named from time to time in suits brought under the</w:t>
      </w:r>
      <w:r>
        <w:rPr>
          <w:color w:val="000000"/>
        </w:rPr>
        <w:t xml:space="preserve">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plaintiff. Such claims are an inevitable part of doing business in the healthcare field today.</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pStyle w:val="TextBody"/>
        <w:bidi w:val="0"/>
        <w:spacing w:lineRule="auto" w:line="288" w:before="140" w:after="140"/>
        <w:ind w:left="0" w:right="0" w:firstLine="270"/>
        <w:jc w:val="both"/>
        <w:rPr/>
      </w:pPr>
      <w:r>
        <w:rPr>
          <w:rFonts w:ascii="Times New Roman;serif" w:hAnsi="Times New Roman;serif"/>
          <w:b w:val="false"/>
          <w:color w:val="000000"/>
          <w:sz w:val="20"/>
        </w:rPr>
        <w:t xml:space="preserve">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w:t>
      </w:r>
      <w:r>
        <w:rPr>
          <w:rFonts w:ascii="Times New Roman;serif" w:hAnsi="Times New Roman;serif"/>
          <w:b w:val="false"/>
          <w:i/>
          <w:color w:val="000000"/>
          <w:sz w:val="20"/>
        </w:rPr>
        <w:t>Contingencies</w:t>
      </w:r>
      <w:r>
        <w:rPr>
          <w:rFonts w:ascii="Times New Roman;serif" w:hAnsi="Times New Roman;serif"/>
          <w:b w:val="false"/>
          <w:color w:val="000000"/>
          <w:sz w:val="20"/>
        </w:rPr>
        <w:t>, the Company establishes reserves for judicial, regulatory, and arbitration matters outside the aggregate legal reserve if and when those matters present loss contingencies that are both probable and reasonably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When loss contingencies are not both probable and reasonably estimable, the Company does not establish separate reserves.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unable to estimate a range of reasonably possible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 </w:t>
      </w:r>
    </w:p>
    <w:p>
      <w:pPr>
        <w:pStyle w:val="TextBody"/>
        <w:bidi w:val="0"/>
        <w:spacing w:lineRule="auto" w:line="288" w:before="140" w:after="140"/>
        <w:ind w:left="0" w:right="0" w:firstLine="270"/>
        <w:jc w:val="both"/>
        <w:rPr/>
      </w:pPr>
      <w:r>
        <w:rPr>
          <w:rFonts w:ascii="Times New Roman;serif" w:hAnsi="Times New Roman;serif"/>
          <w:b w:val="false"/>
          <w:color w:val="000000"/>
          <w:sz w:val="20"/>
        </w:rPr>
        <w:t xml:space="preserve">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Petition was pending under seal in the District Court, 250th Judicial District, Travis County, Texas, and that the State of Texas had intervened. On April 14, 2021, the Petition was unsealed. The Petition alleged that the Company submitted claims for reimbursement to Texas Medicaid that were higher than permitted under Texas Medicaid’s alleged “best price” regulations, and that the Company offered remuneration to Texas healthcare providers in the form of discounted pricing for certain laboratory testing services in exchange for the providers’ referral of Texas Medicaid business to the Company. The Petition sought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On December 31, 2024, the Texas Court of Appeals issued a decision reversing the District Court’s order granting the Company’s Motion for Partial Summary Judgment. On February 28, 2025, the Company filed in the Texas Supreme Court a Petition for Review with respect to the Texas Court of Appeals decision. On January 16, 2026, the Texas Supreme Court granted the Petition for Review, and on February 12, 2026, the Texas Supreme Court held oral argument. On June 19, 2026, the Texas Supreme Court reversed the decision of the Texas Court of Appeals and reinstated the District Court’s judgment in favor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14, 2019, Retrieval-Masters Creditors Bureau, Inc. d/b/a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Twenty-three putative class action lawsuits were filed against the Company related to the AMCA Incident in various U.S. District Courts. Numerous similar lawsuits have been filed against other healthcare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On March 2, 2026, the parties entered into a Class Action Settlement and Release, which is subject to court approval.</w:t>
      </w:r>
    </w:p>
    <w:p>
      <w:pPr>
        <w:pStyle w:val="TextBody"/>
        <w:bidi w:val="0"/>
        <w:spacing w:lineRule="auto" w:line="288" w:before="140" w:after="140"/>
        <w:ind w:left="0" w:right="0" w:firstLine="270"/>
        <w:jc w:val="both"/>
        <w:rPr/>
      </w:pPr>
      <w:r>
        <w:rPr>
          <w:rFonts w:ascii="Times New Roman;serif" w:hAnsi="Times New Roman;serif"/>
          <w:b w:val="false"/>
          <w:color w:val="000000"/>
          <w:sz w:val="20"/>
        </w:rPr>
        <w:t xml:space="preserve">The Company was served with a shareholder derivative lawsuit, </w:t>
      </w:r>
      <w:r>
        <w:rPr>
          <w:rFonts w:ascii="Times New Roman;serif" w:hAnsi="Times New Roman;serif"/>
          <w:b w:val="false"/>
          <w:i/>
          <w:color w:val="000000"/>
          <w:sz w:val="20"/>
        </w:rPr>
        <w:t>Raymond Eugenio, Derivatively on Behalf of Nominal Defendant, Laboratory Corporation of America Holdings v. Lance Berberian, et al.</w:t>
      </w:r>
      <w:r>
        <w:rPr>
          <w:rFonts w:ascii="Times New Roman;serif" w:hAnsi="Times New Roman;serif"/>
          <w:b w:val="false"/>
          <w:color w:val="000000"/>
          <w:sz w:val="20"/>
        </w:rPr>
        <w:t>, filed in the Court of Chancery of the State of Delaware on April 23, 2020. The complaint asserts 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governmental entities have requested information from the Company related to the AMCA Incident. The Company received a request for information from the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pStyle w:val="TextBody"/>
        <w:bidi w:val="0"/>
        <w:spacing w:lineRule="auto" w:line="288" w:before="140" w:after="140"/>
        <w:ind w:left="0" w:right="0" w:firstLine="270"/>
        <w:jc w:val="both"/>
        <w:rPr/>
      </w:pPr>
      <w:r>
        <w:rPr>
          <w:rFonts w:ascii="Times New Roman;serif" w:hAnsi="Times New Roman;serif"/>
          <w:b w:val="false"/>
          <w:color w:val="000000"/>
          <w:sz w:val="20"/>
        </w:rPr>
        <w:t>On January 31, 2020, the Company was served with a putative class action lawsuit,</w:t>
      </w:r>
      <w:r>
        <w:rPr>
          <w:color w:val="000000"/>
        </w:rPr>
        <w:t xml:space="preserve"> </w:t>
      </w:r>
      <w:r>
        <w:rPr>
          <w:rFonts w:ascii="Times New Roman;serif" w:hAnsi="Times New Roman;serif"/>
          <w:b w:val="false"/>
          <w:i/>
          <w:color w:val="000000"/>
          <w:sz w:val="20"/>
        </w:rPr>
        <w:t>Luke Davis and Julian Vargas, et al. v. Laboratory Corporation of America Holdings</w:t>
      </w:r>
      <w:r>
        <w:rPr>
          <w:rFonts w:ascii="Times New Roman;serif" w:hAnsi="Times New Roman;serif"/>
          <w:b w:val="false"/>
          <w:color w:val="000000"/>
          <w:sz w:val="20"/>
        </w:rPr>
        <w:t xml:space="preserve">, filed in the U.S. District Court for the Central District of California. The lawsuit alleges that visually impaired patients are unable to use the Company’s touchscreen kiosks at Company PSCs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U.S. Supreme Court, which was granted on January 24, 2025, and then dismissed on June 5, 2025. In March 2026, the parties filed cross Motions for Summary Judgment. The Company will vigorously defend the lawsuit.</w:t>
      </w:r>
    </w:p>
    <w:p>
      <w:pPr>
        <w:pStyle w:val="TextBody"/>
        <w:bidi w:val="0"/>
        <w:spacing w:lineRule="auto" w:line="288" w:before="140" w:after="140"/>
        <w:ind w:left="0" w:right="0" w:firstLine="270"/>
        <w:jc w:val="both"/>
        <w:rPr/>
      </w:pPr>
      <w:r>
        <w:rPr>
          <w:rFonts w:ascii="Times New Roman;serif" w:hAnsi="Times New Roman;serif"/>
          <w:b w:val="false"/>
          <w:color w:val="000000"/>
          <w:sz w:val="20"/>
        </w:rPr>
        <w:t xml:space="preserve">On October 16, 2020, Ravgen Inc. filed a patent infringement lawsuit, </w:t>
      </w:r>
      <w:r>
        <w:rPr>
          <w:rFonts w:ascii="Times New Roman;serif" w:hAnsi="Times New Roman;serif"/>
          <w:b w:val="false"/>
          <w:i/>
          <w:color w:val="000000"/>
          <w:sz w:val="20"/>
        </w:rPr>
        <w:t>Ravgen Inc. v. Laboratory Corporation of America Holdings</w:t>
      </w:r>
      <w:r>
        <w:rPr>
          <w:rFonts w:ascii="Times New Roman;serif" w:hAnsi="Times New Roman;serif"/>
          <w:b w:val="false"/>
          <w:color w:val="000000"/>
          <w:sz w:val="20"/>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On January 23, 2025, 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and the Company has filed an appeal. On March 18, 2025, the Company filed an appeal bond with the Court to stay enforcement of the judgment pending appeal. The Company strongly disagrees with the verdict, based on a number of legal factors, and will vigorously defend the lawsuit through the appeal process.</w:t>
      </w:r>
    </w:p>
    <w:p>
      <w:pPr>
        <w:pStyle w:val="TextBody"/>
        <w:bidi w:val="0"/>
        <w:spacing w:lineRule="auto" w:line="288" w:before="140" w:after="140"/>
        <w:ind w:left="0" w:right="0" w:firstLine="270"/>
        <w:jc w:val="both"/>
        <w:rPr/>
      </w:pPr>
      <w:r>
        <w:rPr>
          <w:rFonts w:ascii="Times New Roman;serif" w:hAnsi="Times New Roman;serif"/>
          <w:b w:val="false"/>
          <w:color w:val="000000"/>
          <w:sz w:val="20"/>
        </w:rPr>
        <w:t xml:space="preserve">On June 7, 2023, the Company was served with a putative class action lawsuit, </w:t>
      </w:r>
      <w:r>
        <w:rPr>
          <w:rFonts w:ascii="Times New Roman;serif" w:hAnsi="Times New Roman;serif"/>
          <w:b w:val="false"/>
          <w:i/>
          <w:color w:val="000000"/>
          <w:sz w:val="20"/>
        </w:rPr>
        <w:t>Connie Howard, Yadira Yazmin Hernandez, and Deborah Reynolds, et al. v. Laboratory Corporation of America, Laboratory Corporation of America Holdings, and Meta Platforms, Inc.</w:t>
      </w:r>
      <w:r>
        <w:rPr>
          <w:rFonts w:ascii="Times New Roman;serif" w:hAnsi="Times New Roman;serif"/>
          <w:b w:val="false"/>
          <w:color w:val="000000"/>
          <w:sz w:val="20"/>
        </w:rPr>
        <w:t xml:space="preserve">, filed in the U.S. District Court for the 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April 2, 2026, the parties entered into a Class Action Settlement and Release, which is subject to court approval. </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27, 2022, the Company was served with a Subpoena Duces Tecum issued by the DOJ in Boston, Massachusetts requiring the production of documents related to urine drug testing. The Company cooperated with the DOJ. On July 15, 2026, the Company entered into a settlement agreement with the DOJ to resolve the matter.</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283"/>
        <w:ind w:left="0" w:right="0" w:hanging="360"/>
        <w:jc w:val="both"/>
        <w:rPr>
          <w:rFonts w:ascii="Times New Roman;serif" w:hAnsi="Times New Roman;serif"/>
          <w:b/>
          <w:color w:val="000000"/>
          <w:sz w:val="20"/>
        </w:rPr>
      </w:pPr>
      <w:r>
        <w:rPr>
          <w:rFonts w:ascii="Times New Roman;serif" w:hAnsi="Times New Roman;serif"/>
          <w:b/>
          <w:color w:val="000000"/>
          <w:sz w:val="20"/>
        </w:rPr>
        <w:t>9.    FAIR VALUE MEASUREMENTS AND DERIVATIVE INSTRUMENTS AND HEDGING ACTIVITIES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population of financial assets and liabilities subject to fair value measurements were as follows:</w:t>
      </w:r>
    </w:p>
    <w:tbl>
      <w:tblPr>
        <w:tblW w:w="10205" w:type="dxa"/>
        <w:jc w:val="left"/>
        <w:tblInd w:w="0" w:type="dxa"/>
        <w:tblLayout w:type="fixed"/>
        <w:tblCellMar>
          <w:top w:w="28" w:type="dxa"/>
          <w:left w:w="28" w:type="dxa"/>
          <w:bottom w:w="28" w:type="dxa"/>
          <w:right w:w="28" w:type="dxa"/>
        </w:tblCellMar>
      </w:tblPr>
      <w:tblGrid>
        <w:gridCol w:w="898"/>
        <w:gridCol w:w="790"/>
        <w:gridCol w:w="792"/>
        <w:gridCol w:w="984"/>
        <w:gridCol w:w="909"/>
        <w:gridCol w:w="911"/>
        <w:gridCol w:w="109"/>
        <w:gridCol w:w="109"/>
        <w:gridCol w:w="109"/>
        <w:gridCol w:w="242"/>
        <w:gridCol w:w="706"/>
        <w:gridCol w:w="124"/>
        <w:gridCol w:w="109"/>
        <w:gridCol w:w="109"/>
        <w:gridCol w:w="109"/>
        <w:gridCol w:w="211"/>
        <w:gridCol w:w="406"/>
        <w:gridCol w:w="109"/>
        <w:gridCol w:w="109"/>
        <w:gridCol w:w="109"/>
        <w:gridCol w:w="109"/>
        <w:gridCol w:w="211"/>
        <w:gridCol w:w="616"/>
        <w:gridCol w:w="109"/>
        <w:gridCol w:w="109"/>
        <w:gridCol w:w="109"/>
        <w:gridCol w:w="109"/>
        <w:gridCol w:w="211"/>
        <w:gridCol w:w="511"/>
        <w:gridCol w:w="157"/>
      </w:tblGrid>
      <w:tr>
        <w:trPr/>
        <w:tc>
          <w:tcPr>
            <w:tcW w:w="89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Using Fair Value Hierarchy</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put</w:t>
            </w:r>
          </w:p>
        </w:tc>
        <w:tc>
          <w:tcPr>
            <w:tcW w:w="280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 policies</w:t>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asset</w:t>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1"/>
        <w:gridCol w:w="766"/>
        <w:gridCol w:w="768"/>
        <w:gridCol w:w="954"/>
        <w:gridCol w:w="875"/>
        <w:gridCol w:w="877"/>
        <w:gridCol w:w="109"/>
        <w:gridCol w:w="109"/>
        <w:gridCol w:w="109"/>
        <w:gridCol w:w="280"/>
        <w:gridCol w:w="819"/>
        <w:gridCol w:w="144"/>
        <w:gridCol w:w="109"/>
        <w:gridCol w:w="109"/>
        <w:gridCol w:w="109"/>
        <w:gridCol w:w="211"/>
        <w:gridCol w:w="406"/>
        <w:gridCol w:w="109"/>
        <w:gridCol w:w="109"/>
        <w:gridCol w:w="109"/>
        <w:gridCol w:w="109"/>
        <w:gridCol w:w="211"/>
        <w:gridCol w:w="616"/>
        <w:gridCol w:w="109"/>
        <w:gridCol w:w="109"/>
        <w:gridCol w:w="109"/>
        <w:gridCol w:w="109"/>
        <w:gridCol w:w="211"/>
        <w:gridCol w:w="511"/>
        <w:gridCol w:w="159"/>
      </w:tblGrid>
      <w:tr>
        <w:trPr/>
        <w:tc>
          <w:tcPr>
            <w:tcW w:w="87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Using Fair Value Hierarchy</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put</w:t>
            </w:r>
          </w:p>
        </w:tc>
        <w:tc>
          <w:tcPr>
            <w:tcW w:w="270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 policies</w:t>
            </w:r>
          </w:p>
        </w:tc>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asset</w:t>
            </w:r>
          </w:p>
        </w:tc>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41" w:type="dxa"/>
        <w:jc w:val="left"/>
        <w:tblInd w:w="0" w:type="dxa"/>
        <w:tblLayout w:type="fixed"/>
        <w:tblCellMar>
          <w:top w:w="28" w:type="dxa"/>
          <w:left w:w="28" w:type="dxa"/>
          <w:bottom w:w="28" w:type="dxa"/>
          <w:right w:w="28" w:type="dxa"/>
        </w:tblCellMar>
      </w:tblPr>
      <w:tblGrid>
        <w:gridCol w:w="2436"/>
        <w:gridCol w:w="2144"/>
        <w:gridCol w:w="2154"/>
        <w:gridCol w:w="567"/>
        <w:gridCol w:w="1374"/>
        <w:gridCol w:w="294"/>
        <w:gridCol w:w="109"/>
        <w:gridCol w:w="109"/>
        <w:gridCol w:w="154"/>
      </w:tblGrid>
      <w:tr>
        <w:trPr/>
        <w:tc>
          <w:tcPr>
            <w:tcW w:w="243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Measurement of Level 3 Liabilities:</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9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from business acquisitions, excluding measurement period adjustments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r>
    </w:tbl>
    <w:p>
      <w:pPr>
        <w:pStyle w:val="TextBody"/>
        <w:bidi w:val="0"/>
        <w:spacing w:lineRule="auto" w:line="288" w:before="0" w:after="140"/>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At June 30, 2026, $38.1 and $57.4 of contingent consideration is included within Accrued expenses and other and Other liabilities, respectively, in the Company’s Condensed Consolidated Balance Sheets.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 noncontrolling interest put option related to its Ontario subsidiary that has been classified as mezzanine equity in the Company’s Condensed Consolidated Balance Sheets. The noncontrolling interest put is valued at its contractually determined value, which approximates fair value.</w:t>
      </w:r>
    </w:p>
    <w:p>
      <w:pPr>
        <w:pStyle w:val="TextBody"/>
        <w:bidi w:val="0"/>
        <w:spacing w:lineRule="auto" w:line="288" w:before="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offers certain employees the opportunity to participate in an employee-funded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measured the fair value of contingent consideration liabilities as Level 3 instruments. These contingent consideration liabilities were recorded at fair value on the acquisition date and are remeasured quarterly based on the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assessed fair value and adjusted, if necessary. The increases or decreases in the fair value of contingent consideration payable primarily result from changes in the anticipated achievement of specified future performance targets of the acquired businesses. As the fair value measure is based on significant inputs that are not observable in the market, they are categorized as Level 3.</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and accounts payable are considered to be representative of their respective fair values due to their short-term nature. Although recorded at amortized cost on the Company’s Condensed Consolidated Balance Sheets, the fair market value of the Company’s senior notes was $4,425.3 and $4,963.6 at June 30, 2026, and December 31, 2025, respectively. At June 30, 2026, the carrying value of the Company’s 2026 Term Loan, also recorded at amortized cost, was estimated to approximate fair value primarily due to its variable interest rate. The Company’s senior notes and 2026 Term Loan are considered Level 2 instruments, as the fair market values of these instruments are based on observable market pricing/inputs.</w:t>
      </w: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14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party to fixed-to-variable interest rate swap agreements for its 2.70% senior notes due 2031 with an aggregate notional amount of $500.0 and variable interest rates currently based on the compounded SOFR, plus 1.33%.</w:t>
      </w:r>
    </w:p>
    <w:p>
      <w:pPr>
        <w:pStyle w:val="TextBody"/>
        <w:bidi w:val="0"/>
        <w:spacing w:lineRule="auto" w:line="288" w:before="14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Condensed Consolidated Statements of Operations.</w:t>
      </w:r>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Cross Currency Swaps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USD to Swiss Franc cross-currency swap agreements with an aggregate notional amount of $1,200.0, with $300.0 maturing in 2029, $300.0 maturing in 2031, and $600.0 maturing in 2034.</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above instruments are designated as a hedge against the impact of foreign exchange movements on its net investment in a Swiss subsidiary. Changes in the fair value of the cross-currency swaps are charged or credited through Accumulated other comprehensive loss in the Condensed Consolidated Balance Sheet until the hedged item is recognized in earnings. The cumulative amount of the fair value hedging adjustments is recognized as currency translation within the Condensed Consolidated Statement of Comprehensive Earnings.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the location and amount of pretax (losses) gains of derivatives designated in fair value hedging relationships:</w:t>
      </w:r>
    </w:p>
    <w:tbl>
      <w:tblPr>
        <w:tblW w:w="7546" w:type="dxa"/>
        <w:jc w:val="left"/>
        <w:tblInd w:w="0" w:type="dxa"/>
        <w:tblLayout w:type="fixed"/>
        <w:tblCellMar>
          <w:top w:w="28" w:type="dxa"/>
          <w:left w:w="28" w:type="dxa"/>
          <w:bottom w:w="28" w:type="dxa"/>
          <w:right w:w="28" w:type="dxa"/>
        </w:tblCellMar>
      </w:tblPr>
      <w:tblGrid>
        <w:gridCol w:w="668"/>
        <w:gridCol w:w="587"/>
        <w:gridCol w:w="590"/>
        <w:gridCol w:w="109"/>
        <w:gridCol w:w="109"/>
        <w:gridCol w:w="109"/>
        <w:gridCol w:w="268"/>
        <w:gridCol w:w="516"/>
        <w:gridCol w:w="138"/>
        <w:gridCol w:w="138"/>
        <w:gridCol w:w="138"/>
        <w:gridCol w:w="138"/>
        <w:gridCol w:w="268"/>
        <w:gridCol w:w="879"/>
        <w:gridCol w:w="138"/>
        <w:gridCol w:w="109"/>
        <w:gridCol w:w="109"/>
        <w:gridCol w:w="109"/>
        <w:gridCol w:w="243"/>
        <w:gridCol w:w="467"/>
        <w:gridCol w:w="125"/>
        <w:gridCol w:w="125"/>
        <w:gridCol w:w="125"/>
        <w:gridCol w:w="125"/>
        <w:gridCol w:w="243"/>
        <w:gridCol w:w="796"/>
        <w:gridCol w:w="177"/>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Included In Other Comprehensive Loss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3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w:t>
            </w:r>
          </w:p>
        </w:tc>
        <w:tc>
          <w:tcPr>
            <w:tcW w:w="17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Times New Roman;serif" w:hAnsi="Times New Roman;serif"/>
          <w:b/>
          <w:color w:val="000000"/>
          <w:sz w:val="20"/>
        </w:rPr>
      </w:pPr>
      <w:r>
        <w:rPr>
          <w:rFonts w:ascii="Times New Roman;serif" w:hAnsi="Times New Roman;serif"/>
          <w:b/>
          <w:color w:val="000000"/>
          <w:sz w:val="20"/>
        </w:rPr>
        <w:t>10.    SUPPLEMENTAL CASH FLOW INFORMATION</w:t>
      </w:r>
    </w:p>
    <w:tbl>
      <w:tblPr>
        <w:tblW w:w="10205" w:type="dxa"/>
        <w:jc w:val="left"/>
        <w:tblInd w:w="0" w:type="dxa"/>
        <w:tblLayout w:type="fixed"/>
        <w:tblCellMar>
          <w:top w:w="28" w:type="dxa"/>
          <w:left w:w="28" w:type="dxa"/>
          <w:bottom w:w="28" w:type="dxa"/>
          <w:right w:w="28" w:type="dxa"/>
        </w:tblCellMar>
      </w:tblPr>
      <w:tblGrid>
        <w:gridCol w:w="2847"/>
        <w:gridCol w:w="2459"/>
        <w:gridCol w:w="2485"/>
        <w:gridCol w:w="226"/>
        <w:gridCol w:w="662"/>
        <w:gridCol w:w="117"/>
        <w:gridCol w:w="117"/>
        <w:gridCol w:w="117"/>
        <w:gridCol w:w="117"/>
        <w:gridCol w:w="226"/>
        <w:gridCol w:w="662"/>
        <w:gridCol w:w="170"/>
      </w:tblGrid>
      <w:tr>
        <w:trPr/>
        <w:tc>
          <w:tcPr>
            <w:tcW w:w="2847"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79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00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Disclosure of non-cash financing and investing activities: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79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79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property, plant, and equipment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related to business acquisitions, including measurement period adjustments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283"/>
        <w:ind w:left="0" w:right="0" w:hanging="360"/>
        <w:jc w:val="both"/>
        <w:rPr>
          <w:rFonts w:ascii="Times New Roman;serif" w:hAnsi="Times New Roman;serif"/>
          <w:b/>
          <w:color w:val="000000"/>
          <w:sz w:val="20"/>
        </w:rPr>
      </w:pPr>
      <w:r>
        <w:rPr>
          <w:rFonts w:ascii="Times New Roman;serif" w:hAnsi="Times New Roman;serif"/>
          <w:b/>
          <w:color w:val="000000"/>
          <w:sz w:val="20"/>
        </w:rPr>
        <w:t>11.    BUSINESS SEGMENT INFORMATION</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information for the three and six months ended June 30, 2026, and 2025.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CODM for evaluating segment performance and deciding how to allocate resources to segments. The Company’s chief executive officer has been identified as the CODM.</w:t>
      </w:r>
    </w:p>
    <w:p>
      <w:pPr>
        <w:pStyle w:val="TextBody"/>
        <w:bidi w:val="0"/>
        <w:spacing w:lineRule="auto" w:line="288" w:before="14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CODM uses segment operating income to evaluate segment performance and to allocate resources. This segment performance measure excludes the amortization of intangibles and other assets, restructuring and other charges, goodwill and other asset impairments, and certain corporate charges for items such as transaction costs and other special items. Other operating expenses are comprised primarily of rent, maintenance, sendout testing, utilities, travel and entertainment, and other segment expenses, including shipping costs for Dx. Segment asset information is not presented because it is not used by the CODM.</w:t>
      </w:r>
    </w:p>
    <w:tbl>
      <w:tblPr>
        <w:tblW w:w="10205" w:type="dxa"/>
        <w:jc w:val="left"/>
        <w:tblInd w:w="0" w:type="dxa"/>
        <w:tblLayout w:type="fixed"/>
        <w:tblCellMar>
          <w:top w:w="28" w:type="dxa"/>
          <w:left w:w="28" w:type="dxa"/>
          <w:bottom w:w="28" w:type="dxa"/>
          <w:right w:w="28" w:type="dxa"/>
        </w:tblCellMar>
      </w:tblPr>
      <w:tblGrid>
        <w:gridCol w:w="1177"/>
        <w:gridCol w:w="973"/>
        <w:gridCol w:w="984"/>
        <w:gridCol w:w="109"/>
        <w:gridCol w:w="109"/>
        <w:gridCol w:w="109"/>
        <w:gridCol w:w="211"/>
        <w:gridCol w:w="766"/>
        <w:gridCol w:w="109"/>
        <w:gridCol w:w="109"/>
        <w:gridCol w:w="109"/>
        <w:gridCol w:w="109"/>
        <w:gridCol w:w="211"/>
        <w:gridCol w:w="616"/>
        <w:gridCol w:w="109"/>
        <w:gridCol w:w="109"/>
        <w:gridCol w:w="109"/>
        <w:gridCol w:w="109"/>
        <w:gridCol w:w="741"/>
        <w:gridCol w:w="1480"/>
        <w:gridCol w:w="385"/>
        <w:gridCol w:w="109"/>
        <w:gridCol w:w="109"/>
        <w:gridCol w:w="109"/>
        <w:gridCol w:w="211"/>
        <w:gridCol w:w="766"/>
        <w:gridCol w:w="158"/>
      </w:tblGrid>
      <w:tr>
        <w:trPr/>
        <w:tc>
          <w:tcPr>
            <w:tcW w:w="117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Dx</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Intercompany eliminations and other</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LHI</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Shipping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77"/>
        <w:gridCol w:w="973"/>
        <w:gridCol w:w="984"/>
        <w:gridCol w:w="109"/>
        <w:gridCol w:w="109"/>
        <w:gridCol w:w="109"/>
        <w:gridCol w:w="211"/>
        <w:gridCol w:w="766"/>
        <w:gridCol w:w="109"/>
        <w:gridCol w:w="109"/>
        <w:gridCol w:w="109"/>
        <w:gridCol w:w="109"/>
        <w:gridCol w:w="211"/>
        <w:gridCol w:w="616"/>
        <w:gridCol w:w="109"/>
        <w:gridCol w:w="109"/>
        <w:gridCol w:w="109"/>
        <w:gridCol w:w="109"/>
        <w:gridCol w:w="741"/>
        <w:gridCol w:w="1480"/>
        <w:gridCol w:w="385"/>
        <w:gridCol w:w="109"/>
        <w:gridCol w:w="109"/>
        <w:gridCol w:w="109"/>
        <w:gridCol w:w="211"/>
        <w:gridCol w:w="766"/>
        <w:gridCol w:w="158"/>
      </w:tblGrid>
      <w:tr>
        <w:trPr/>
        <w:tc>
          <w:tcPr>
            <w:tcW w:w="117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Dx</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Intercompany eliminations and other</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LHI</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Shipping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LABCORP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and Shares 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51"/>
        <w:gridCol w:w="943"/>
        <w:gridCol w:w="954"/>
        <w:gridCol w:w="109"/>
        <w:gridCol w:w="109"/>
        <w:gridCol w:w="109"/>
        <w:gridCol w:w="211"/>
        <w:gridCol w:w="766"/>
        <w:gridCol w:w="109"/>
        <w:gridCol w:w="109"/>
        <w:gridCol w:w="109"/>
        <w:gridCol w:w="109"/>
        <w:gridCol w:w="211"/>
        <w:gridCol w:w="766"/>
        <w:gridCol w:w="109"/>
        <w:gridCol w:w="109"/>
        <w:gridCol w:w="109"/>
        <w:gridCol w:w="109"/>
        <w:gridCol w:w="634"/>
        <w:gridCol w:w="1581"/>
        <w:gridCol w:w="328"/>
        <w:gridCol w:w="109"/>
        <w:gridCol w:w="109"/>
        <w:gridCol w:w="109"/>
        <w:gridCol w:w="211"/>
        <w:gridCol w:w="766"/>
        <w:gridCol w:w="157"/>
      </w:tblGrid>
      <w:tr>
        <w:trPr/>
        <w:tc>
          <w:tcPr>
            <w:tcW w:w="115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Dx</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Intercompany eliminations and other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LHI</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Shipping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Dx</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Intercompany eliminations and other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LHI</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Shipping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4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40" w:after="240"/>
        <w:ind w:left="0" w:right="0" w:firstLine="315"/>
        <w:jc w:val="both"/>
        <w:rPr/>
      </w:pPr>
      <w:r>
        <w:rPr>
          <w:rFonts w:ascii="Times New Roman;serif" w:hAnsi="Times New Roman;serif"/>
          <w:b w:val="false"/>
          <w:color w:val="000000"/>
          <w:sz w:val="20"/>
        </w:rPr>
        <w:t>In this Quarterly Report on Form 10-Q (Quarterly Report), Labcorp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Holdings Inc. together with its subsidiaries (Labcorp, LHI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the Annual Report, and in the Company’s other public filings, press releases, and discussions with Company management, including: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2.significant monetary damages, and penalties, and/or exclusion from or ineligibility to participate in government programs, among other adverse consequences, arising from enforcement of anti-fraud and abuse laws and other laws applicable to the Company in jurisdictions in which the Company conducts business;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3.significant fines, penalties, costs, unanticipated compliance expenditures, and/or damage to the Company’s reputation arising from the failure to comply with applicable privacy and security laws and regulations;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4.loss or suspension of a license or imposition of fines or penalties under, or future changes in or interpretations of the U.S. Clinical Laboratory Improvement Amendments of 1988, Medicare, Medicaid, or other national, state, or local laws or regulations of the U.S. and other countries where the Company operates laboratories;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7.sanctions or other remedies, including fines, unanticipated compliance expenditures, enforcement actions, injunctions or criminal prosecution arising from failure to comply with the U.S. Animal Welfare Act or applicable national, state, and local laws and regulations in jurisdictions in which the Company conducts business;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8.changes in testing guidelines or recommendations by government agencies, medical specialty societies, and other authoritative bodies affecting the development, validation, approval, clearance, commercialization, or utilization of laboratory tests;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9.changes in and failure to comply with the applicable regulations of pharmaceutical and medical device regulators affecting the approval, availability of, and the selling and marketing of diagnostic tests, including laboratory-developed tests, drug development, or the conduct of drug development and medical device and diagnostic studies and trials, including regulations and policies of the U.S. Food and Drug Administration, the U.S. Department of Agriculture, the Medicines and Healthcare Products Regulatory Agency in the U.K.,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10.changes in government regulations pertaining to the pharmaceutical, biotechnology, medical device, and diagnostic industries, changes in reimbursement of pharmaceutical products, or reduced spending on research and development by pharmaceutical, biotechnology, medical device, and diagnostic customers;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11.liabilities that result from the failure to comply with corporate governance requirements;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12.increased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13.changes in payer mix or payment structure or process, including insurance carrier participation in health insurance exchanges, an increase in capitated reimbursement mechanisms, the impact of clearinghouses on the claims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14.failure to retain or attract business from MCOs as a result of changes in strategy or business models;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15.failure to obtain and retain new customers, an unfavorable change in the mix of testing services ordered, or a reduction in tests ordered, specimens submitted, or services requested by existing customers, and delays in payments from customers;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16.consolidation and convergence of customers, competitors, and suppliers, potentially causing material shifts in insourcing, utilization, pricing, reimbursement, and supply chain access;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17.failure to invest in or effectively develop and deploy new systems, system modifications or enhancements required in response to evolving market, business, and customer trends and needs;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18.failure to identify, successfully close, and effectively integrate and/or manage acquisitions of new businesses or failure to maintain key customers and/or employees as a result of uncertainty surrounding the integration of acquisitions;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19.inability to achieve the expected benefits and synergies of newly acquired businesses, including due to items not discovered in the due diligence process, and the impact on the Company’s cash position, levels of indebtedness, and stock price;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20.termination, loss, delay, reduction in scope, or increased costs of contracts;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21.liability arising from errors or omissions in the performance of testing and other services or other contractual arrangements;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22.changes or disruption in the provision or transportation of services or supplies provided by third parties; or their termination for failure to follow the Company’s performance standards and requirements;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23.damage or disruption to the Company’s facilities;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24.impact on the Company’s reputation, or business, from acts of animal rights activists or potential harm, liability, or operational disruptions arising from, or increased regulations and restrictions, of animal research activities;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25.adverse results in litigation matters;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26.inability to attract, retain, and develop experienced and qualified personnel, including personnel in key roles and critical positions, due to increased competition for talent, wage growth, or other market factors beyond the Company’s control;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27.failure to develop or acquire licenses for new or improved technologies, such as point-of-care testing, mobile health technologies, and digital pathology, or potential use of new technologies by customers and/or consumers to perform their own tests;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28.substantial costs arising from the inability to commercialize newly licensed tests or technologies or to obtain appropriate coverage or reimbursement for such tests;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29.failure to obtain, maintain, and enforce intellectual property rights for protection of the Company’s offerings and defend against challenges to those rights;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30.scope, validity, and enforceability of patents and other proprietary rights held by third parties that may impact the Company’s ability to develop, perform, or market the Company’s offerings or operate its business;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31.business interruption, receivables impairment, delays in cash collection impacting days sales outstanding, supply chain disruptions or inventory obsolescence, increases in the Company’s material costs or other operating costs, or other impacts on the business due to natural disasters, adverse weather, geopolitical events, public health crises, and other events beyond the Company’s control;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32.discontinuation or recalls of existing products used in the performance of testing;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33.a failure in the information technology systems of the Company or newly-acquired businesses, the failure of the Company or its third-party suppliers and vendors to maintain the security of their information technology systems or to protect against cybersecurity incidents, failures in the development and implementation of the Company’s automation platforms, or adverse effects from the use of or regulation of artificial intelligence and machine learning tools;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34.business interruption, increased costs, and other adverse effects on the Company’s operations due to the unionization of employees, union strikes, work stoppages, general labor unrest, or failure to comply with labor or employment laws;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35.failure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36.impact on the Company’s revenues, cash collections, and the availability of credit for general liquidity or other financing needs arising from a significant deterioration in the economy or financial markets or in the Company’s credit ratings by S&amp;P and/or Moody’s;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37.failure to maintain the expected capital structure for the Company, including failure to maintain the Company’s investment grade rating, or leverage ratio covenants under its revolving credit facility;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38.changes in reimbursement by foreign governments and foreign currency fluctuations;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39.inability to obtain certain billing information from physicians, resulting in increased costs and complexity, a temporary disruption in receipts, and ongoing reductions in reimbursements and revenues;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40.expenses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41.failure to achieve expected efficiencies, benefits, and savings in connection with the Company’s business process improvement initiatives;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42.changes in tax laws and regulations or changes in their interpretation;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43.changing global economic conditions and government and regulatory changes;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44.risks associated with the impacts and expected benefits and costs of the completed Spin-off of the Company’s former clinical development and commercialization services business, Fortrea, including but not limited to factors that could adversely affect the Company’s ability to realize the expected benefits of the Spin-off or the failure of the Spin-off to qualify as a tax-free transaction for U.S. federal income tax purposes.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40" w:after="140"/>
        <w:jc w:val="both"/>
        <w:rPr>
          <w:rFonts w:ascii="Times New Roman;serif" w:hAnsi="Times New Roman;serif"/>
          <w:b/>
          <w:color w:val="000000"/>
          <w:sz w:val="20"/>
          <w:u w:val="single"/>
        </w:rPr>
      </w:pPr>
      <w:r>
        <w:rPr>
          <w:rFonts w:ascii="Times New Roman;serif" w:hAnsi="Times New Roman;serif"/>
          <w:b/>
          <w:color w:val="000000"/>
          <w:sz w:val="20"/>
          <w:u w:val="single"/>
        </w:rPr>
        <w:t>GENERAL (dollars in millions)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Company’s revenues were $3,731.1, an increase of 5.8% from $3,527.3 for the corresponding period in 2025. The 5.8% increase for the three months ended June 30, 2026, as compared to the corresponding period in 2025, was primarily due to organic revenue of 4.2%, acquisitions, net of divestitures, of 1.2%, and favorable foreign currency translation of 0.4%.</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Company’s revenues were $7,268.7, an increase of 5.8% from $6,872.4 for the corresponding period in 2025. The 5.8% increase for the six months ended June 30, 2026, as compared to the corresponding period in 2025, was due to organic revenue of 3.6%, acquisitions, net of divestitures, of 1.3%, and favorable foreign currency translation of 0.9%.</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defines organic revenue and organic growth as the increase in revenues excluding the year-over-year impact of acquisitions, divestitures, and currency, as well as other strategic actions taken in ED. The impacts relating to acquisitions, divestitures, and other strategic actions are considered for a 12-month period following the closing of each transaction.</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the OBBBA, which included provisions addressing regulations and federal funding affecting healthcare. These provisions include, but are not limited to, changes to Medicaid and the Affordable Care Act, and could lead to revised regulatory requirements and reduced federal funding. As a result of these changes, the Company could experience a decline in utilization of its diagnostics testing services due to a reduction in overall insurance coverage, which may cause the Company’s revenue to decrease. However, the Company currently believes any such reduction would not likely have a material impact on its results of operations in future periods. The potential impacts described above represent the Company’s assessment at this time, and the Company will continue to evaluate the impact of the OBBBA on its business and operations as the legislation’s provisions continue to become effective through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jc w:val="both"/>
        <w:rPr>
          <w:rFonts w:ascii="Times New Roman;serif" w:hAnsi="Times New Roman;serif"/>
          <w:b/>
          <w:color w:val="000000"/>
          <w:sz w:val="20"/>
          <w:u w:val="single"/>
        </w:rPr>
      </w:pPr>
      <w:r>
        <w:rPr>
          <w:rFonts w:ascii="Times New Roman;serif" w:hAnsi="Times New Roman;serif"/>
          <w:b/>
          <w:color w:val="000000"/>
          <w:sz w:val="20"/>
          <w:u w:val="single"/>
        </w:rPr>
        <w:t>RESULTS OF OPERATIONS (dollars in millions)</w:t>
      </w:r>
    </w:p>
    <w:p>
      <w:pPr>
        <w:pStyle w:val="TextBody"/>
        <w:bidi w:val="0"/>
        <w:spacing w:lineRule="auto" w:line="288" w:before="0" w:after="140"/>
        <w:ind w:left="0" w:right="0" w:firstLine="270"/>
        <w:jc w:val="both"/>
        <w:rPr/>
      </w:pPr>
      <w:r>
        <w:rPr>
          <w:rFonts w:ascii="Times New Roman;serif" w:hAnsi="Times New Roman;serif"/>
          <w:b w:val="false"/>
          <w:color w:val="212529"/>
          <w:sz w:val="20"/>
        </w:rPr>
        <w:t>The following tables present the financial measures that management considers to be the most significant indicators of the Company</w:t>
      </w:r>
      <w:r>
        <w:rPr>
          <w:color w:val="000000"/>
        </w:rPr>
        <w:t>’</w:t>
      </w:r>
      <w:r>
        <w:rPr>
          <w:rFonts w:ascii="Times New Roman;serif" w:hAnsi="Times New Roman;serif"/>
          <w:b w:val="false"/>
          <w:color w:val="212529"/>
          <w:sz w:val="20"/>
        </w:rPr>
        <w:t>s performance.</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Revenues</w:t>
      </w:r>
    </w:p>
    <w:tbl>
      <w:tblPr>
        <w:tblW w:w="7115" w:type="dxa"/>
        <w:jc w:val="left"/>
        <w:tblInd w:w="0" w:type="dxa"/>
        <w:tblLayout w:type="fixed"/>
        <w:tblCellMar>
          <w:top w:w="28" w:type="dxa"/>
          <w:left w:w="28" w:type="dxa"/>
          <w:bottom w:w="28" w:type="dxa"/>
          <w:right w:w="28" w:type="dxa"/>
        </w:tblCellMar>
      </w:tblPr>
      <w:tblGrid>
        <w:gridCol w:w="1122"/>
        <w:gridCol w:w="991"/>
        <w:gridCol w:w="1006"/>
        <w:gridCol w:w="221"/>
        <w:gridCol w:w="804"/>
        <w:gridCol w:w="114"/>
        <w:gridCol w:w="114"/>
        <w:gridCol w:w="114"/>
        <w:gridCol w:w="114"/>
        <w:gridCol w:w="221"/>
        <w:gridCol w:w="804"/>
        <w:gridCol w:w="114"/>
        <w:gridCol w:w="109"/>
        <w:gridCol w:w="109"/>
        <w:gridCol w:w="109"/>
        <w:gridCol w:w="293"/>
        <w:gridCol w:w="293"/>
        <w:gridCol w:w="463"/>
      </w:tblGrid>
      <w:tr>
        <w:trPr/>
        <w:tc>
          <w:tcPr>
            <w:tcW w:w="112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w:t>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2,900.7 </w:t>
            </w:r>
          </w:p>
        </w:tc>
        <w:tc>
          <w:tcPr>
            <w:tcW w:w="11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2,748.8 </w:t>
            </w:r>
          </w:p>
        </w:tc>
        <w:tc>
          <w:tcPr>
            <w:tcW w:w="11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eliminations and other</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Dx revenues for the three months ended June 30, 2026, were $2,900.7, an increase of 5.5% over $2,748.8 in the second quarter of 2025. The increase was primarily due to organic revenue of 3.6% and acquisitions, net of divestitures, of 1.9%.</w:t>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Dx total volume, measured by requisitions, increased by 3.0% as organic volume increased by 1.8% and acquisition volume, net of divestitures, contributed 1.3%. Price/mix increased by 2.5% due to organic growth of 1.8% and acquisitions, net of divestitures, of 0.6%.</w:t>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BLS revenues for the three months ended June 30, 2026, were $836.2, an increase of 6.5% over $784.8 in the second quarter of 2025. The increase was due to organic growth of 6.2% and favorable foreign currency translation of 1.8%, partially offset by an unfavorable impact related to strategic actions undertaken in ED of 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Cost of Revenues</w:t>
      </w:r>
    </w:p>
    <w:tbl>
      <w:tblPr>
        <w:tblW w:w="7739" w:type="dxa"/>
        <w:jc w:val="left"/>
        <w:tblInd w:w="0" w:type="dxa"/>
        <w:tblLayout w:type="fixed"/>
        <w:tblCellMar>
          <w:top w:w="28" w:type="dxa"/>
          <w:left w:w="28" w:type="dxa"/>
          <w:bottom w:w="28" w:type="dxa"/>
          <w:right w:w="28" w:type="dxa"/>
        </w:tblCellMar>
      </w:tblPr>
      <w:tblGrid>
        <w:gridCol w:w="1345"/>
        <w:gridCol w:w="1185"/>
        <w:gridCol w:w="1190"/>
        <w:gridCol w:w="211"/>
        <w:gridCol w:w="766"/>
        <w:gridCol w:w="271"/>
        <w:gridCol w:w="109"/>
        <w:gridCol w:w="109"/>
        <w:gridCol w:w="109"/>
        <w:gridCol w:w="211"/>
        <w:gridCol w:w="766"/>
        <w:gridCol w:w="271"/>
        <w:gridCol w:w="109"/>
        <w:gridCol w:w="109"/>
        <w:gridCol w:w="109"/>
        <w:gridCol w:w="203"/>
        <w:gridCol w:w="203"/>
        <w:gridCol w:w="463"/>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2,619.1 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2,481.1 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as a percentage of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Cost of revenues increased 5.6% during the three months ended June 30, 2026, as compared with the corresponding period in 2025. Cost of revenues as a percentage of revenues during the three months ended June 30, 2026, decreased to 70.2% as compared to 70.3% in the corresponding period in 2025. This decrease was primarily due to organic growth and operating efficiencies, partially offset by increased personnel costs.</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Selling, General, and Administrative Expenses</w:t>
      </w:r>
    </w:p>
    <w:tbl>
      <w:tblPr>
        <w:tblW w:w="6787" w:type="dxa"/>
        <w:jc w:val="left"/>
        <w:tblInd w:w="0" w:type="dxa"/>
        <w:tblLayout w:type="fixed"/>
        <w:tblCellMar>
          <w:top w:w="28" w:type="dxa"/>
          <w:left w:w="28" w:type="dxa"/>
          <w:bottom w:w="28" w:type="dxa"/>
          <w:right w:w="28" w:type="dxa"/>
        </w:tblCellMar>
      </w:tblPr>
      <w:tblGrid>
        <w:gridCol w:w="1047"/>
        <w:gridCol w:w="915"/>
        <w:gridCol w:w="932"/>
        <w:gridCol w:w="219"/>
        <w:gridCol w:w="641"/>
        <w:gridCol w:w="282"/>
        <w:gridCol w:w="113"/>
        <w:gridCol w:w="113"/>
        <w:gridCol w:w="113"/>
        <w:gridCol w:w="219"/>
        <w:gridCol w:w="641"/>
        <w:gridCol w:w="282"/>
        <w:gridCol w:w="109"/>
        <w:gridCol w:w="109"/>
        <w:gridCol w:w="109"/>
        <w:gridCol w:w="239"/>
        <w:gridCol w:w="241"/>
        <w:gridCol w:w="463"/>
      </w:tblGrid>
      <w:tr>
        <w:trPr/>
        <w:tc>
          <w:tcPr>
            <w:tcW w:w="104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2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2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SG&amp;A as a percentage of revenues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SG&amp;A as a percentage of revenues were 15.5% and 16.4% during the three months ended June 30, 2026, and 2025, respectively. The decrease was primarily due to revenue growth.</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Amortization of Intangibles and Other Assets</w:t>
      </w:r>
    </w:p>
    <w:tbl>
      <w:tblPr>
        <w:tblW w:w="7609" w:type="dxa"/>
        <w:jc w:val="left"/>
        <w:tblInd w:w="0" w:type="dxa"/>
        <w:tblLayout w:type="fixed"/>
        <w:tblCellMar>
          <w:top w:w="28" w:type="dxa"/>
          <w:left w:w="28" w:type="dxa"/>
          <w:bottom w:w="28" w:type="dxa"/>
          <w:right w:w="28" w:type="dxa"/>
        </w:tblCellMar>
      </w:tblPr>
      <w:tblGrid>
        <w:gridCol w:w="1336"/>
        <w:gridCol w:w="1173"/>
        <w:gridCol w:w="1180"/>
        <w:gridCol w:w="278"/>
        <w:gridCol w:w="674"/>
        <w:gridCol w:w="143"/>
        <w:gridCol w:w="143"/>
        <w:gridCol w:w="143"/>
        <w:gridCol w:w="143"/>
        <w:gridCol w:w="278"/>
        <w:gridCol w:w="674"/>
        <w:gridCol w:w="143"/>
        <w:gridCol w:w="109"/>
        <w:gridCol w:w="109"/>
        <w:gridCol w:w="109"/>
        <w:gridCol w:w="255"/>
        <w:gridCol w:w="256"/>
        <w:gridCol w:w="463"/>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2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4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4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increase in amortization of intangibles and other assets primarily reflects additional amortization for assets acquired subsequent to June 30, 2025.</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Restructuring and Other Charges</w:t>
      </w:r>
    </w:p>
    <w:tbl>
      <w:tblPr>
        <w:tblW w:w="6621" w:type="dxa"/>
        <w:jc w:val="left"/>
        <w:tblInd w:w="0" w:type="dxa"/>
        <w:tblLayout w:type="fixed"/>
        <w:tblCellMar>
          <w:top w:w="28" w:type="dxa"/>
          <w:left w:w="28" w:type="dxa"/>
          <w:bottom w:w="28" w:type="dxa"/>
          <w:right w:w="28" w:type="dxa"/>
        </w:tblCellMar>
      </w:tblPr>
      <w:tblGrid>
        <w:gridCol w:w="978"/>
        <w:gridCol w:w="860"/>
        <w:gridCol w:w="862"/>
        <w:gridCol w:w="311"/>
        <w:gridCol w:w="599"/>
        <w:gridCol w:w="160"/>
        <w:gridCol w:w="160"/>
        <w:gridCol w:w="160"/>
        <w:gridCol w:w="160"/>
        <w:gridCol w:w="311"/>
        <w:gridCol w:w="599"/>
        <w:gridCol w:w="160"/>
        <w:gridCol w:w="109"/>
        <w:gridCol w:w="109"/>
        <w:gridCol w:w="109"/>
        <w:gridCol w:w="255"/>
        <w:gridCol w:w="256"/>
        <w:gridCol w:w="46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recorded net restructuring and other charges of $5.1. The charges were comprised of $5.2 related to severance and other personnel costs, $1.7 in facility-related costs, and $0.1 in contract termination costs. The charges were adjusted by the reversal of previously established liabilities of $1.8 in unused facility-related costs and $0.1 in unused severance and other personnel costs.</w:t>
      </w:r>
    </w:p>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recorded net restructuring and other charges of $4.1. The charges were comprised of $15.1 in contract termination costs, $9.4 related to severance and other personnel costs, and $7.3 in facility-related costs. The charges were adjusted by the reversal of previously established liabilities of $26.4 in unused facility-related costs and $1.3 in unused severance and other personnel costs.</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Interest Expense</w:t>
      </w:r>
    </w:p>
    <w:tbl>
      <w:tblPr>
        <w:tblW w:w="5239" w:type="dxa"/>
        <w:jc w:val="left"/>
        <w:tblInd w:w="0" w:type="dxa"/>
        <w:tblLayout w:type="fixed"/>
        <w:tblCellMar>
          <w:top w:w="28" w:type="dxa"/>
          <w:left w:w="28" w:type="dxa"/>
          <w:bottom w:w="28" w:type="dxa"/>
          <w:right w:w="28" w:type="dxa"/>
        </w:tblCellMar>
      </w:tblPr>
      <w:tblGrid>
        <w:gridCol w:w="516"/>
        <w:gridCol w:w="452"/>
        <w:gridCol w:w="456"/>
        <w:gridCol w:w="278"/>
        <w:gridCol w:w="674"/>
        <w:gridCol w:w="143"/>
        <w:gridCol w:w="143"/>
        <w:gridCol w:w="143"/>
        <w:gridCol w:w="143"/>
        <w:gridCol w:w="278"/>
        <w:gridCol w:w="674"/>
        <w:gridCol w:w="143"/>
        <w:gridCol w:w="109"/>
        <w:gridCol w:w="109"/>
        <w:gridCol w:w="109"/>
        <w:gridCol w:w="203"/>
        <w:gridCol w:w="203"/>
        <w:gridCol w:w="463"/>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4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4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interest expense increased 6.9%, as compared with the corresponding period in 2025. The increase was primarily due to a higher average amount of total debt outstanding during the three months ended June 30, 2026, when compared to the three months ended June 30, 2025.</w:t>
      </w:r>
    </w:p>
    <w:p>
      <w:pPr>
        <w:pStyle w:val="TextBody"/>
        <w:bidi w:val="0"/>
        <w:spacing w:lineRule="auto" w:line="288" w:before="140" w:after="142"/>
        <w:jc w:val="both"/>
        <w:rPr>
          <w:rFonts w:ascii="Times New Roman;serif" w:hAnsi="Times New Roman;serif"/>
          <w:b/>
          <w:color w:val="000000"/>
          <w:sz w:val="20"/>
          <w:u w:val="single"/>
        </w:rPr>
      </w:pPr>
      <w:r>
        <w:rPr>
          <w:rFonts w:ascii="Times New Roman;serif" w:hAnsi="Times New Roman;serif"/>
          <w:b/>
          <w:color w:val="000000"/>
          <w:sz w:val="20"/>
          <w:u w:val="single"/>
        </w:rPr>
        <w:t>Equity Method Loss, Net</w:t>
      </w:r>
    </w:p>
    <w:tbl>
      <w:tblPr>
        <w:tblW w:w="6067" w:type="dxa"/>
        <w:jc w:val="left"/>
        <w:tblInd w:w="0" w:type="dxa"/>
        <w:tblLayout w:type="fixed"/>
        <w:tblCellMar>
          <w:top w:w="28" w:type="dxa"/>
          <w:left w:w="28" w:type="dxa"/>
          <w:bottom w:w="28" w:type="dxa"/>
          <w:right w:w="28" w:type="dxa"/>
        </w:tblCellMar>
      </w:tblPr>
      <w:tblGrid>
        <w:gridCol w:w="737"/>
        <w:gridCol w:w="648"/>
        <w:gridCol w:w="654"/>
        <w:gridCol w:w="287"/>
        <w:gridCol w:w="654"/>
        <w:gridCol w:w="148"/>
        <w:gridCol w:w="148"/>
        <w:gridCol w:w="148"/>
        <w:gridCol w:w="148"/>
        <w:gridCol w:w="287"/>
        <w:gridCol w:w="654"/>
        <w:gridCol w:w="148"/>
        <w:gridCol w:w="109"/>
        <w:gridCol w:w="109"/>
        <w:gridCol w:w="109"/>
        <w:gridCol w:w="308"/>
        <w:gridCol w:w="308"/>
        <w:gridCol w:w="463"/>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Equity method loss, net</w:t>
            </w:r>
          </w:p>
        </w:tc>
        <w:tc>
          <w:tcPr>
            <w:tcW w:w="28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270"/>
        <w:jc w:val="both"/>
        <w:rPr>
          <w:color w:val="000000"/>
        </w:rPr>
      </w:pPr>
      <w:r>
        <w:rPr>
          <w:color w:val="000000"/>
        </w:rPr>
        <w:t> </w:t>
      </w:r>
      <w:r>
        <w:rPr>
          <w:rFonts w:ascii="Times New Roman;serif" w:hAnsi="Times New Roman;serif"/>
          <w:b w:val="false"/>
          <w:color w:val="000000"/>
          <w:sz w:val="20"/>
        </w:rPr>
        <w:t>Equity method loss, net represents the Company’s ownership share in joint venture partnerships along with equity investments in other companies in the healthcare industry. The increase in Equity method loss, net for the three months ended June 30, 2026, as compared with the corresponding period in 2025, was primarily due to the loss recognized from the SYNLAB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Other, Net</w:t>
      </w:r>
    </w:p>
    <w:tbl>
      <w:tblPr>
        <w:tblW w:w="4910" w:type="dxa"/>
        <w:jc w:val="left"/>
        <w:tblInd w:w="0" w:type="dxa"/>
        <w:tblLayout w:type="fixed"/>
        <w:tblCellMar>
          <w:top w:w="28" w:type="dxa"/>
          <w:left w:w="28" w:type="dxa"/>
          <w:bottom w:w="28" w:type="dxa"/>
          <w:right w:w="28" w:type="dxa"/>
        </w:tblCellMar>
      </w:tblPr>
      <w:tblGrid>
        <w:gridCol w:w="331"/>
        <w:gridCol w:w="291"/>
        <w:gridCol w:w="292"/>
        <w:gridCol w:w="272"/>
        <w:gridCol w:w="620"/>
        <w:gridCol w:w="140"/>
        <w:gridCol w:w="140"/>
        <w:gridCol w:w="140"/>
        <w:gridCol w:w="140"/>
        <w:gridCol w:w="272"/>
        <w:gridCol w:w="756"/>
        <w:gridCol w:w="140"/>
        <w:gridCol w:w="109"/>
        <w:gridCol w:w="109"/>
        <w:gridCol w:w="109"/>
        <w:gridCol w:w="293"/>
        <w:gridCol w:w="293"/>
        <w:gridCol w:w="463"/>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net</w:t>
            </w:r>
          </w:p>
        </w:tc>
        <w:tc>
          <w:tcPr>
            <w:tcW w:w="27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4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change in Other, net was primarily due to a decrease in investment losses recorded during the three months ended June 30, 2026, as compared to the corresponding period of 2025.</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Provision for Income Taxes</w:t>
      </w:r>
    </w:p>
    <w:tbl>
      <w:tblPr>
        <w:tblW w:w="10150" w:type="dxa"/>
        <w:jc w:val="left"/>
        <w:tblInd w:w="0" w:type="dxa"/>
        <w:tblLayout w:type="fixed"/>
        <w:tblCellMar>
          <w:top w:w="28" w:type="dxa"/>
          <w:left w:w="28" w:type="dxa"/>
          <w:bottom w:w="28" w:type="dxa"/>
          <w:right w:w="28" w:type="dxa"/>
        </w:tblCellMar>
      </w:tblPr>
      <w:tblGrid>
        <w:gridCol w:w="2708"/>
        <w:gridCol w:w="2383"/>
        <w:gridCol w:w="2393"/>
        <w:gridCol w:w="239"/>
        <w:gridCol w:w="578"/>
        <w:gridCol w:w="306"/>
        <w:gridCol w:w="123"/>
        <w:gridCol w:w="123"/>
        <w:gridCol w:w="123"/>
        <w:gridCol w:w="239"/>
        <w:gridCol w:w="578"/>
        <w:gridCol w:w="357"/>
      </w:tblGrid>
      <w:tr>
        <w:trPr/>
        <w:tc>
          <w:tcPr>
            <w:tcW w:w="2708"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30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as a percentage of earnings from operations before income taxes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increase in the effective tax rate for the three months ended June 30, 2026, as compared with the corresponding period in 2025, was primarily attributable to the jurisdictional mix of earnings.</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Operating Results by Segment</w:t>
      </w:r>
    </w:p>
    <w:tbl>
      <w:tblPr>
        <w:tblW w:w="7930" w:type="dxa"/>
        <w:jc w:val="left"/>
        <w:tblInd w:w="0" w:type="dxa"/>
        <w:tblLayout w:type="fixed"/>
        <w:tblCellMar>
          <w:top w:w="28" w:type="dxa"/>
          <w:left w:w="28" w:type="dxa"/>
          <w:bottom w:w="28" w:type="dxa"/>
          <w:right w:w="28" w:type="dxa"/>
        </w:tblCellMar>
      </w:tblPr>
      <w:tblGrid>
        <w:gridCol w:w="1335"/>
        <w:gridCol w:w="1175"/>
        <w:gridCol w:w="1179"/>
        <w:gridCol w:w="219"/>
        <w:gridCol w:w="641"/>
        <w:gridCol w:w="282"/>
        <w:gridCol w:w="113"/>
        <w:gridCol w:w="113"/>
        <w:gridCol w:w="113"/>
        <w:gridCol w:w="219"/>
        <w:gridCol w:w="641"/>
        <w:gridCol w:w="282"/>
        <w:gridCol w:w="109"/>
        <w:gridCol w:w="109"/>
        <w:gridCol w:w="109"/>
        <w:gridCol w:w="255"/>
        <w:gridCol w:w="256"/>
        <w:gridCol w:w="408"/>
        <w:gridCol w:w="109"/>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 segment operating income</w:t>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2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2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 segment operating margin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18.0 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 segment operating income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 segment operating margin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17.0 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Amount does not cross-foot due to rounding.</w:t>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Dx segment operating income was $522.6 for the three months ended June 30, 2026, an increase of $39.8 over operating income of $482.8 in the corresponding period of 2025, and Dx segment operating margin increased approximately 50 basis points year-over-year. The increase in operating income and operating margin was due to organic growth and operating efficiencies.</w:t>
      </w:r>
    </w:p>
    <w:p>
      <w:pPr>
        <w:pStyle w:val="TextBody"/>
        <w:bidi w:val="0"/>
        <w:spacing w:lineRule="auto" w:line="288" w:before="14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BLS segment operating income was $142.2 for the three months ended June 30, 2026, an increase of $18.9 over operating income of $123.3 in the corresponding period of 2025, and BLS segment operating margin increased approximately 130 basis points year-over-year. The increase in operating income and operating margin was primarily due to organic growth in the Central Laboratory business and operating efficiencies from the strategic actions taken in ED.</w:t>
      </w:r>
    </w:p>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 are comprised primarily of administrative services such as executive management, human resources, legal, finance, corporate affairs, and information technology. General corporate and unallocated expenses were $130.0 for the three months ended June 30, 2026, a decrease of $9.2 compared to general corporate and unallocated expenses of $139.2 in the corresponding period of 2025, primarily due to lower LaunchPad costs and other expenses, partially offset by higher acquisition and disposition-related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rFonts w:ascii="Times New Roman;serif" w:hAnsi="Times New Roman;serif"/>
          <w:b/>
          <w:color w:val="000000"/>
          <w:sz w:val="20"/>
          <w:u w:val="single"/>
        </w:rPr>
      </w:pPr>
      <w:r>
        <w:rPr>
          <w:rFonts w:ascii="Times New Roman;serif" w:hAnsi="Times New Roman;serif"/>
          <w:b/>
          <w:color w:val="000000"/>
          <w:sz w:val="20"/>
          <w:u w:val="single"/>
        </w:rPr>
        <w:t>Revenues</w:t>
      </w:r>
    </w:p>
    <w:tbl>
      <w:tblPr>
        <w:tblW w:w="6994" w:type="dxa"/>
        <w:jc w:val="left"/>
        <w:tblInd w:w="0" w:type="dxa"/>
        <w:tblLayout w:type="fixed"/>
        <w:tblCellMar>
          <w:top w:w="28" w:type="dxa"/>
          <w:left w:w="28" w:type="dxa"/>
          <w:bottom w:w="28" w:type="dxa"/>
          <w:right w:w="28" w:type="dxa"/>
        </w:tblCellMar>
      </w:tblPr>
      <w:tblGrid>
        <w:gridCol w:w="1122"/>
        <w:gridCol w:w="991"/>
        <w:gridCol w:w="1006"/>
        <w:gridCol w:w="211"/>
        <w:gridCol w:w="766"/>
        <w:gridCol w:w="109"/>
        <w:gridCol w:w="109"/>
        <w:gridCol w:w="109"/>
        <w:gridCol w:w="109"/>
        <w:gridCol w:w="211"/>
        <w:gridCol w:w="766"/>
        <w:gridCol w:w="109"/>
        <w:gridCol w:w="109"/>
        <w:gridCol w:w="109"/>
        <w:gridCol w:w="109"/>
        <w:gridCol w:w="293"/>
        <w:gridCol w:w="293"/>
        <w:gridCol w:w="463"/>
      </w:tblGrid>
      <w:tr>
        <w:trPr/>
        <w:tc>
          <w:tcPr>
            <w:tcW w:w="112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eliminations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Dx revenues for the six months ended June 30, 2026, were $5,662.8, an increase of 5.3% over $5,378.4 during the six months ended June 30, 2025. The increase was due to organic revenue of 3.2%, acquisitions, net of divestitures, of 2.0%, and favorable foreign currency translation of 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Dx total volume, measured by requisitions, increased by 2.8% as organic volume increased by 1.4% and acquisition volume, net of divestitures, contributed 1.3%. Price/mix increased by 2.5% due to organic growth of 1.8%, acquisitions, net of divestitures, of 0.6%, and favorable foreign currency translation of 0.1%.</w:t>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BLS revenues for the six months ended June 30, 2026, were $1,616.8, an increase of 7.3% over $1,506.1 during the six months ended June 30, 2025. The increase was due to organic growth of 5.0% and favorable foreign currency translation of 3.6%, partially offset by an unfavorable impact related to strategic actions undertaken in ED of 1.2%.</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Cost of Revenues</w:t>
      </w:r>
    </w:p>
    <w:tbl>
      <w:tblPr>
        <w:tblW w:w="7019" w:type="dxa"/>
        <w:jc w:val="left"/>
        <w:tblInd w:w="0" w:type="dxa"/>
        <w:tblLayout w:type="fixed"/>
        <w:tblCellMar>
          <w:top w:w="28" w:type="dxa"/>
          <w:left w:w="28" w:type="dxa"/>
          <w:bottom w:w="28" w:type="dxa"/>
          <w:right w:w="28" w:type="dxa"/>
        </w:tblCellMar>
      </w:tblPr>
      <w:tblGrid>
        <w:gridCol w:w="1084"/>
        <w:gridCol w:w="956"/>
        <w:gridCol w:w="960"/>
        <w:gridCol w:w="211"/>
        <w:gridCol w:w="766"/>
        <w:gridCol w:w="271"/>
        <w:gridCol w:w="109"/>
        <w:gridCol w:w="109"/>
        <w:gridCol w:w="109"/>
        <w:gridCol w:w="211"/>
        <w:gridCol w:w="766"/>
        <w:gridCol w:w="271"/>
        <w:gridCol w:w="109"/>
        <w:gridCol w:w="109"/>
        <w:gridCol w:w="109"/>
        <w:gridCol w:w="203"/>
        <w:gridCol w:w="203"/>
        <w:gridCol w:w="463"/>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5,142.9 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4,878.2 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as a % of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Cost of revenues increased 5.4% during the six months ended June 30, 2026, as compared with the corresponding period in 2025. Cost of revenues as a percentage of revenues during the six months ended June 30, 2026, decreased to 70.8% as compared to 71.0% in the corresponding period in 2025. This decrease was primarily due to organic growth and operating efficiencies, partially offset by increased personnel costs.</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Selling, General, and Administrative Expenses</w:t>
      </w:r>
    </w:p>
    <w:tbl>
      <w:tblPr>
        <w:tblW w:w="6194" w:type="dxa"/>
        <w:jc w:val="left"/>
        <w:tblInd w:w="0" w:type="dxa"/>
        <w:tblLayout w:type="fixed"/>
        <w:tblCellMar>
          <w:top w:w="28" w:type="dxa"/>
          <w:left w:w="28" w:type="dxa"/>
          <w:bottom w:w="28" w:type="dxa"/>
          <w:right w:w="28" w:type="dxa"/>
        </w:tblCellMar>
      </w:tblPr>
      <w:tblGrid>
        <w:gridCol w:w="786"/>
        <w:gridCol w:w="688"/>
        <w:gridCol w:w="701"/>
        <w:gridCol w:w="211"/>
        <w:gridCol w:w="766"/>
        <w:gridCol w:w="271"/>
        <w:gridCol w:w="109"/>
        <w:gridCol w:w="109"/>
        <w:gridCol w:w="109"/>
        <w:gridCol w:w="211"/>
        <w:gridCol w:w="766"/>
        <w:gridCol w:w="271"/>
        <w:gridCol w:w="109"/>
        <w:gridCol w:w="109"/>
        <w:gridCol w:w="109"/>
        <w:gridCol w:w="203"/>
        <w:gridCol w:w="203"/>
        <w:gridCol w:w="463"/>
      </w:tblGrid>
      <w:tr>
        <w:trPr/>
        <w:tc>
          <w:tcPr>
            <w:tcW w:w="7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SG&amp;A as a % of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SG&amp;A as a percentage of revenues were 15.5% and 16.4% during the six months ended June 30, 2026, and 2025, respectively. The decrease was primarily due to revenue growth.</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Amortization of Intangibles and Other Assets</w:t>
      </w:r>
    </w:p>
    <w:tbl>
      <w:tblPr>
        <w:tblW w:w="7372" w:type="dxa"/>
        <w:jc w:val="left"/>
        <w:tblInd w:w="0" w:type="dxa"/>
        <w:tblLayout w:type="fixed"/>
        <w:tblCellMar>
          <w:top w:w="28" w:type="dxa"/>
          <w:left w:w="28" w:type="dxa"/>
          <w:bottom w:w="28" w:type="dxa"/>
          <w:right w:w="28" w:type="dxa"/>
        </w:tblCellMar>
      </w:tblPr>
      <w:tblGrid>
        <w:gridCol w:w="1336"/>
        <w:gridCol w:w="1173"/>
        <w:gridCol w:w="1180"/>
        <w:gridCol w:w="228"/>
        <w:gridCol w:w="668"/>
        <w:gridCol w:w="118"/>
        <w:gridCol w:w="118"/>
        <w:gridCol w:w="118"/>
        <w:gridCol w:w="118"/>
        <w:gridCol w:w="228"/>
        <w:gridCol w:w="668"/>
        <w:gridCol w:w="118"/>
        <w:gridCol w:w="109"/>
        <w:gridCol w:w="109"/>
        <w:gridCol w:w="109"/>
        <w:gridCol w:w="255"/>
        <w:gridCol w:w="256"/>
        <w:gridCol w:w="463"/>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increase in amortization of intangibles and other assets primarily reflects additional amortization for assets acquired subsequent to June 30, 2025.</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Restructuring and Other Charges</w:t>
      </w:r>
    </w:p>
    <w:tbl>
      <w:tblPr>
        <w:tblW w:w="6381" w:type="dxa"/>
        <w:jc w:val="left"/>
        <w:tblInd w:w="0" w:type="dxa"/>
        <w:tblLayout w:type="fixed"/>
        <w:tblCellMar>
          <w:top w:w="28" w:type="dxa"/>
          <w:left w:w="28" w:type="dxa"/>
          <w:bottom w:w="28" w:type="dxa"/>
          <w:right w:w="28" w:type="dxa"/>
        </w:tblCellMar>
      </w:tblPr>
      <w:tblGrid>
        <w:gridCol w:w="978"/>
        <w:gridCol w:w="860"/>
        <w:gridCol w:w="862"/>
        <w:gridCol w:w="253"/>
        <w:gridCol w:w="612"/>
        <w:gridCol w:w="130"/>
        <w:gridCol w:w="130"/>
        <w:gridCol w:w="130"/>
        <w:gridCol w:w="130"/>
        <w:gridCol w:w="253"/>
        <w:gridCol w:w="612"/>
        <w:gridCol w:w="130"/>
        <w:gridCol w:w="109"/>
        <w:gridCol w:w="109"/>
        <w:gridCol w:w="109"/>
        <w:gridCol w:w="255"/>
        <w:gridCol w:w="256"/>
        <w:gridCol w:w="46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recorded net restructuring and other charges of $11.5. The charges were comprised of $19.8 related to severance and other personnel costs, $3.3 in facility-related costs, and $0.1 in contract termination costs. The charges were adjusted by the reversal of a previously established liability of $8.4 in unused facility-related costs, $3.1 in unused contract termination costs, and $0.2 in unused severance and other personnel costs.</w:t>
      </w:r>
    </w:p>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recorded net restructuring and other charges of $10.5. The charges were comprised of $17.0 related to severance and other personnel costs, $15.1 in contract termination costs, and $7.3 in facility-related costs. The charges were adjusted by the reversal of a previously established liability of $27.5 in unused facility-related costs and $1.4 in unused severance and other personnel costs.</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Interest Expense</w:t>
      </w:r>
    </w:p>
    <w:tbl>
      <w:tblPr>
        <w:tblW w:w="5002" w:type="dxa"/>
        <w:jc w:val="left"/>
        <w:tblInd w:w="0" w:type="dxa"/>
        <w:tblLayout w:type="fixed"/>
        <w:tblCellMar>
          <w:top w:w="28" w:type="dxa"/>
          <w:left w:w="28" w:type="dxa"/>
          <w:bottom w:w="28" w:type="dxa"/>
          <w:right w:w="28" w:type="dxa"/>
        </w:tblCellMar>
      </w:tblPr>
      <w:tblGrid>
        <w:gridCol w:w="516"/>
        <w:gridCol w:w="452"/>
        <w:gridCol w:w="456"/>
        <w:gridCol w:w="228"/>
        <w:gridCol w:w="668"/>
        <w:gridCol w:w="118"/>
        <w:gridCol w:w="118"/>
        <w:gridCol w:w="118"/>
        <w:gridCol w:w="118"/>
        <w:gridCol w:w="228"/>
        <w:gridCol w:w="668"/>
        <w:gridCol w:w="118"/>
        <w:gridCol w:w="109"/>
        <w:gridCol w:w="109"/>
        <w:gridCol w:w="109"/>
        <w:gridCol w:w="203"/>
        <w:gridCol w:w="203"/>
        <w:gridCol w:w="463"/>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interest expense increased 2.7%, as compared with the corresponding period in 2025. The increase was primarily due to a higher average amount of total debt outstanding during the six months ended June 30, 2026, when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Equity Method Loss, Net</w:t>
      </w:r>
    </w:p>
    <w:tbl>
      <w:tblPr>
        <w:tblW w:w="5825" w:type="dxa"/>
        <w:jc w:val="left"/>
        <w:tblInd w:w="0" w:type="dxa"/>
        <w:tblLayout w:type="fixed"/>
        <w:tblCellMar>
          <w:top w:w="28" w:type="dxa"/>
          <w:left w:w="28" w:type="dxa"/>
          <w:bottom w:w="28" w:type="dxa"/>
          <w:right w:w="28" w:type="dxa"/>
        </w:tblCellMar>
      </w:tblPr>
      <w:tblGrid>
        <w:gridCol w:w="737"/>
        <w:gridCol w:w="648"/>
        <w:gridCol w:w="654"/>
        <w:gridCol w:w="247"/>
        <w:gridCol w:w="687"/>
        <w:gridCol w:w="127"/>
        <w:gridCol w:w="127"/>
        <w:gridCol w:w="127"/>
        <w:gridCol w:w="127"/>
        <w:gridCol w:w="247"/>
        <w:gridCol w:w="564"/>
        <w:gridCol w:w="127"/>
        <w:gridCol w:w="109"/>
        <w:gridCol w:w="109"/>
        <w:gridCol w:w="109"/>
        <w:gridCol w:w="308"/>
        <w:gridCol w:w="308"/>
        <w:gridCol w:w="463"/>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Equity method loss, net</w:t>
            </w:r>
          </w:p>
        </w:tc>
        <w:tc>
          <w:tcPr>
            <w:tcW w:w="24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2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Equity method loss, net represents the Company’s ownership share in joint venture partnerships along with equity investments in other companies in the healthcare industry. The increase in Equity method loss, net for the six months ended June 30, 2026, as compared with the corresponding period in 2025, was primarily due to the loss recognized from the SYNLAB investment.</w:t>
      </w:r>
    </w:p>
    <w:p>
      <w:pPr>
        <w:pStyle w:val="TextBody"/>
        <w:bidi w:val="0"/>
        <w:spacing w:lineRule="auto" w:line="288" w:before="100" w:after="283"/>
        <w:jc w:val="both"/>
        <w:rPr>
          <w:rFonts w:ascii="Times New Roman;serif" w:hAnsi="Times New Roman;serif"/>
          <w:b/>
          <w:color w:val="000000"/>
          <w:sz w:val="20"/>
          <w:u w:val="single"/>
        </w:rPr>
      </w:pPr>
      <w:r>
        <w:rPr>
          <w:rFonts w:ascii="Times New Roman;serif" w:hAnsi="Times New Roman;serif"/>
          <w:b/>
          <w:color w:val="000000"/>
          <w:sz w:val="20"/>
          <w:u w:val="single"/>
        </w:rPr>
        <w:t>Other, net</w:t>
      </w:r>
    </w:p>
    <w:tbl>
      <w:tblPr>
        <w:tblW w:w="4671" w:type="dxa"/>
        <w:jc w:val="left"/>
        <w:tblInd w:w="0" w:type="dxa"/>
        <w:tblLayout w:type="fixed"/>
        <w:tblCellMar>
          <w:top w:w="28" w:type="dxa"/>
          <w:left w:w="28" w:type="dxa"/>
          <w:bottom w:w="28" w:type="dxa"/>
          <w:right w:w="28" w:type="dxa"/>
        </w:tblCellMar>
      </w:tblPr>
      <w:tblGrid>
        <w:gridCol w:w="331"/>
        <w:gridCol w:w="291"/>
        <w:gridCol w:w="292"/>
        <w:gridCol w:w="235"/>
        <w:gridCol w:w="653"/>
        <w:gridCol w:w="121"/>
        <w:gridCol w:w="121"/>
        <w:gridCol w:w="121"/>
        <w:gridCol w:w="121"/>
        <w:gridCol w:w="235"/>
        <w:gridCol w:w="653"/>
        <w:gridCol w:w="121"/>
        <w:gridCol w:w="109"/>
        <w:gridCol w:w="109"/>
        <w:gridCol w:w="109"/>
        <w:gridCol w:w="293"/>
        <w:gridCol w:w="293"/>
        <w:gridCol w:w="463"/>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2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2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2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270"/>
        <w:jc w:val="both"/>
        <w:rPr>
          <w:color w:val="000000"/>
        </w:rPr>
      </w:pPr>
      <w:r>
        <w:rPr>
          <w:color w:val="000000"/>
        </w:rPr>
        <w:t> </w:t>
      </w:r>
      <w:r>
        <w:rPr>
          <w:rFonts w:ascii="Times New Roman;serif" w:hAnsi="Times New Roman;serif"/>
          <w:b w:val="false"/>
          <w:color w:val="000000"/>
          <w:sz w:val="20"/>
        </w:rPr>
        <w:t>The change in Other, net for the six months ended June 30, 2026, as compared to the six months ended June 30, 2025, was primarily due to investment losses of $8.6 recorded during the six months ended June 30, 2026, compared to investment losses of $34.7 for the corresponding period of 2025. In addition, there were foreign currency transaction losses of $7.5 recognized for the six months ended June 30, 2026, as compared to losses of $3.1 for the corresponding period of 2025. As the TSA between Fortrea and LCAH expired on June 30, 2025, there were no fees charged to Fortrea for the six months ended June 30, 2026, as compared to $3.8 in the corresponding period in 2025.</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Provision for Income Taxes</w:t>
      </w:r>
    </w:p>
    <w:tbl>
      <w:tblPr>
        <w:tblW w:w="10052" w:type="dxa"/>
        <w:jc w:val="left"/>
        <w:tblInd w:w="0" w:type="dxa"/>
        <w:tblLayout w:type="fixed"/>
        <w:tblCellMar>
          <w:top w:w="28" w:type="dxa"/>
          <w:left w:w="28" w:type="dxa"/>
          <w:bottom w:w="28" w:type="dxa"/>
          <w:right w:w="28" w:type="dxa"/>
        </w:tblCellMar>
      </w:tblPr>
      <w:tblGrid>
        <w:gridCol w:w="2708"/>
        <w:gridCol w:w="2383"/>
        <w:gridCol w:w="2393"/>
        <w:gridCol w:w="211"/>
        <w:gridCol w:w="616"/>
        <w:gridCol w:w="271"/>
        <w:gridCol w:w="109"/>
        <w:gridCol w:w="109"/>
        <w:gridCol w:w="109"/>
        <w:gridCol w:w="211"/>
        <w:gridCol w:w="616"/>
        <w:gridCol w:w="316"/>
      </w:tblGrid>
      <w:tr>
        <w:trPr/>
        <w:tc>
          <w:tcPr>
            <w:tcW w:w="2708"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3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as a percentage of earnings from operations before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decrease in the effective tax rate for the six months ended June 30, 2026, as compared to the corresponding period in 2025, was primarily attributable to discrete benefits recognized from the tax restructuring of certain foreign entities.</w: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Operating Income by Segment</w:t>
      </w:r>
    </w:p>
    <w:tbl>
      <w:tblPr>
        <w:tblW w:w="7513" w:type="dxa"/>
        <w:jc w:val="left"/>
        <w:tblInd w:w="0" w:type="dxa"/>
        <w:tblLayout w:type="fixed"/>
        <w:tblCellMar>
          <w:top w:w="28" w:type="dxa"/>
          <w:left w:w="28" w:type="dxa"/>
          <w:bottom w:w="28" w:type="dxa"/>
          <w:right w:w="28" w:type="dxa"/>
        </w:tblCellMar>
      </w:tblPr>
      <w:tblGrid>
        <w:gridCol w:w="1335"/>
        <w:gridCol w:w="1175"/>
        <w:gridCol w:w="1179"/>
        <w:gridCol w:w="211"/>
        <w:gridCol w:w="616"/>
        <w:gridCol w:w="271"/>
        <w:gridCol w:w="109"/>
        <w:gridCol w:w="109"/>
        <w:gridCol w:w="109"/>
        <w:gridCol w:w="211"/>
        <w:gridCol w:w="616"/>
        <w:gridCol w:w="271"/>
        <w:gridCol w:w="109"/>
        <w:gridCol w:w="109"/>
        <w:gridCol w:w="109"/>
        <w:gridCol w:w="255"/>
        <w:gridCol w:w="256"/>
        <w:gridCol w:w="463"/>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 segment operating income</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 segment 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 segment 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BLS segment 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Dx segment operating income was $981.3 for the six months ended June 30, 2026, an increase of $71.0 over operating income of $910.3 in the corresponding period of 2025, and Dx segment operating margin increased approximately 40 basis points year-over-year. The increase in operating margin was primarily due to organic growth and operating efficiencies.</w:t>
      </w:r>
    </w:p>
    <w:p>
      <w:pPr>
        <w:pStyle w:val="TextBody"/>
        <w:bidi w:val="0"/>
        <w:spacing w:lineRule="auto" w:line="288" w:before="14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BLS segment operating income was $262.9 for the six months ended June 30, 2026, an increase of $32.7 over operating income of $230.2 in the corresponding period of 2025, and BLS segment operating margin increased approximately 100 basis points year-over-year. The increase in operating margin was primarily due to organic growth in the Central Laboratory business and operating efficiencies from the strategic actions taken in ED.</w:t>
      </w:r>
    </w:p>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General corporate and unallocated expenses are comprised primarily of administrative services such as executive management, human resources, legal, finance, corporate affairs, and information technology. General corporate and unallocated expenses were $246.6 for the six months ended June 30, 2026, a decrease of $25.0 compared to general corporate and unallocated expenses of $271.6 in the corresponding period of 2025, primarily due to lower acquisition and disposition-related costs and LaunchPad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140"/>
        <w:jc w:val="both"/>
        <w:rPr>
          <w:rFonts w:ascii="Times New Roman;serif" w:hAnsi="Times New Roman;serif"/>
          <w:b/>
          <w:color w:val="000000"/>
          <w:sz w:val="20"/>
          <w:u w:val="single"/>
        </w:rPr>
      </w:pPr>
      <w:r>
        <w:rPr>
          <w:rFonts w:ascii="Times New Roman;serif" w:hAnsi="Times New Roman;serif"/>
          <w:b/>
          <w:color w:val="000000"/>
          <w:sz w:val="20"/>
          <w:u w:val="single"/>
        </w:rPr>
        <w:t>LIQUIDITY AND CAPITAL RESOURCES (dollars and shares in millions, except per share amounts)</w:t>
      </w:r>
    </w:p>
    <w:p>
      <w:pPr>
        <w:pStyle w:val="TextBody"/>
        <w:bidi w:val="0"/>
        <w:spacing w:lineRule="auto" w:line="288" w:before="0" w:after="142"/>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Company’s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Condensed Consolidated Financial Statements.</w:t>
      </w:r>
    </w:p>
    <w:p>
      <w:pPr>
        <w:pStyle w:val="TextBody"/>
        <w:bidi w:val="0"/>
        <w:spacing w:lineRule="auto" w:line="288" w:before="0" w:after="142"/>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In summary the Company’s cash flows were as follows:</w:t>
      </w:r>
    </w:p>
    <w:tbl>
      <w:tblPr>
        <w:tblW w:w="7765" w:type="dxa"/>
        <w:jc w:val="left"/>
        <w:tblInd w:w="0" w:type="dxa"/>
        <w:tblLayout w:type="fixed"/>
        <w:tblCellMar>
          <w:top w:w="28" w:type="dxa"/>
          <w:left w:w="28" w:type="dxa"/>
          <w:bottom w:w="28" w:type="dxa"/>
          <w:right w:w="28" w:type="dxa"/>
        </w:tblCellMar>
      </w:tblPr>
      <w:tblGrid>
        <w:gridCol w:w="1932"/>
        <w:gridCol w:w="1701"/>
        <w:gridCol w:w="1706"/>
        <w:gridCol w:w="214"/>
        <w:gridCol w:w="701"/>
        <w:gridCol w:w="110"/>
        <w:gridCol w:w="110"/>
        <w:gridCol w:w="110"/>
        <w:gridCol w:w="110"/>
        <w:gridCol w:w="214"/>
        <w:gridCol w:w="701"/>
        <w:gridCol w:w="156"/>
      </w:tblGrid>
      <w:tr>
        <w:trPr/>
        <w:tc>
          <w:tcPr>
            <w:tcW w:w="1932"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on changes in Cash and cash equivalents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at June 30, 2026, and 2025, totaled $141.8 and $647.3, respectively. Cash and cash equivalents consist of highly liquid instruments, such as time deposits, and other money market investments, which have original maturities of three months or less.</w:t>
      </w:r>
    </w:p>
    <w:p>
      <w:pPr>
        <w:pStyle w:val="TextBody"/>
        <w:bidi w:val="0"/>
        <w:spacing w:lineRule="auto" w:line="288" w:before="142"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Cash and cash equivalents, at June 30, 2026, the Company had $1,000.0 of available borrowings under its revolving credit facility, which, as amended on June 27, 2025, expires in 2030.</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40" w:after="14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Company’s operations provided $637.0 of cash as compared to $639.1 during the same period in 2025. The $2.1 decrease in net cash provided by operations during the six months ended June 30, 2026, as compared with the corresponding 2025 period, was primarily due to changes in net working capital, partially offset by higher cash earnings.</w:t>
      </w:r>
    </w:p>
    <w:p>
      <w:pPr>
        <w:pStyle w:val="TextBody"/>
        <w:bidi w:val="0"/>
        <w:spacing w:lineRule="auto" w:line="288" w:before="0" w:after="60"/>
        <w:jc w:val="both"/>
        <w:rPr/>
      </w:pPr>
      <w:r>
        <w:rPr>
          <w:rFonts w:ascii="Times New Roman;serif" w:hAnsi="Times New Roman;serif"/>
          <w:b/>
          <w:i/>
          <w:color w:val="000000"/>
          <w:sz w:val="20"/>
        </w:rPr>
        <w:t>Cash Flows from Investing Activities</w:t>
      </w:r>
      <w:r>
        <w:rPr>
          <w:color w:val="000000"/>
        </w:rPr>
        <w:t xml:space="preserve"> </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six months ended June 30, 2026, was $688.3 as compared to $430.1 for the six months ended June 30, 2025. The increase in cash used for investing activities for the six months ended June 30, 2026, as compared to the corresponding period in 2025, was primarily due to increased business acquisitions and capital expenditures, partially offset by a decrease in the purchase of equity affiliates and other investments.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Capital expenditures were $252.6 and $203.9 for the six months ended June 30, 2026, and 2025, respectively. Capital expenditures for the six months ended June 30, 2026, were 3.5% of Revenues, primarily in connection with projects to support growth in the Company’s core businesses, facility expansion and updates, implement advanced technology, and further acquisition integration activities.</w:t>
      </w:r>
    </w:p>
    <w:p>
      <w:pPr>
        <w:pStyle w:val="TextBody"/>
        <w:bidi w:val="0"/>
        <w:spacing w:lineRule="auto" w:line="288" w:before="0" w:after="60"/>
        <w:jc w:val="both"/>
        <w:rPr/>
      </w:pPr>
      <w:r>
        <w:rPr>
          <w:rFonts w:ascii="Times New Roman;serif" w:hAnsi="Times New Roman;serif"/>
          <w:b/>
          <w:i/>
          <w:color w:val="000000"/>
          <w:sz w:val="20"/>
        </w:rPr>
        <w:t>Cash Flows from Financing Activities</w:t>
      </w:r>
      <w:r>
        <w:rPr>
          <w:color w:val="000000"/>
        </w:rPr>
        <w:t xml:space="preserve"> </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the six months ended June 30, 2026, was $339.4 as compared to $1,107.1 for the six months ended June 30, 2025. The decrease in cash flows used for financing activities for the six months ended June 30, 2026, as compared to the six months ended June 30, 2025, was primarily due to increased proceeds from the 2026 Term Loan of $750.0, decreased payments on senior notes of $500.0, increased Common Stock repurchases of $251.8, and decreased proceeds, net of repayments, from the Company’s AR Facility of $200.0.</w:t>
      </w:r>
    </w:p>
    <w:p>
      <w:pPr>
        <w:pStyle w:val="TextBody"/>
        <w:bidi w:val="0"/>
        <w:spacing w:lineRule="auto" w:line="288" w:before="142"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28, 2026, the Company further amended its AR Facility. Among other things, this amendment extended the scheduled termination date to January 26, 2029.</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20, 2026, the Company entered into the $750.0 2026 Term Loan that will mature on March 20, 2028. On June 1, 2026, the net proceeds of the 2026 Term Loan were used to redeem the Company’s outstanding 1.55% senior notes due 2026 and, to the extent not used for such purpose, were made available for other general corporate uses. The principal balance of the 2026 Term Loan bears interest at a floating per annum rate equal to, at the Company’s election, either (i) a SOFR-based rate plus a margin of 0.700% or (ii) a base rate plus a margin of 0.0%.</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Company’s 2026 Term Loan, revolving credit facility, indentures relating to the Company’s senior notes, and AR Facility, the Company is subject to negative covenants limiting subsidiary indebtedness and certain other covenants typical for investment grade-rated borrowers, and with respect to the 2026 Term Loan and revolving credit facility, the Company is required to maintain certain leverage ratios. The Company was in compliance with all covenants at June 30, 2026, and expects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that it will remain in compliance with its existing debt covenants for the next 12 months.</w:t>
      </w:r>
    </w:p>
    <w:p>
      <w:pPr>
        <w:pStyle w:val="TextBody"/>
        <w:bidi w:val="0"/>
        <w:spacing w:lineRule="auto" w:line="288" w:before="6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outstanding authorization from its Board to purchase up to $378.6 maximum value of Common Stock. On July 8, 2026, the Board authorized the repurchase of an additional $1,000.0 in the maximum value of the Company’s shares of Common Stock as part of the Company’s ongoing share repurchase program, bringing the total share repurchase authorization to $1,378.6 maximum value of shares of Common Stock. The repurchase authorization has no expiration date.</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paid $119.9 in Common Stock dividends. On July 9, 2026, the Company announced a cash dividend of $0.72 per share of Common Stock, or approximately $59.0 in the aggregate. The dividend will be paid on September 11, 2026, to stockholders of record of all issued and outstanding shares of Common Stock as of the close of business on August 28, 2026. The declaration and payment of any future dividends will be at the discretion of the Board.</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Guarantor Information</w:t>
      </w:r>
    </w:p>
    <w:p>
      <w:pPr>
        <w:pStyle w:val="TextBody"/>
        <w:bidi w:val="0"/>
        <w:spacing w:lineRule="auto" w:line="288" w:before="14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the Company, LCAH and U.S. Bank Trust Company, National Association (the Trustee) entered into a seventeenth supplemental indenture (the Seventeenth Supplemental Indenture) to the indenture, dated as of November 19, 2010, between LCAH and the Trustee (2010 Indenture). In addition, the Company, LCAH and the Trustee entered into the 2024 Indenture on September 23, 2024 (the 2024 Indenture, together with the 2010 Indenture, the Indentures). The Seventeenth Supplemental Indenture, among other things, provides for the full and unconditional guarantee by the Company of LCAH’s obligations under the 2010 Indenture, and each series of senior notes issued and outstanding thereunder, and the 2024 Indenture provides for the full and unconditional guarantee by the Company of LCAH’s obligations, and each series of senior notes issued and outstanding, thereunder (collectively, the Labcorp Holdings Guarantees). Also, the Indentures permit the Company to satisfy LCAH’s reporting obligations so long as the Labcorp Holdings Guarantees remain in place and the Company’s Condensed Consolidated Financial Statements and other information comply with the requirements of Rule 3-10 of Regulation S-X.</w:t>
      </w:r>
    </w:p>
    <w:p>
      <w:pPr>
        <w:pStyle w:val="TextBody"/>
        <w:bidi w:val="0"/>
        <w:spacing w:lineRule="auto" w:line="288" w:before="14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there was $2,593.1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the Company has excluded the summarized financial information for LCAH because the assets, liabilities, and results of operations of LCAH are not materially different than the corresponding amounts in the Company’s Condensed Consolidated Financial Statements and management believes such summarized financial information would be repetitive and would not provide incremental value to investors.</w:t>
      </w:r>
    </w:p>
    <w:p>
      <w:pPr>
        <w:pStyle w:val="TextBody"/>
        <w:bidi w:val="0"/>
        <w:spacing w:lineRule="auto" w:line="288" w:before="140" w:after="140"/>
        <w:jc w:val="both"/>
        <w:rPr>
          <w:rFonts w:ascii="Times New Roman;serif" w:hAnsi="Times New Roman;serif"/>
          <w:b/>
          <w:i/>
          <w:color w:val="000000"/>
          <w:sz w:val="20"/>
        </w:rPr>
      </w:pPr>
      <w:r>
        <w:rPr>
          <w:rFonts w:ascii="Times New Roman;serif" w:hAnsi="Times New Roman;serif"/>
          <w:b/>
          <w:i/>
          <w:color w:val="000000"/>
          <w:sz w:val="20"/>
        </w:rPr>
        <w:t>Credit Ratings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investment grade credit ratings from Moody’s and S&amp;P Global Ratings contribute to the Company’s ability to access capital markets.</w:t>
      </w:r>
    </w:p>
    <w:p>
      <w:pPr>
        <w:pStyle w:val="TextBody"/>
        <w:bidi w:val="0"/>
        <w:spacing w:lineRule="auto" w:line="288" w:before="140" w:after="14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variable interest entities or special purpose entities whose financial results are not included in the Company’s Condensed Consolidated Financial Statements.</w:t>
      </w:r>
    </w:p>
    <w:p>
      <w:pPr>
        <w:pStyle w:val="TextBody"/>
        <w:bidi w:val="0"/>
        <w:spacing w:lineRule="auto" w:line="288" w:before="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 noncancelable contract with a vendor to purchase supplies inventory pursuant to which the Company is obligated to make expected total future minimum payments of $115.4, including $20.9 for the remainder of 2026, $20.5 in 2027, and $74.0 in 2028.</w:t>
      </w:r>
    </w:p>
    <w:p>
      <w:pPr>
        <w:pStyle w:val="TextBody"/>
        <w:bidi w:val="0"/>
        <w:spacing w:lineRule="auto" w:line="288" w:before="140" w:after="140"/>
        <w:jc w:val="both"/>
        <w:rPr>
          <w:rFonts w:ascii="Times New Roman;serif" w:hAnsi="Times New Roman;serif"/>
          <w:b/>
          <w:i/>
          <w:color w:val="000000"/>
          <w:sz w:val="20"/>
        </w:rPr>
      </w:pPr>
      <w:r>
        <w:rPr>
          <w:rFonts w:ascii="Times New Roman;serif" w:hAnsi="Times New Roman;serif"/>
          <w:b/>
          <w:i/>
          <w:color w:val="000000"/>
          <w:sz w:val="20"/>
        </w:rPr>
        <w:t>Other Commercial Commitments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debt instruments outstanding. At June 30, 2026, the Company had total future payments of $5,894.0, with $0.9 payable within 12 months.</w:t>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leases for PSCs, laboratories and testing facilities, clinical facilities, general office spaces, vehicles, and office and laboratory equipment. At June 30, 2026, the Company had total future lease payments for short-term and long-term leases of $1,098.9, with payments of $226.5 due within 12 months.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28, 2026, the Company entered into an agreement to acquire select assets of an outreach laboratory services business for a purchase price of approximately $155.0. The transaction is anticipated to close in the third quarter of 2026, subject to customary closing conditions and applicable regulatory approvals for a transaction of this type.</w:t>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provided letters of credit aggregating approximately $107.4, primarily in connection with certain insurance programs which are renewed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Based on current and projected levels of cash flows from operations, coupled with availability under its revolving credit facility and the 2026 Term Loan,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rFonts w:ascii="Times New Roman;serif" w:hAnsi="Times New Roman;serif"/>
          <w:b/>
          <w:color w:val="212529"/>
          <w:sz w:val="20"/>
          <w:u w:val="single"/>
        </w:rPr>
      </w:pPr>
      <w:r>
        <w:rPr>
          <w:rFonts w:ascii="Times New Roman;serif" w:hAnsi="Times New Roman;serif"/>
          <w:b/>
          <w:color w:val="212529"/>
          <w:sz w:val="20"/>
          <w:u w:val="single"/>
        </w:rPr>
        <w:t>CRITICAL ACCOUNTING ESTIMATES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estimates that appear in Part II. Item 7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rFonts w:ascii="Times New Roman;serif" w:hAnsi="Times New Roman;serif"/>
          <w:b/>
          <w:color w:val="212529"/>
          <w:sz w:val="20"/>
          <w:u w:val="single"/>
        </w:rPr>
      </w:pPr>
      <w:r>
        <w:rPr>
          <w:rFonts w:ascii="Times New Roman;serif" w:hAnsi="Times New Roman;serif"/>
          <w:b/>
          <w:color w:val="212529"/>
          <w:sz w:val="20"/>
          <w:u w:val="single"/>
        </w:rPr>
        <w:t>IMPACT OF RECENT ACCOUNTING PRONOUNCEMENTS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impact of recent accounting pronouncements, if any, is discussed in Note 1 Basis of Financial Statement Presentation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(dollar amounts in millions)</w:t>
      </w:r>
    </w:p>
    <w:p>
      <w:pPr>
        <w:pStyle w:val="TextBody"/>
        <w:bidi w:val="0"/>
        <w:spacing w:lineRule="auto" w:line="288" w:before="14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pStyle w:val="TextBody"/>
        <w:bidi w:val="0"/>
        <w:spacing w:lineRule="auto" w:line="288" w:before="140" w:after="60"/>
        <w:jc w:val="both"/>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Approximately 13.9% and 13.4% of the Company’s revenues for the six months ended June 30, 2026, and 2025, respectively, were denominated in currencies other than the USD. The Company’s Condensed Consolidated Financial Statements are reported in USD and, accordingly, fluctuations in exchange rates will affect the translation of revenues and expenses denominated in foreign currencies into USD for the purpose of reporting the Company’s consolidated financial results. During the six months ended June 30, 2026 and the year ended December 31, 2025,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six months ended June 30, 2026, by approximately $17.1. Accumulated currency translation adjustments recorded as a separate component of Shareholders’ equity were $(39.1) and $156.6 for the quarter ended June 30, 2026, and 2025, respectively. The Company does not have significant operations in countries in which the economy is considered to be highly inflationary.</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June 30, 2026, the Company had 10 open foreign exchange forward contracts with various amounts maturing monthly through July 2026 with a notional value totaling approximately $424.1. At December 31, 2025, the Company had eight open foreign exchange forward contracts with various amounts maturing monthly through January 2026 with a notional value totaling approximately $238.0.</w:t>
      </w:r>
    </w:p>
    <w:p>
      <w:pPr>
        <w:pStyle w:val="TextBody"/>
        <w:bidi w:val="0"/>
        <w:spacing w:lineRule="auto" w:line="288" w:before="1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a party to USD to Swiss Franc cross-currency swap agreements with an aggregate notional amount of $1,200.0, $300.0 maturing in 2029, $300.0 maturing in 2031, and $600.0 maturing in 2034, as a hedge against the impact of foreign exchange movements on its net investment in a Swiss Franc functional currency subsidiary.</w:t>
      </w:r>
    </w:p>
    <w:p>
      <w:pPr>
        <w:pStyle w:val="TextBody"/>
        <w:bidi w:val="0"/>
        <w:spacing w:lineRule="auto" w:line="288" w:before="140" w:after="60"/>
        <w:jc w:val="left"/>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Company’s 2026 Term Loan, revolving credit facility, and AR Facility are subject to variable interest rates, unless fixed through interest rate swaps or other agreements. At June 30, 2026, the Company had $750.0 and $550.0 of variable rate debt outstanding under its 2026 Term Loan and AR Facility, respectively. Each quarter-point increase or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in the variable rate would result in the Company’s interest expense changing by approximately $3.3 per year for the Company’s debt currently outstanding under its 2026 Term Loan and AR Facility.</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hedge against changes in the fair value portion of the Company’s long-term debt, the Company is party to fixed-to-variable interest rate swap agreements for the 2.70% senior notes due 2031 with an aggregate notional value of $500.0 and variable interest rates currently based on the compounded SOFR, plus 1.33%.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40" w:after="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4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 13a-15 and 15d-15(e) under the Securities Exchange Act of 1934, as amended). Based upon this evaluation, the Company’s principal executive officer and principal financial officer concluded that the Company’s disclosure controls and procedures were effective at June 30, 2026.</w:t>
      </w:r>
    </w:p>
    <w:p>
      <w:pPr>
        <w:pStyle w:val="TextBody"/>
        <w:bidi w:val="0"/>
        <w:spacing w:lineRule="auto" w:line="288" w:before="140" w:after="6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4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defined in Rules 13a-15(f) and 15d-15(f) under the Securities Exchange Act of 1934, as amended) that occurred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40" w:after="6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See Note 8 Commitments and Contingencies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risk factors that appear in Part I. Item 1A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(dollars and shares in millions, except per share data)</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the following shares of its Common Stock:</w:t>
      </w:r>
    </w:p>
    <w:tbl>
      <w:tblPr>
        <w:tblW w:w="10205" w:type="dxa"/>
        <w:jc w:val="left"/>
        <w:tblInd w:w="0" w:type="dxa"/>
        <w:tblLayout w:type="fixed"/>
        <w:tblCellMar>
          <w:top w:w="28" w:type="dxa"/>
          <w:left w:w="28" w:type="dxa"/>
          <w:bottom w:w="28" w:type="dxa"/>
          <w:right w:w="28" w:type="dxa"/>
        </w:tblCellMar>
      </w:tblPr>
      <w:tblGrid>
        <w:gridCol w:w="318"/>
        <w:gridCol w:w="278"/>
        <w:gridCol w:w="281"/>
        <w:gridCol w:w="558"/>
        <w:gridCol w:w="558"/>
        <w:gridCol w:w="559"/>
        <w:gridCol w:w="109"/>
        <w:gridCol w:w="109"/>
        <w:gridCol w:w="109"/>
        <w:gridCol w:w="286"/>
        <w:gridCol w:w="977"/>
        <w:gridCol w:w="147"/>
        <w:gridCol w:w="109"/>
        <w:gridCol w:w="109"/>
        <w:gridCol w:w="109"/>
        <w:gridCol w:w="845"/>
        <w:gridCol w:w="845"/>
        <w:gridCol w:w="847"/>
        <w:gridCol w:w="109"/>
        <w:gridCol w:w="109"/>
        <w:gridCol w:w="109"/>
        <w:gridCol w:w="584"/>
        <w:gridCol w:w="1707"/>
        <w:gridCol w:w="434"/>
      </w:tblGrid>
      <w:tr>
        <w:trPr/>
        <w:tc>
          <w:tcPr>
            <w:tcW w:w="3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Repurchased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Dollar Value of Shares that May Yet Be Repurchased Under the Program</w:t>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w:t>
            </w:r>
          </w:p>
        </w:tc>
        <w:tc>
          <w:tcPr>
            <w:tcW w:w="11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5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267.94 </w:t>
            </w:r>
          </w:p>
        </w:tc>
        <w:tc>
          <w:tcPr>
            <w:tcW w:w="14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84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4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260.30 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outstanding authorization from its Board to purchase up to $378.6 maximum value of shares of Common Stock. On July 8, 2026, the Board authorized the repurchase of an additional $1,000.0 in the maximum value of the Company’s shares of Common Stock as part of the Company’s ongoing share repurchase program, bringing the total share repurchase authorization to $1,378.6 maximum value of shares of Common Stock. The repurchase authorization has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ind w:left="0" w:right="0" w:hanging="7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4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ind w:left="0" w:right="0" w:hanging="7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4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ind w:left="0" w:right="0" w:hanging="7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Insider Adoption or Termination of Trading Arrangements:</w:t>
      </w:r>
    </w:p>
    <w:p>
      <w:pPr>
        <w:pStyle w:val="TextBody"/>
        <w:bidi w:val="0"/>
        <w:spacing w:lineRule="auto" w:line="288" w:before="140" w:after="1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directors or officers informed it of the adoption, modification or termination of a “Rule 10b5-1 trading arrangement” or “non-Rule 10b5-1 trading arrangement,” as those terms are defined in Regulation S-K, Item 408, except as described in the table below:</w:t>
      </w:r>
    </w:p>
    <w:tbl>
      <w:tblPr>
        <w:tblW w:w="10205" w:type="dxa"/>
        <w:jc w:val="left"/>
        <w:tblInd w:w="0" w:type="dxa"/>
        <w:tblLayout w:type="fixed"/>
        <w:tblCellMar>
          <w:top w:w="28" w:type="dxa"/>
          <w:left w:w="28" w:type="dxa"/>
          <w:bottom w:w="28" w:type="dxa"/>
          <w:right w:w="28" w:type="dxa"/>
        </w:tblCellMar>
      </w:tblPr>
      <w:tblGrid>
        <w:gridCol w:w="847"/>
        <w:gridCol w:w="473"/>
        <w:gridCol w:w="470"/>
        <w:gridCol w:w="109"/>
        <w:gridCol w:w="109"/>
        <w:gridCol w:w="109"/>
        <w:gridCol w:w="303"/>
        <w:gridCol w:w="303"/>
        <w:gridCol w:w="305"/>
        <w:gridCol w:w="109"/>
        <w:gridCol w:w="109"/>
        <w:gridCol w:w="109"/>
        <w:gridCol w:w="583"/>
        <w:gridCol w:w="491"/>
        <w:gridCol w:w="492"/>
        <w:gridCol w:w="109"/>
        <w:gridCol w:w="109"/>
        <w:gridCol w:w="109"/>
        <w:gridCol w:w="692"/>
        <w:gridCol w:w="472"/>
        <w:gridCol w:w="472"/>
        <w:gridCol w:w="472"/>
        <w:gridCol w:w="472"/>
        <w:gridCol w:w="483"/>
        <w:gridCol w:w="109"/>
        <w:gridCol w:w="109"/>
        <w:gridCol w:w="109"/>
        <w:gridCol w:w="395"/>
        <w:gridCol w:w="395"/>
        <w:gridCol w:w="396"/>
        <w:gridCol w:w="109"/>
        <w:gridCol w:w="109"/>
        <w:gridCol w:w="163"/>
      </w:tblGrid>
      <w:tr>
        <w:trPr/>
        <w:tc>
          <w:tcPr>
            <w:tcW w:w="84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Character of Trading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Shares of Common Stock to be (Sold) Purchased Pursuant to Trading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Expiration Date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Jonathan C. Meltzer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Operations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Kerrii B. Anderson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2027</w:t>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The figure presented represents the shares to be sold on the vesting of equity awards and may vary subject to the achievement of certain performance conditions and/or shares to be withheld for tax purposes.</w:t>
      </w:r>
    </w:p>
    <w:p>
      <w:pPr>
        <w:pStyle w:val="TextBody"/>
        <w:bidi w:val="0"/>
        <w:spacing w:lineRule="auto" w:line="288" w:before="140" w:after="140"/>
        <w:ind w:left="0" w:right="0" w:hanging="270"/>
        <w:jc w:val="both"/>
        <w:rPr/>
      </w:pPr>
      <w:r>
        <w:rPr>
          <w:rFonts w:ascii="Times New Roman;serif" w:hAnsi="Times New Roman;serif"/>
          <w:b w:val="false"/>
          <w:color w:val="000000"/>
          <w:sz w:val="13"/>
        </w:rPr>
        <w:t>(2)</w:t>
      </w:r>
      <w:r>
        <w:rPr>
          <w:rFonts w:ascii="Times New Roman;serif" w:hAnsi="Times New Roman;serif"/>
          <w:b w:val="false"/>
          <w:color w:val="000000"/>
          <w:sz w:val="20"/>
        </w:rPr>
        <w:t>This trading arrangement permits transactions through the completion of all sales on the respective order entry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5"/>
        <w:gridCol w:w="251"/>
        <w:gridCol w:w="252"/>
        <w:gridCol w:w="2841"/>
        <w:gridCol w:w="2711"/>
        <w:gridCol w:w="3855"/>
      </w:tblGrid>
      <w:tr>
        <w:trPr/>
        <w:tc>
          <w:tcPr>
            <w:tcW w:w="29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22.1*</w:t>
            </w:r>
          </w:p>
        </w:tc>
        <w:tc>
          <w:tcPr>
            <w:tcW w:w="9407"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ex221q22026.htm">
              <w:r>
                <w:rPr>
                  <w:rStyle w:val="InternetLink"/>
                  <w:rFonts w:ascii="Times New Roman;serif" w:hAnsi="Times New Roman;serif"/>
                  <w:b w:val="false"/>
                  <w:color w:val="0000FF"/>
                  <w:sz w:val="20"/>
                  <w:u w:val="single"/>
                </w:rPr>
                <w:t>Subsidiary Issuers of Guaranteed Securities</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9407"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ex311q22026.htm">
              <w:r>
                <w:rPr>
                  <w:rStyle w:val="InternetLink"/>
                  <w:rFonts w:ascii="Times New Roman;serif" w:hAnsi="Times New Roman;serif"/>
                  <w:b w:val="false"/>
                  <w:color w:val="0000FF"/>
                  <w:sz w:val="20"/>
                  <w:u w:val="single"/>
                </w:rPr>
                <w:t>Certification by the Chief Executive Officer pursuant to Rule 13a-14(a) or Rule 15d-14(a)</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22026.htm">
              <w:r>
                <w:rPr>
                  <w:rStyle w:val="InternetLink"/>
                  <w:rFonts w:ascii="Times New Roman;serif" w:hAnsi="Times New Roman;serif"/>
                  <w:b w:val="false"/>
                  <w:color w:val="0000FF"/>
                  <w:sz w:val="20"/>
                  <w:u w:val="single"/>
                </w:rPr>
                <w:t>Certification by the Chief Financial Officer pursuant to Rule 13a-14(a) or Rule 15d-14(a)</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q22026.htm">
              <w:r>
                <w:rPr>
                  <w:rStyle w:val="InternetLink"/>
                  <w:rFonts w:ascii="Times New Roman;serif" w:hAnsi="Times New Roman;serif"/>
                  <w:b w:val="false"/>
                  <w:color w:val="0000FF"/>
                  <w:sz w:val="20"/>
                  <w:u w:val="single"/>
                </w:rPr>
                <w:t>Written Statement of Chief Executive Officer and Chief Financial Officer pursuant to Section 906 of the Sarbanes-Oxley Act of 2002 (18 U.S.C. Section 1350)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included in Exhibit 101)</w:t>
            </w:r>
          </w:p>
        </w:tc>
      </w:tr>
    </w:tbl>
    <w:tbl>
      <w:tblPr>
        <w:tblW w:w="23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86"/>
        <w:gridCol w:w="486"/>
        <w:gridCol w:w="6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065d45d9c5348eebc489542f8124a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Registrant</w:t>
      </w:r>
    </w:p>
    <w:tbl>
      <w:tblPr>
        <w:tblW w:w="3956"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ADAM H. SCHECHTER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H. Schechter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bl>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7"/>
        <w:gridCol w:w="1297"/>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JULIA A.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Julia A.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Subsidiary Issuers of Guaranteed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Guaranteed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securities (collectively referred to in this exhibit as the “Senior Notes”) issued by Laboratory Corporation of America Holdings (“LCAH”), a Delaware corporation and wholly-owned subsidiary of Labcorp Holdings Inc. (“LHI”), a Delaware corporation, were outstanding as of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6"/>
        <w:gridCol w:w="2849"/>
        <w:gridCol w:w="4040"/>
      </w:tblGrid>
      <w:tr>
        <w:trPr/>
        <w:tc>
          <w:tcPr>
            <w:tcW w:w="3316"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 of Senior Notes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3.60% Senior Notes due 2027 (issued under the Twelfth Supplemental Indenture to the 2010 Indenture)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2.95% Senior Notes due 2029 (issued under the Fourteenth Supplemental Indenture to the 2010 Indenture)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4.35% Senior Notes due 2030 (issued under the First Supplemental Indenture to the Indenture, dated as of September 23, 2024, by and between LCAH and U.S. Bank Trust Company, National Association, as trustee (the “2024 Indenture”))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2.70% Senior Notes due 2031 (issued under the Sixteenth Supplemental Indenture to the 2010 Indenture)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4.55% Senior Notes due 2032 (issued under the Second Supplemental Indenture to the 2024 Indenture)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4.80% Senior Notes due 2034 (issued under the Third Supplemental Indenture to the 2024 Indenture)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4.70% Senior Notes due 2045 (issued under the Tenth Supplemental Indenture to the 2010 Indenture)</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Obligors</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As of June 30, 2026, the obligors under the Senior Notes consisted of LHI, as guarantor, and LCAH, as issuer.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Adam H. Schechter,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Labcorp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4782"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ADAM H. SCHECHTER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Adam H. Schechter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Julia A. Wang,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Labcorp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722"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JULIA A. WANG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Julia A. Wang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Written Statement of</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Chief Financial Officer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Section 1350)</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the Chief Executive Officer and the Chief Financial Officer of Labcorp Holdings Inc. (the “Company”), each hereby certifies that, to his knowledge on the date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the Form 10-Q of the Company for the Period Ended June 30, 2026, filed on the date hereof with the Securities and Exchange Commission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3130"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698"/>
        <w:gridCol w:w="698"/>
        <w:gridCol w:w="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ADAM H. SCHECHTER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Adam H. Schechter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before="0" w:after="0"/>
        <w:jc w:val="both"/>
        <w:rPr/>
      </w:pPr>
      <w:r>
        <w:rPr/>
      </w:r>
    </w:p>
    <w:p>
      <w:pPr>
        <w:pStyle w:val="TextBody"/>
        <w:bidi w:val="0"/>
        <w:spacing w:before="0" w:after="0"/>
        <w:jc w:val="both"/>
        <w:rPr/>
      </w:pPr>
      <w:r>
        <w:rPr/>
      </w:r>
    </w:p>
    <w:tbl>
      <w:tblPr>
        <w:tblW w:w="2756"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587"/>
        <w:gridCol w:w="587"/>
        <w:gridCol w:w="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JULIA A.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Julia A.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20069</Words>
  <Characters>111711</Characters>
  <CharactersWithSpaces>129950</CharactersWithSpaces>
  <Paragraphs>3035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