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74" w:lineRule="exact"/>
        <w:rPr>
          <w:sz w:val="24"/>
          <w:szCs w:val="24"/>
          <w:color w:val="auto"/>
        </w:rPr>
      </w:pPr>
    </w:p>
    <w:p>
      <w:pPr>
        <w:ind w:left="3340" w:hanging="198"/>
        <w:spacing w:after="0"/>
        <w:tabs>
          <w:tab w:leader="none" w:pos="3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w:t>
      </w:r>
    </w:p>
    <w:p>
      <w:pPr>
        <w:spacing w:after="0" w:line="26" w:lineRule="exact"/>
        <w:rPr>
          <w:rFonts w:ascii="MS PGothic" w:cs="MS PGothic" w:eastAsia="MS PGothic" w:hAnsi="MS PGothic"/>
          <w:sz w:val="18"/>
          <w:szCs w:val="18"/>
          <w:color w:val="auto"/>
        </w:rPr>
      </w:pPr>
    </w:p>
    <w:p>
      <w:pPr>
        <w:ind w:left="37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OF THE SECURITIES EXCHANGE ACT OF 1934</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March 31, 2024</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 w:lineRule="exact"/>
        <w:rPr>
          <w:sz w:val="24"/>
          <w:szCs w:val="24"/>
          <w:color w:val="auto"/>
        </w:rPr>
      </w:pPr>
    </w:p>
    <w:p>
      <w:pPr>
        <w:ind w:left="3340" w:hanging="207"/>
        <w:spacing w:after="0"/>
        <w:tabs>
          <w:tab w:leader="none" w:pos="3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w:t>
      </w:r>
    </w:p>
    <w:p>
      <w:pPr>
        <w:spacing w:after="0" w:line="12" w:lineRule="exact"/>
        <w:rPr>
          <w:rFonts w:ascii="MS PGothic" w:cs="MS PGothic" w:eastAsia="MS PGothic" w:hAnsi="MS PGothic"/>
          <w:sz w:val="18"/>
          <w:szCs w:val="18"/>
          <w:color w:val="auto"/>
        </w:rPr>
      </w:pPr>
    </w:p>
    <w:p>
      <w:pPr>
        <w:ind w:left="37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OF THE SECURITIES EXCHANGE ACT OF 1934</w:t>
      </w:r>
    </w:p>
    <w:p>
      <w:pPr>
        <w:spacing w:after="0" w:line="93"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For the transition period from ______ to ______</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1-11353</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LABORATORY CORPORATION OF AMERICA HOLDINGS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1880" w:type="dxa"/>
            <w:vAlign w:val="bottom"/>
          </w:tcPr>
          <w:p>
            <w:pPr>
              <w:spacing w:after="0"/>
              <w:rPr>
                <w:sz w:val="20"/>
                <w:szCs w:val="20"/>
                <w:color w:val="auto"/>
              </w:rPr>
            </w:pPr>
          </w:p>
        </w:tc>
        <w:tc>
          <w:tcPr>
            <w:tcW w:w="3780" w:type="dxa"/>
            <w:vAlign w:val="bottom"/>
            <w:gridSpan w:val="4"/>
          </w:tcPr>
          <w:p>
            <w:pPr>
              <w:jc w:val="center"/>
              <w:ind w:right="19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13-3757370</w:t>
            </w:r>
          </w:p>
        </w:tc>
        <w:tc>
          <w:tcPr>
            <w:tcW w:w="20" w:type="dxa"/>
            <w:vAlign w:val="bottom"/>
          </w:tcPr>
          <w:p>
            <w:pPr>
              <w:spacing w:after="0"/>
              <w:rPr>
                <w:sz w:val="20"/>
                <w:szCs w:val="20"/>
                <w:color w:val="auto"/>
              </w:rPr>
            </w:pPr>
          </w:p>
        </w:tc>
      </w:tr>
      <w:tr>
        <w:trPr>
          <w:trHeight w:val="232"/>
        </w:trPr>
        <w:tc>
          <w:tcPr>
            <w:tcW w:w="55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6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(I.R.S. Employer Identification No.)</w:t>
            </w:r>
          </w:p>
        </w:tc>
      </w:tr>
      <w:tr>
        <w:trPr>
          <w:trHeight w:val="334"/>
        </w:trPr>
        <w:tc>
          <w:tcPr>
            <w:tcW w:w="1880" w:type="dxa"/>
            <w:vAlign w:val="bottom"/>
          </w:tcPr>
          <w:p>
            <w:pPr>
              <w:spacing w:after="0"/>
              <w:rPr>
                <w:sz w:val="24"/>
                <w:szCs w:val="24"/>
                <w:color w:val="auto"/>
              </w:rPr>
            </w:pPr>
          </w:p>
        </w:tc>
        <w:tc>
          <w:tcPr>
            <w:tcW w:w="3780" w:type="dxa"/>
            <w:vAlign w:val="bottom"/>
            <w:gridSpan w:val="4"/>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8"/>
              </w:rPr>
              <w:t>358 South Main Street</w:t>
            </w:r>
          </w:p>
        </w:tc>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0"/>
        </w:trPr>
        <w:tc>
          <w:tcPr>
            <w:tcW w:w="18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Burlington,</w:t>
            </w:r>
          </w:p>
        </w:tc>
        <w:tc>
          <w:tcPr>
            <w:tcW w:w="3780" w:type="dxa"/>
            <w:vAlign w:val="bottom"/>
            <w:gridSpan w:val="4"/>
          </w:tcPr>
          <w:p>
            <w:pPr>
              <w:ind w:left="1680"/>
              <w:spacing w:after="0"/>
              <w:rPr>
                <w:sz w:val="20"/>
                <w:szCs w:val="20"/>
                <w:color w:val="auto"/>
              </w:rPr>
            </w:pPr>
            <w:r>
              <w:rPr>
                <w:rFonts w:ascii="Times New Roman" w:cs="Times New Roman" w:eastAsia="Times New Roman" w:hAnsi="Times New Roman"/>
                <w:sz w:val="18"/>
                <w:szCs w:val="18"/>
                <w:b w:val="1"/>
                <w:bCs w:val="1"/>
                <w:color w:val="auto"/>
              </w:rPr>
              <w:t>North Carolina</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27215</w:t>
            </w:r>
          </w:p>
        </w:tc>
        <w:tc>
          <w:tcPr>
            <w:tcW w:w="20" w:type="dxa"/>
            <w:vAlign w:val="bottom"/>
          </w:tcPr>
          <w:p>
            <w:pPr>
              <w:spacing w:after="0"/>
              <w:rPr>
                <w:sz w:val="20"/>
                <w:szCs w:val="20"/>
                <w:color w:val="auto"/>
              </w:rPr>
            </w:pPr>
          </w:p>
        </w:tc>
      </w:tr>
      <w:tr>
        <w:trPr>
          <w:trHeight w:val="232"/>
        </w:trPr>
        <w:tc>
          <w:tcPr>
            <w:tcW w:w="55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100" w:type="dxa"/>
            <w:vAlign w:val="bottom"/>
            <w:gridSpan w:val="2"/>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Pr>
          <w:p>
            <w:pPr>
              <w:spacing w:after="0"/>
              <w:rPr>
                <w:sz w:val="20"/>
                <w:szCs w:val="20"/>
                <w:color w:val="auto"/>
              </w:rPr>
            </w:pPr>
          </w:p>
        </w:tc>
      </w:tr>
    </w:tbl>
    <w:p>
      <w:pPr>
        <w:spacing w:after="0" w:line="307" w:lineRule="exact"/>
        <w:rPr>
          <w:sz w:val="24"/>
          <w:szCs w:val="24"/>
          <w:color w:val="auto"/>
        </w:rPr>
      </w:pPr>
    </w:p>
    <w:p>
      <w:pPr>
        <w:ind w:right="3220" w:firstLine="3225"/>
        <w:spacing w:after="0" w:line="402" w:lineRule="auto"/>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336-229-1127</w:t>
      </w:r>
      <w:r>
        <w:rPr>
          <w:rFonts w:ascii="Times New Roman" w:cs="Times New Roman" w:eastAsia="Times New Roman" w:hAnsi="Times New Roman"/>
          <w:sz w:val="18"/>
          <w:szCs w:val="18"/>
          <w:color w:val="auto"/>
        </w:rPr>
        <w:t xml:space="preserve"> Securities registered pursuant to Section 12(b) of the Exchange Act.</w:t>
      </w:r>
    </w:p>
    <w:p>
      <w:pPr>
        <w:sectPr>
          <w:pgSz w:w="11900" w:h="16838" w:orient="portrait"/>
          <w:cols w:equalWidth="0" w:num="1">
            <w:col w:w="11240"/>
          </w:cols>
          <w:pgMar w:left="320" w:top="972" w:right="339" w:bottom="1440" w:gutter="0" w:footer="0" w:header="0"/>
        </w:sectPr>
      </w:pPr>
    </w:p>
    <w:p>
      <w:pPr>
        <w:spacing w:after="0" w:line="80" w:lineRule="exact"/>
        <w:rPr>
          <w:sz w:val="24"/>
          <w:szCs w:val="24"/>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7"/>
          <w:szCs w:val="17"/>
          <w:b w:val="1"/>
          <w:bCs w:val="1"/>
          <w:color w:val="auto"/>
        </w:rPr>
        <w:t>Trading Symbol</w:t>
      </w:r>
    </w:p>
    <w:p>
      <w:pPr>
        <w:spacing w:after="0" w:line="27" w:lineRule="exact"/>
        <w:rPr>
          <w:sz w:val="24"/>
          <w:szCs w:val="24"/>
          <w:color w:val="auto"/>
        </w:rPr>
      </w:pPr>
    </w:p>
    <w:p>
      <w:pPr>
        <w:spacing w:after="0"/>
        <w:tabs>
          <w:tab w:leader="none" w:pos="2640" w:val="left"/>
        </w:tabs>
        <w:rPr>
          <w:sz w:val="20"/>
          <w:szCs w:val="20"/>
          <w:color w:val="auto"/>
        </w:rPr>
      </w:pPr>
      <w:r>
        <w:rPr>
          <w:rFonts w:ascii="Times New Roman" w:cs="Times New Roman" w:eastAsia="Times New Roman" w:hAnsi="Times New Roman"/>
          <w:sz w:val="18"/>
          <w:szCs w:val="18"/>
          <w:color w:val="auto"/>
        </w:rPr>
        <w:t>Common Stock, $0.10 par value</w:t>
      </w:r>
      <w:r>
        <w:rPr>
          <w:sz w:val="20"/>
          <w:szCs w:val="20"/>
          <w:color w:val="auto"/>
        </w:rPr>
        <w:tab/>
      </w:r>
      <w:r>
        <w:rPr>
          <w:rFonts w:ascii="Times New Roman" w:cs="Times New Roman" w:eastAsia="Times New Roman" w:hAnsi="Times New Roman"/>
          <w:sz w:val="18"/>
          <w:szCs w:val="18"/>
          <w:color w:val="auto"/>
        </w:rPr>
        <w:t>LH</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Name of exchange on which registered</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200" w:lineRule="exact"/>
        <w:rPr>
          <w:sz w:val="24"/>
          <w:szCs w:val="24"/>
          <w:color w:val="auto"/>
        </w:rPr>
      </w:pPr>
    </w:p>
    <w:p>
      <w:pPr>
        <w:sectPr>
          <w:pgSz w:w="11900" w:h="16838" w:orient="portrait"/>
          <w:cols w:equalWidth="0" w:num="2">
            <w:col w:w="3180" w:space="420"/>
            <w:col w:w="7640"/>
          </w:cols>
          <w:pgMar w:left="320" w:top="972" w:right="339" w:bottom="1440" w:gutter="0" w:footer="0" w:header="0"/>
          <w:type w:val="continuous"/>
        </w:sectPr>
      </w:pPr>
    </w:p>
    <w:p>
      <w:pPr>
        <w:spacing w:after="0" w:line="27"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20" w:type="dxa"/>
        <w:tblCellMar>
          <w:top w:w="0" w:type="dxa"/>
          <w:left w:w="0" w:type="dxa"/>
          <w:bottom w:w="0" w:type="dxa"/>
          <w:right w:w="0" w:type="dxa"/>
        </w:tblCellMar>
      </w:tblPr>
      <w:tr>
        <w:trPr>
          <w:trHeight w:val="227"/>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6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7"/>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6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3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3" w:lineRule="exact"/>
        <w:rPr>
          <w:sz w:val="24"/>
          <w:szCs w:val="24"/>
          <w:color w:val="auto"/>
        </w:rPr>
      </w:pPr>
    </w:p>
    <w:p>
      <w:pPr>
        <w:ind w:right="120"/>
        <w:spacing w:after="0" w:line="22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8"/>
                <w:szCs w:val="18"/>
                <w:color w:val="auto"/>
              </w:rPr>
            </w:pPr>
          </w:p>
        </w:tc>
        <w:tc>
          <w:tcPr>
            <w:tcW w:w="3120" w:type="dxa"/>
            <w:vAlign w:val="bottom"/>
            <w:gridSpan w:val="2"/>
          </w:tcPr>
          <w:p>
            <w:pPr>
              <w:jc w:val="center"/>
              <w:ind w:right="2740"/>
              <w:spacing w:after="0"/>
              <w:rPr>
                <w:sz w:val="20"/>
                <w:szCs w:val="20"/>
                <w:color w:val="auto"/>
              </w:rPr>
            </w:pPr>
            <w:r>
              <w:rPr>
                <w:rFonts w:ascii="Times New Roman" w:cs="Times New Roman" w:eastAsia="Times New Roman" w:hAnsi="Times New Roman"/>
                <w:sz w:val="18"/>
                <w:szCs w:val="18"/>
                <w:color w:val="auto"/>
                <w:w w:val="97"/>
              </w:rPr>
              <w:t>Class</w:t>
            </w:r>
          </w:p>
        </w:tc>
        <w:tc>
          <w:tcPr>
            <w:tcW w:w="256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color w:val="auto"/>
                <w:w w:val="98"/>
              </w:rPr>
              <w:t>Shares Outstanding</w:t>
            </w:r>
          </w:p>
        </w:tc>
        <w:tc>
          <w:tcPr>
            <w:tcW w:w="1520" w:type="dxa"/>
            <w:vAlign w:val="bottom"/>
          </w:tcPr>
          <w:p>
            <w:pPr>
              <w:spacing w:after="0"/>
              <w:rPr>
                <w:sz w:val="18"/>
                <w:szCs w:val="18"/>
                <w:color w:val="auto"/>
              </w:rPr>
            </w:pPr>
          </w:p>
        </w:tc>
        <w:tc>
          <w:tcPr>
            <w:tcW w:w="2500" w:type="dxa"/>
            <w:vAlign w:val="bottom"/>
            <w:gridSpan w:val="2"/>
          </w:tcPr>
          <w:p>
            <w:pPr>
              <w:jc w:val="center"/>
              <w:ind w:right="2160"/>
              <w:spacing w:after="0"/>
              <w:rPr>
                <w:sz w:val="20"/>
                <w:szCs w:val="20"/>
                <w:color w:val="auto"/>
              </w:rPr>
            </w:pPr>
            <w:r>
              <w:rPr>
                <w:rFonts w:ascii="Times New Roman" w:cs="Times New Roman" w:eastAsia="Times New Roman" w:hAnsi="Times New Roman"/>
                <w:sz w:val="18"/>
                <w:szCs w:val="18"/>
                <w:color w:val="auto"/>
                <w:w w:val="99"/>
              </w:rPr>
              <w:t>Date</w:t>
            </w:r>
          </w:p>
        </w:tc>
      </w:tr>
      <w:tr>
        <w:trPr>
          <w:trHeight w:val="20"/>
        </w:trPr>
        <w:tc>
          <w:tcPr>
            <w:tcW w:w="1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47"/>
        </w:trPr>
        <w:tc>
          <w:tcPr>
            <w:tcW w:w="466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color w:val="auto"/>
                <w:w w:val="98"/>
              </w:rPr>
              <w:t>Common Stock $0.10 par value</w:t>
            </w:r>
          </w:p>
        </w:tc>
        <w:tc>
          <w:tcPr>
            <w:tcW w:w="1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84,293,628</w:t>
            </w:r>
          </w:p>
        </w:tc>
        <w:tc>
          <w:tcPr>
            <w:tcW w:w="1180" w:type="dxa"/>
            <w:vAlign w:val="bottom"/>
          </w:tcPr>
          <w:p>
            <w:pPr>
              <w:spacing w:after="0"/>
              <w:rPr>
                <w:sz w:val="21"/>
                <w:szCs w:val="21"/>
                <w:color w:val="auto"/>
              </w:rPr>
            </w:pPr>
          </w:p>
        </w:tc>
        <w:tc>
          <w:tcPr>
            <w:tcW w:w="402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8"/>
              </w:rPr>
              <w:t>April 29, 2024</w:t>
            </w:r>
          </w:p>
        </w:tc>
      </w:tr>
      <w:tr>
        <w:trPr>
          <w:trHeight w:val="966"/>
        </w:trPr>
        <w:tc>
          <w:tcPr>
            <w:tcW w:w="15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INDEX</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020"/>
        </w:trPr>
        <w:tc>
          <w:tcPr>
            <w:tcW w:w="5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gridSpan w:val="5"/>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93"/>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9"/>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7"/>
              </w:rPr>
              <w:t>PART I. FINANCIAL INFORMATION</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2"/>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23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Financial Statements (unaudited)</w:t>
            </w:r>
          </w:p>
        </w:tc>
        <w:tc>
          <w:tcPr>
            <w:tcW w:w="5860" w:type="dxa"/>
            <w:vAlign w:val="bottom"/>
            <w:gridSpan w:val="10"/>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3"/>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Condensed Consolidated Balance Sheets</w:t>
            </w:r>
          </w:p>
        </w:tc>
        <w:tc>
          <w:tcPr>
            <w:tcW w:w="5320" w:type="dxa"/>
            <w:vAlign w:val="bottom"/>
            <w:gridSpan w:val="9"/>
          </w:tcPr>
          <w:p>
            <w:pPr>
              <w:spacing w:after="0"/>
              <w:rPr>
                <w:sz w:val="24"/>
                <w:szCs w:val="24"/>
                <w:color w:val="auto"/>
              </w:rPr>
            </w:pPr>
          </w:p>
        </w:tc>
        <w:tc>
          <w:tcPr>
            <w:tcW w:w="19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w:t>
            </w:r>
          </w:p>
        </w:tc>
        <w:tc>
          <w:tcPr>
            <w:tcW w:w="40" w:type="dxa"/>
            <w:vAlign w:val="bottom"/>
          </w:tcPr>
          <w:p>
            <w:pPr>
              <w:spacing w:after="0"/>
              <w:rPr>
                <w:sz w:val="24"/>
                <w:szCs w:val="24"/>
                <w:color w:val="auto"/>
              </w:rPr>
            </w:pPr>
          </w:p>
        </w:tc>
      </w:tr>
      <w:tr>
        <w:trPr>
          <w:trHeight w:val="247"/>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March 31, 2024 and December 31, 2023</w:t>
            </w: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12"/>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Operations</w:t>
            </w:r>
          </w:p>
        </w:tc>
        <w:tc>
          <w:tcPr>
            <w:tcW w:w="4600" w:type="dxa"/>
            <w:vAlign w:val="bottom"/>
            <w:gridSpan w:val="8"/>
          </w:tcPr>
          <w:p>
            <w:pPr>
              <w:spacing w:after="0"/>
              <w:rPr>
                <w:sz w:val="24"/>
                <w:szCs w:val="24"/>
                <w:color w:val="auto"/>
              </w:rPr>
            </w:pPr>
          </w:p>
        </w:tc>
        <w:tc>
          <w:tcPr>
            <w:tcW w:w="19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40" w:type="dxa"/>
            <w:vAlign w:val="bottom"/>
          </w:tcPr>
          <w:p>
            <w:pPr>
              <w:spacing w:after="0"/>
              <w:rPr>
                <w:sz w:val="24"/>
                <w:szCs w:val="24"/>
                <w:color w:val="auto"/>
              </w:rPr>
            </w:pPr>
          </w:p>
        </w:tc>
      </w:tr>
      <w:tr>
        <w:trPr>
          <w:trHeight w:val="247"/>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Three Months Ended March 31, 2024 and 2023</w:t>
            </w: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12"/>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Earnings</w:t>
            </w:r>
          </w:p>
        </w:tc>
        <w:tc>
          <w:tcPr>
            <w:tcW w:w="20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4</w:t>
            </w:r>
          </w:p>
        </w:tc>
      </w:tr>
      <w:tr>
        <w:trPr>
          <w:trHeight w:val="247"/>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auto"/>
              </w:rPr>
              <w:t>Three Months Ended March 31, 2024 and 2023</w:t>
            </w:r>
          </w:p>
        </w:tc>
        <w:tc>
          <w:tcPr>
            <w:tcW w:w="3600" w:type="dxa"/>
            <w:vAlign w:val="bottom"/>
            <w:gridSpan w:val="4"/>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r>
      <w:tr>
        <w:trPr>
          <w:trHeight w:val="439"/>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1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Changes in Shareholders’ Equity</w:t>
            </w:r>
          </w:p>
        </w:tc>
        <w:tc>
          <w:tcPr>
            <w:tcW w:w="3040" w:type="dxa"/>
            <w:vAlign w:val="bottom"/>
            <w:gridSpan w:val="2"/>
          </w:tcPr>
          <w:p>
            <w:pPr>
              <w:spacing w:after="0"/>
              <w:rPr>
                <w:sz w:val="24"/>
                <w:szCs w:val="24"/>
                <w:color w:val="auto"/>
              </w:rPr>
            </w:pPr>
          </w:p>
        </w:tc>
        <w:tc>
          <w:tcPr>
            <w:tcW w:w="19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40" w:type="dxa"/>
            <w:vAlign w:val="bottom"/>
          </w:tcPr>
          <w:p>
            <w:pPr>
              <w:spacing w:after="0"/>
              <w:rPr>
                <w:sz w:val="24"/>
                <w:szCs w:val="24"/>
                <w:color w:val="auto"/>
              </w:rPr>
            </w:pPr>
          </w:p>
        </w:tc>
      </w:tr>
      <w:tr>
        <w:trPr>
          <w:trHeight w:val="247"/>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Three Months Ended March 31, 2024 and 2023</w:t>
            </w: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12"/>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20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6</w:t>
            </w:r>
          </w:p>
        </w:tc>
      </w:tr>
      <w:tr>
        <w:trPr>
          <w:trHeight w:val="247"/>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Three Months Ended March 31, 2024 and 2023</w:t>
            </w:r>
          </w:p>
        </w:tc>
        <w:tc>
          <w:tcPr>
            <w:tcW w:w="4560" w:type="dxa"/>
            <w:vAlign w:val="bottom"/>
            <w:gridSpan w:val="7"/>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r>
      <w:tr>
        <w:trPr>
          <w:trHeight w:val="412"/>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Notes to Unaudited Condensed Consolidated Financial Statements</w:t>
            </w:r>
          </w:p>
        </w:tc>
        <w:tc>
          <w:tcPr>
            <w:tcW w:w="3480" w:type="dxa"/>
            <w:vAlign w:val="bottom"/>
            <w:gridSpan w:val="3"/>
          </w:tcPr>
          <w:p>
            <w:pPr>
              <w:spacing w:after="0"/>
              <w:rPr>
                <w:sz w:val="24"/>
                <w:szCs w:val="24"/>
                <w:color w:val="auto"/>
              </w:rPr>
            </w:pPr>
          </w:p>
        </w:tc>
        <w:tc>
          <w:tcPr>
            <w:tcW w:w="19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40" w:type="dxa"/>
            <w:vAlign w:val="bottom"/>
          </w:tcPr>
          <w:p>
            <w:pPr>
              <w:spacing w:after="0"/>
              <w:rPr>
                <w:sz w:val="24"/>
                <w:szCs w:val="24"/>
                <w:color w:val="auto"/>
              </w:rPr>
            </w:pPr>
          </w:p>
        </w:tc>
      </w:tr>
      <w:tr>
        <w:trPr>
          <w:trHeight w:val="43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63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Operations</w:t>
            </w:r>
          </w:p>
        </w:tc>
        <w:tc>
          <w:tcPr>
            <w:tcW w:w="1840" w:type="dxa"/>
            <w:vAlign w:val="bottom"/>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4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20" w:type="dxa"/>
            <w:vAlign w:val="bottom"/>
            <w:gridSpan w:val="5"/>
          </w:tcPr>
          <w:p>
            <w:pPr>
              <w:spacing w:after="0"/>
              <w:rPr>
                <w:sz w:val="24"/>
                <w:szCs w:val="24"/>
                <w:color w:val="auto"/>
              </w:rPr>
            </w:pPr>
          </w:p>
        </w:tc>
        <w:tc>
          <w:tcPr>
            <w:tcW w:w="1840" w:type="dxa"/>
            <w:vAlign w:val="bottom"/>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4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4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960" w:type="dxa"/>
            <w:vAlign w:val="bottom"/>
            <w:gridSpan w:val="6"/>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40" w:type="dxa"/>
            <w:vAlign w:val="bottom"/>
          </w:tcPr>
          <w:p>
            <w:pPr>
              <w:spacing w:after="0"/>
              <w:rPr>
                <w:sz w:val="24"/>
                <w:szCs w:val="24"/>
                <w:color w:val="auto"/>
              </w:rPr>
            </w:pPr>
          </w:p>
        </w:tc>
      </w:tr>
      <w:tr>
        <w:trPr>
          <w:trHeight w:val="567"/>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9"/>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7"/>
              </w:rPr>
              <w:t>PART II. OTHER INFORMATION</w:t>
            </w:r>
          </w:p>
        </w:tc>
        <w:tc>
          <w:tcPr>
            <w:tcW w:w="1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452"/>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4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tcPr>
          <w:p>
            <w:pPr>
              <w:spacing w:after="0"/>
              <w:rPr>
                <w:sz w:val="24"/>
                <w:szCs w:val="24"/>
                <w:color w:val="auto"/>
              </w:rPr>
            </w:pPr>
          </w:p>
        </w:tc>
        <w:tc>
          <w:tcPr>
            <w:tcW w:w="6920" w:type="dxa"/>
            <w:vAlign w:val="bottom"/>
            <w:gridSpan w:val="12"/>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40" w:type="dxa"/>
            <w:vAlign w:val="bottom"/>
          </w:tcPr>
          <w:p>
            <w:pPr>
              <w:spacing w:after="0"/>
              <w:rPr>
                <w:sz w:val="24"/>
                <w:szCs w:val="24"/>
                <w:color w:val="auto"/>
              </w:rPr>
            </w:pPr>
          </w:p>
        </w:tc>
      </w:tr>
      <w:tr>
        <w:trPr>
          <w:trHeight w:val="20"/>
        </w:trPr>
        <w:tc>
          <w:tcPr>
            <w:tcW w:w="9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Unregistered Sales of Equity Securities and Use of Proceeds</w:t>
            </w:r>
          </w:p>
        </w:tc>
        <w:tc>
          <w:tcPr>
            <w:tcW w:w="3920" w:type="dxa"/>
            <w:vAlign w:val="bottom"/>
            <w:gridSpan w:val="5"/>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40" w:type="dxa"/>
            <w:vAlign w:val="bottom"/>
          </w:tcPr>
          <w:p>
            <w:pPr>
              <w:spacing w:after="0"/>
              <w:rPr>
                <w:sz w:val="24"/>
                <w:szCs w:val="24"/>
                <w:color w:val="auto"/>
              </w:rPr>
            </w:pPr>
          </w:p>
        </w:tc>
      </w:tr>
      <w:tr>
        <w:trPr>
          <w:trHeight w:val="20"/>
        </w:trPr>
        <w:tc>
          <w:tcPr>
            <w:tcW w:w="9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0" w:type="dxa"/>
            <w:vAlign w:val="bottom"/>
            <w:tcBorders>
              <w:left w:val="single" w:sz="8" w:color="0000FF"/>
            </w:tcBorders>
            <w:gridSpan w:val="7"/>
            <w:shd w:val="clear" w:color="auto" w:fill="0000FF"/>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0"/>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4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920" w:type="dxa"/>
            <w:vAlign w:val="bottom"/>
            <w:gridSpan w:val="5"/>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40" w:type="dxa"/>
            <w:vAlign w:val="bottom"/>
          </w:tcPr>
          <w:p>
            <w:pPr>
              <w:spacing w:after="0"/>
              <w:rPr>
                <w:sz w:val="24"/>
                <w:szCs w:val="24"/>
                <w:color w:val="auto"/>
              </w:rPr>
            </w:pPr>
          </w:p>
        </w:tc>
      </w:tr>
      <w:tr>
        <w:trPr>
          <w:trHeight w:val="20"/>
        </w:trPr>
        <w:tc>
          <w:tcPr>
            <w:tcW w:w="9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920" w:type="dxa"/>
            <w:vAlign w:val="bottom"/>
            <w:gridSpan w:val="1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2"/>
          </w:tcPr>
          <w:p>
            <w:pPr>
              <w:spacing w:after="0"/>
              <w:rPr>
                <w:sz w:val="24"/>
                <w:szCs w:val="24"/>
                <w:color w:val="auto"/>
              </w:rPr>
            </w:pPr>
          </w:p>
        </w:tc>
        <w:tc>
          <w:tcPr>
            <w:tcW w:w="6920" w:type="dxa"/>
            <w:vAlign w:val="bottom"/>
            <w:gridSpan w:val="12"/>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40" w:type="dxa"/>
            <w:vAlign w:val="bottom"/>
          </w:tcPr>
          <w:p>
            <w:pPr>
              <w:spacing w:after="0"/>
              <w:rPr>
                <w:sz w:val="24"/>
                <w:szCs w:val="24"/>
                <w:color w:val="auto"/>
              </w:rPr>
            </w:pPr>
          </w:p>
        </w:tc>
      </w:tr>
      <w:tr>
        <w:trPr>
          <w:trHeight w:val="860"/>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140" w:type="dxa"/>
            <w:vAlign w:val="bottom"/>
            <w:gridSpan w:val="11"/>
          </w:tcPr>
          <w:p>
            <w:pPr>
              <w:jc w:val="center"/>
              <w:ind w:left="3931"/>
              <w:spacing w:after="0"/>
              <w:rPr>
                <w:sz w:val="20"/>
                <w:szCs w:val="20"/>
                <w:color w:val="auto"/>
              </w:rPr>
            </w:pPr>
            <w:r>
              <w:rPr>
                <w:rFonts w:ascii="Times New Roman" w:cs="Times New Roman" w:eastAsia="Times New Roman" w:hAnsi="Times New Roman"/>
                <w:sz w:val="18"/>
                <w:szCs w:val="18"/>
                <w:color w:val="auto"/>
                <w:w w:val="88"/>
              </w:rPr>
              <w:t>1</w:t>
            </w: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3"/>
        </w:trPr>
        <w:tc>
          <w:tcPr>
            <w:tcW w:w="5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0"/>
                <w:szCs w:val="20"/>
                <w:color w:val="auto"/>
              </w:rPr>
            </w:pPr>
          </w:p>
        </w:tc>
        <w:tc>
          <w:tcPr>
            <w:tcW w:w="172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7"/>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r>
      <w:tr>
        <w:trPr>
          <w:trHeight w:val="227"/>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7"/>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w:t>
            </w:r>
          </w:p>
        </w:tc>
      </w:tr>
      <w:tr>
        <w:trPr>
          <w:trHeight w:val="227"/>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1,913.3</w:t>
            </w:r>
          </w:p>
        </w:tc>
      </w:tr>
      <w:tr>
        <w:trPr>
          <w:trHeight w:val="227"/>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services</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r>
      <w:tr>
        <w:trPr>
          <w:trHeight w:val="227"/>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Supplies inventory</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w:t>
            </w:r>
          </w:p>
        </w:tc>
      </w:tr>
      <w:tr>
        <w:trPr>
          <w:trHeight w:val="227"/>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w:t>
            </w:r>
          </w:p>
        </w:tc>
      </w:tr>
      <w:tr>
        <w:trPr>
          <w:trHeight w:val="220"/>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3,765.4</w:t>
            </w:r>
          </w:p>
        </w:tc>
      </w:tr>
      <w:tr>
        <w:trPr>
          <w:trHeight w:val="22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2,911.8</w:t>
            </w:r>
          </w:p>
        </w:tc>
      </w:tr>
      <w:tr>
        <w:trPr>
          <w:trHeight w:val="227"/>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6,142.5</w:t>
            </w:r>
          </w:p>
        </w:tc>
      </w:tr>
      <w:tr>
        <w:trPr>
          <w:trHeight w:val="22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3,342.0</w:t>
            </w:r>
          </w:p>
        </w:tc>
      </w:tr>
      <w:tr>
        <w:trPr>
          <w:trHeight w:val="227"/>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Joint venture partnerships and equity method investments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r>
      <w:tr>
        <w:trPr>
          <w:trHeight w:val="227"/>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16,725.1</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27"/>
        </w:trPr>
        <w:tc>
          <w:tcPr>
            <w:tcW w:w="7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r>
      <w:tr>
        <w:trPr>
          <w:trHeight w:val="227"/>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7"/>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827.5</w:t>
            </w:r>
          </w:p>
        </w:tc>
      </w:tr>
      <w:tr>
        <w:trPr>
          <w:trHeight w:val="227"/>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w:t>
            </w:r>
          </w:p>
        </w:tc>
      </w:tr>
      <w:tr>
        <w:trPr>
          <w:trHeight w:val="227"/>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r>
      <w:tr>
        <w:trPr>
          <w:trHeight w:val="227"/>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27"/>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finance lease liabilities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7"/>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999.8</w:t>
            </w:r>
          </w:p>
        </w:tc>
      </w:tr>
      <w:tr>
        <w:trPr>
          <w:trHeight w:val="220"/>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3,225.2</w:t>
            </w:r>
          </w:p>
        </w:tc>
      </w:tr>
      <w:tr>
        <w:trPr>
          <w:trHeight w:val="22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4,054.7</w:t>
            </w:r>
          </w:p>
        </w:tc>
      </w:tr>
      <w:tr>
        <w:trPr>
          <w:trHeight w:val="227"/>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w:t>
            </w:r>
          </w:p>
        </w:tc>
      </w:tr>
      <w:tr>
        <w:trPr>
          <w:trHeight w:val="22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27"/>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tax liabilities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r>
      <w:tr>
        <w:trPr>
          <w:trHeight w:val="22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r>
      <w:tr>
        <w:trPr>
          <w:trHeight w:val="22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8,834.6</w:t>
            </w:r>
          </w:p>
        </w:tc>
      </w:tr>
      <w:tr>
        <w:trPr>
          <w:trHeight w:val="22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7"/>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173"/>
        </w:trPr>
        <w:tc>
          <w:tcPr>
            <w:tcW w:w="7340" w:type="dxa"/>
            <w:vAlign w:val="bottom"/>
          </w:tcPr>
          <w:p>
            <w:pPr>
              <w:ind w:left="140"/>
              <w:spacing w:after="0" w:line="173" w:lineRule="exact"/>
              <w:rPr>
                <w:sz w:val="20"/>
                <w:szCs w:val="20"/>
                <w:color w:val="auto"/>
              </w:rPr>
            </w:pPr>
            <w:r>
              <w:rPr>
                <w:rFonts w:ascii="Times New Roman" w:cs="Times New Roman" w:eastAsia="Times New Roman" w:hAnsi="Times New Roman"/>
                <w:sz w:val="18"/>
                <w:szCs w:val="18"/>
                <w:color w:val="auto"/>
                <w:w w:val="99"/>
              </w:rPr>
              <w:t>Common stock, $0.10 par value, 84.3 and 83.9 shares outstanding at March 31, 2024, and December</w:t>
            </w: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0"/>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 2023, respectively</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7"/>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7"/>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7,888.2</w:t>
            </w:r>
          </w:p>
        </w:tc>
      </w:tr>
      <w:tr>
        <w:trPr>
          <w:trHeight w:val="233"/>
        </w:trPr>
        <w:tc>
          <w:tcPr>
            <w:tcW w:w="7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33"/>
        </w:trPr>
        <w:tc>
          <w:tcPr>
            <w:tcW w:w="7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7,959.6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7,875.0</w:t>
            </w:r>
          </w:p>
        </w:tc>
      </w:tr>
      <w:tr>
        <w:trPr>
          <w:trHeight w:val="252"/>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16,725.1</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w:t>
      </w:r>
    </w:p>
    <w:p>
      <w:pPr>
        <w:spacing w:after="0" w:line="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5" w:lineRule="exact"/>
        <w:rPr>
          <w:sz w:val="20"/>
          <w:szCs w:val="20"/>
          <w:color w:val="auto"/>
        </w:rPr>
      </w:pPr>
    </w:p>
    <w:tbl>
      <w:tblPr>
        <w:tblLayout w:type="fixed"/>
        <w:tblInd w:w="340" w:type="dxa"/>
        <w:tblCellMar>
          <w:top w:w="0" w:type="dxa"/>
          <w:left w:w="0" w:type="dxa"/>
          <w:bottom w:w="0" w:type="dxa"/>
          <w:right w:w="0" w:type="dxa"/>
        </w:tblCellMar>
      </w:tblPr>
      <w:tr>
        <w:trPr>
          <w:trHeight w:val="227"/>
        </w:trPr>
        <w:tc>
          <w:tcPr>
            <w:tcW w:w="6760" w:type="dxa"/>
            <w:vAlign w:val="bottom"/>
          </w:tcPr>
          <w:p>
            <w:pPr>
              <w:spacing w:after="0"/>
              <w:rPr>
                <w:sz w:val="19"/>
                <w:szCs w:val="19"/>
                <w:color w:val="auto"/>
              </w:rPr>
            </w:pPr>
          </w:p>
        </w:tc>
        <w:tc>
          <w:tcPr>
            <w:tcW w:w="31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40" w:type="dxa"/>
            <w:vAlign w:val="bottom"/>
          </w:tcPr>
          <w:p>
            <w:pPr>
              <w:spacing w:after="0"/>
              <w:rPr>
                <w:sz w:val="19"/>
                <w:szCs w:val="19"/>
                <w:color w:val="auto"/>
              </w:rPr>
            </w:pPr>
          </w:p>
        </w:tc>
      </w:tr>
      <w:tr>
        <w:trPr>
          <w:trHeight w:val="234"/>
        </w:trPr>
        <w:tc>
          <w:tcPr>
            <w:tcW w:w="676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20"/>
                <w:szCs w:val="20"/>
                <w:color w:val="auto"/>
              </w:rPr>
            </w:pPr>
          </w:p>
        </w:tc>
      </w:tr>
      <w:tr>
        <w:trPr>
          <w:trHeight w:val="22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180" w:type="dxa"/>
            <w:vAlign w:val="bottom"/>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3,176.6</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3,037.8</w:t>
            </w:r>
          </w:p>
        </w:tc>
      </w:tr>
      <w:tr>
        <w:trPr>
          <w:trHeight w:val="227"/>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2,279.3</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2,187.7</w:t>
            </w:r>
          </w:p>
        </w:tc>
      </w:tr>
      <w:tr>
        <w:trPr>
          <w:trHeight w:val="22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w:t>
            </w:r>
          </w:p>
        </w:tc>
      </w:tr>
      <w:tr>
        <w:trPr>
          <w:trHeight w:val="227"/>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w:t>
            </w:r>
          </w:p>
        </w:tc>
      </w:tr>
      <w:tr>
        <w:trPr>
          <w:trHeight w:val="22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27"/>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7"/>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w:t>
            </w:r>
          </w:p>
        </w:tc>
      </w:tr>
      <w:tr>
        <w:trPr>
          <w:trHeight w:val="22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7"/>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27"/>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income</w:t>
            </w: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7"/>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method income (expense), net</w:t>
            </w: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7"/>
        </w:trPr>
        <w:tc>
          <w:tcPr>
            <w:tcW w:w="6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w:t>
            </w:r>
          </w:p>
        </w:tc>
      </w:tr>
      <w:tr>
        <w:trPr>
          <w:trHeight w:val="247"/>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r>
      <w:tr>
        <w:trPr>
          <w:trHeight w:val="24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 net of tax</w:t>
            </w:r>
          </w:p>
        </w:tc>
        <w:tc>
          <w:tcPr>
            <w:tcW w:w="1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3"/>
        </w:trPr>
        <w:tc>
          <w:tcPr>
            <w:tcW w:w="67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2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w:t>
            </w:r>
          </w:p>
        </w:tc>
      </w:tr>
      <w:tr>
        <w:trPr>
          <w:trHeight w:val="233"/>
        </w:trPr>
        <w:tc>
          <w:tcPr>
            <w:tcW w:w="6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earnings attributable to the noncontrolling interest</w:t>
            </w:r>
          </w:p>
        </w:tc>
        <w:tc>
          <w:tcPr>
            <w:tcW w:w="1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7"/>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Laboratory Corporation of America Holdings</w:t>
            </w:r>
          </w:p>
        </w:tc>
        <w:tc>
          <w:tcPr>
            <w:tcW w:w="1180" w:type="dxa"/>
            <w:vAlign w:val="bottom"/>
            <w:tcBorders>
              <w:bottom w:val="single" w:sz="8" w:color="auto"/>
            </w:tcBorders>
          </w:tcPr>
          <w:p>
            <w:pPr>
              <w:jc w:val="right"/>
              <w:ind w:right="99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ind w:right="101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0"/>
        </w:trPr>
        <w:tc>
          <w:tcPr>
            <w:tcW w:w="67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27"/>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7"/>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earnings per share continuing operations</w:t>
            </w:r>
          </w:p>
        </w:tc>
        <w:tc>
          <w:tcPr>
            <w:tcW w:w="1180" w:type="dxa"/>
            <w:vAlign w:val="bottom"/>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7"/>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earnings per share discontinued operations</w:t>
            </w:r>
          </w:p>
        </w:tc>
        <w:tc>
          <w:tcPr>
            <w:tcW w:w="118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1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45"/>
        </w:trPr>
        <w:tc>
          <w:tcPr>
            <w:tcW w:w="6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180" w:type="dxa"/>
            <w:vAlign w:val="bottom"/>
            <w:tcBorders>
              <w:top w:val="single" w:sz="8" w:color="auto"/>
              <w:bottom w:val="single" w:sz="8" w:color="auto"/>
            </w:tcBorders>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ind w:right="101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60"/>
        </w:trPr>
        <w:tc>
          <w:tcPr>
            <w:tcW w:w="6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2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7"/>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earnings per share continuing operations</w:t>
            </w:r>
          </w:p>
        </w:tc>
        <w:tc>
          <w:tcPr>
            <w:tcW w:w="118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9"/>
                <w:szCs w:val="19"/>
                <w:color w:val="auto"/>
              </w:rPr>
            </w:pPr>
          </w:p>
        </w:tc>
        <w:tc>
          <w:tcPr>
            <w:tcW w:w="1200" w:type="dxa"/>
            <w:vAlign w:val="bottom"/>
          </w:tcPr>
          <w:p>
            <w:pPr>
              <w:jc w:val="right"/>
              <w:ind w:right="101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7"/>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earnings per share discontinued operations</w:t>
            </w:r>
          </w:p>
        </w:tc>
        <w:tc>
          <w:tcPr>
            <w:tcW w:w="1180" w:type="dxa"/>
            <w:vAlign w:val="bottom"/>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1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2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180" w:type="dxa"/>
            <w:vAlign w:val="bottom"/>
            <w:tcBorders>
              <w:top w:val="single" w:sz="8" w:color="auto"/>
              <w:bottom w:val="single" w:sz="8" w:color="auto"/>
            </w:tcBorders>
          </w:tcPr>
          <w:p>
            <w:pPr>
              <w:jc w:val="right"/>
              <w:ind w:right="99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1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0"/>
        </w:trPr>
        <w:tc>
          <w:tcPr>
            <w:tcW w:w="67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EARNINGS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74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2"/>
                <w:szCs w:val="22"/>
                <w:color w:val="auto"/>
              </w:rPr>
            </w:pPr>
          </w:p>
        </w:tc>
        <w:tc>
          <w:tcPr>
            <w:tcW w:w="1300" w:type="dxa"/>
            <w:vAlign w:val="bottom"/>
            <w:tcBorders>
              <w:top w:val="single" w:sz="8" w:color="auto"/>
              <w:bottom w:val="single" w:sz="8" w:color="auto"/>
            </w:tcBorders>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100" w:type="dxa"/>
            <w:vAlign w:val="bottom"/>
          </w:tcPr>
          <w:p>
            <w:pPr>
              <w:jc w:val="right"/>
              <w:ind w:right="89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Pr>
          <w:p>
            <w:pPr>
              <w:spacing w:after="0"/>
              <w:rPr>
                <w:sz w:val="18"/>
                <w:szCs w:val="18"/>
                <w:color w:val="auto"/>
              </w:rPr>
            </w:pP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r>
      <w:tr>
        <w:trPr>
          <w:trHeight w:val="22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2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benefit plan adjustments</w:t>
            </w:r>
          </w:p>
        </w:tc>
        <w:tc>
          <w:tcPr>
            <w:tcW w:w="1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7"/>
        </w:trPr>
        <w:tc>
          <w:tcPr>
            <w:tcW w:w="7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earnings (loss) before tax</w:t>
            </w:r>
          </w:p>
        </w:tc>
        <w:tc>
          <w:tcPr>
            <w:tcW w:w="11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 related to items of comprehensive earnings</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 net of tax</w:t>
            </w:r>
          </w:p>
        </w:tc>
        <w:tc>
          <w:tcPr>
            <w:tcW w:w="11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earnings</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r>
      <w:tr>
        <w:trPr>
          <w:trHeight w:val="233"/>
        </w:trPr>
        <w:tc>
          <w:tcPr>
            <w:tcW w:w="7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earnings attributable to the noncontrolling interest</w:t>
            </w:r>
          </w:p>
        </w:tc>
        <w:tc>
          <w:tcPr>
            <w:tcW w:w="1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earnings attributable to Laboratory Corporation of America Holdings</w:t>
            </w:r>
          </w:p>
        </w:tc>
        <w:tc>
          <w:tcPr>
            <w:tcW w:w="1100" w:type="dxa"/>
            <w:vAlign w:val="bottom"/>
            <w:tcBorders>
              <w:bottom w:val="single" w:sz="8" w:color="auto"/>
            </w:tcBorders>
          </w:tcPr>
          <w:p>
            <w:pPr>
              <w:jc w:val="right"/>
              <w:ind w:right="89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w:t>
            </w:r>
          </w:p>
        </w:tc>
      </w:tr>
      <w:tr>
        <w:trPr>
          <w:trHeight w:val="20"/>
        </w:trPr>
        <w:tc>
          <w:tcPr>
            <w:tcW w:w="7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color w:val="auto"/>
              </w:rPr>
              <w:t>Additional</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Accumulated</w:t>
            </w:r>
          </w:p>
        </w:tc>
        <w:tc>
          <w:tcPr>
            <w:tcW w:w="140" w:type="dxa"/>
            <w:vAlign w:val="bottom"/>
          </w:tcPr>
          <w:p>
            <w:pPr>
              <w:spacing w:after="0"/>
              <w:rPr>
                <w:sz w:val="12"/>
                <w:szCs w:val="12"/>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33"/>
        </w:trPr>
        <w:tc>
          <w:tcPr>
            <w:tcW w:w="56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Common</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Retained</w:t>
            </w:r>
          </w:p>
        </w:tc>
        <w:tc>
          <w:tcPr>
            <w:tcW w:w="140" w:type="dxa"/>
            <w:vAlign w:val="bottom"/>
          </w:tcPr>
          <w:p>
            <w:pPr>
              <w:spacing w:after="0"/>
              <w:rPr>
                <w:sz w:val="11"/>
                <w:szCs w:val="11"/>
                <w:color w:val="auto"/>
              </w:rPr>
            </w:pPr>
          </w:p>
        </w:tc>
        <w:tc>
          <w:tcPr>
            <w:tcW w:w="118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3"/>
                <w:szCs w:val="13"/>
                <w:color w:val="auto"/>
              </w:rPr>
              <w:t>Other</w:t>
            </w: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6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3"/>
                <w:szCs w:val="13"/>
                <w:color w:val="auto"/>
              </w:rPr>
              <w:t>Paid-in</w:t>
            </w: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3"/>
                <w:szCs w:val="13"/>
                <w:color w:val="auto"/>
              </w:rPr>
              <w:t>Comprehensive</w:t>
            </w:r>
          </w:p>
        </w:tc>
        <w:tc>
          <w:tcPr>
            <w:tcW w:w="140" w:type="dxa"/>
            <w:vAlign w:val="bottom"/>
          </w:tcPr>
          <w:p>
            <w:pPr>
              <w:spacing w:after="0"/>
              <w:rPr>
                <w:sz w:val="11"/>
                <w:szCs w:val="11"/>
                <w:color w:val="auto"/>
              </w:rPr>
            </w:pPr>
          </w:p>
        </w:tc>
        <w:tc>
          <w:tcPr>
            <w:tcW w:w="960" w:type="dxa"/>
            <w:vAlign w:val="bottom"/>
          </w:tcPr>
          <w:p>
            <w:pPr>
              <w:jc w:val="center"/>
              <w:ind w:right="70"/>
              <w:spacing w:after="0" w:line="133" w:lineRule="exact"/>
              <w:rPr>
                <w:sz w:val="20"/>
                <w:szCs w:val="20"/>
                <w:color w:val="auto"/>
              </w:rPr>
            </w:pPr>
            <w:r>
              <w:rPr>
                <w:rFonts w:ascii="Times New Roman" w:cs="Times New Roman" w:eastAsia="Times New Roman" w:hAnsi="Times New Roman"/>
                <w:sz w:val="13"/>
                <w:szCs w:val="13"/>
                <w:color w:val="auto"/>
              </w:rPr>
              <w:t>Shareholders’</w:t>
            </w:r>
          </w:p>
        </w:tc>
        <w:tc>
          <w:tcPr>
            <w:tcW w:w="0" w:type="dxa"/>
            <w:vAlign w:val="bottom"/>
          </w:tcPr>
          <w:p>
            <w:pPr>
              <w:spacing w:after="0"/>
              <w:rPr>
                <w:sz w:val="1"/>
                <w:szCs w:val="1"/>
                <w:color w:val="auto"/>
              </w:rPr>
            </w:pPr>
          </w:p>
        </w:tc>
      </w:tr>
      <w:tr>
        <w:trPr>
          <w:trHeight w:val="179"/>
        </w:trPr>
        <w:tc>
          <w:tcPr>
            <w:tcW w:w="5600" w:type="dxa"/>
            <w:vAlign w:val="bottom"/>
          </w:tcPr>
          <w:p>
            <w:pPr>
              <w:spacing w:after="0"/>
              <w:rPr>
                <w:sz w:val="15"/>
                <w:szCs w:val="15"/>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3"/>
                <w:szCs w:val="13"/>
                <w:color w:val="auto"/>
              </w:rPr>
              <w:t>Stock</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rPr>
              <w:t>Capital</w:t>
            </w:r>
          </w:p>
        </w:tc>
        <w:tc>
          <w:tcPr>
            <w:tcW w:w="18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Earnings</w:t>
            </w: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Earnings (Loss)</w:t>
            </w:r>
          </w:p>
        </w:tc>
        <w:tc>
          <w:tcPr>
            <w:tcW w:w="140" w:type="dxa"/>
            <w:vAlign w:val="bottom"/>
          </w:tcPr>
          <w:p>
            <w:pPr>
              <w:spacing w:after="0"/>
              <w:rPr>
                <w:sz w:val="15"/>
                <w:szCs w:val="15"/>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200"/>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72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8.1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10,581.7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10,096.6</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Laboratory Corporation of America Holdings</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0" w:type="dxa"/>
            <w:vAlign w:val="bottom"/>
          </w:tcPr>
          <w:p>
            <w:pPr>
              <w:spacing w:after="0"/>
              <w:rPr>
                <w:sz w:val="1"/>
                <w:szCs w:val="1"/>
                <w:color w:val="auto"/>
              </w:rPr>
            </w:pPr>
          </w:p>
        </w:tc>
      </w:tr>
      <w:tr>
        <w:trPr>
          <w:trHeight w:val="20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(loss), net of tax</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0" w:type="dxa"/>
            <w:vAlign w:val="bottom"/>
          </w:tcPr>
          <w:p>
            <w:pPr>
              <w:spacing w:after="0"/>
              <w:rPr>
                <w:sz w:val="1"/>
                <w:szCs w:val="1"/>
                <w:color w:val="auto"/>
              </w:rPr>
            </w:pPr>
          </w:p>
        </w:tc>
      </w:tr>
      <w:tr>
        <w:trPr>
          <w:trHeight w:val="20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20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167"/>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7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1"/>
              </w:rPr>
              <w:t>8.1</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10,729.9</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(444.2)</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10,341.5</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6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720" w:type="dxa"/>
            <w:vAlign w:val="bottom"/>
          </w:tcPr>
          <w:p>
            <w:pPr>
              <w:jc w:val="right"/>
              <w:ind w:right="57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1"/>
              </w:rPr>
              <w:t>7.7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7,888.2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7,875.0</w:t>
            </w:r>
          </w:p>
        </w:tc>
        <w:tc>
          <w:tcPr>
            <w:tcW w:w="0" w:type="dxa"/>
            <w:vAlign w:val="bottom"/>
          </w:tcPr>
          <w:p>
            <w:pPr>
              <w:spacing w:after="0"/>
              <w:rPr>
                <w:sz w:val="1"/>
                <w:szCs w:val="1"/>
                <w:color w:val="auto"/>
              </w:rPr>
            </w:pPr>
          </w:p>
        </w:tc>
      </w:tr>
      <w:tr>
        <w:trPr>
          <w:trHeight w:val="207"/>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Laboratory Corporation of America Holdings</w:t>
            </w:r>
          </w:p>
        </w:tc>
        <w:tc>
          <w:tcPr>
            <w:tcW w:w="7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228.0</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(loss), net of tax</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0" w:type="dxa"/>
            <w:vAlign w:val="bottom"/>
          </w:tcPr>
          <w:p>
            <w:pPr>
              <w:spacing w:after="0"/>
              <w:rPr>
                <w:sz w:val="1"/>
                <w:szCs w:val="1"/>
                <w:color w:val="auto"/>
              </w:rPr>
            </w:pPr>
          </w:p>
        </w:tc>
      </w:tr>
      <w:tr>
        <w:trPr>
          <w:trHeight w:val="20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20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93"/>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225"/>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72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7,959.6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INDEX</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759"/>
        </w:trPr>
        <w:tc>
          <w:tcPr>
            <w:tcW w:w="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9340" w:type="dxa"/>
            <w:vAlign w:val="bottom"/>
            <w:gridSpan w:val="4"/>
          </w:tcPr>
          <w:p>
            <w:pPr>
              <w:jc w:val="center"/>
              <w:ind w:left="691"/>
              <w:spacing w:after="0"/>
              <w:rPr>
                <w:sz w:val="20"/>
                <w:szCs w:val="20"/>
                <w:color w:val="auto"/>
              </w:rPr>
            </w:pPr>
            <w:r>
              <w:rPr>
                <w:rFonts w:ascii="Times New Roman" w:cs="Times New Roman" w:eastAsia="Times New Roman" w:hAnsi="Times New Roman"/>
                <w:sz w:val="18"/>
                <w:szCs w:val="18"/>
                <w:b w:val="1"/>
                <w:bCs w:val="1"/>
                <w:color w:val="auto"/>
                <w:w w:val="98"/>
              </w:rPr>
              <w:t>LABORATORY CORPORATION OF AMERICA HOLDINGS AND SUBSIDIARIES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3"/>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900" w:type="dxa"/>
            <w:vAlign w:val="bottom"/>
          </w:tcPr>
          <w:p>
            <w:pPr>
              <w:jc w:val="center"/>
              <w:ind w:left="2151"/>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CASH FLOWS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900" w:type="dxa"/>
            <w:vAlign w:val="bottom"/>
          </w:tcPr>
          <w:p>
            <w:pPr>
              <w:jc w:val="center"/>
              <w:ind w:left="2131"/>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900" w:type="dxa"/>
            <w:vAlign w:val="bottom"/>
          </w:tcPr>
          <w:p>
            <w:pPr>
              <w:jc w:val="center"/>
              <w:ind w:left="2131"/>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6"/>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33"/>
        </w:trPr>
        <w:tc>
          <w:tcPr>
            <w:tcW w:w="40" w:type="dxa"/>
            <w:vAlign w:val="bottom"/>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79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discontinued operations, net of tax</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 expense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assets and liabilities (net of effects of acquisitions and divestitures):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unbilled services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supplies inventory</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prepaid expenses and other</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accounts payable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unearned revenue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7"/>
        </w:trPr>
        <w:tc>
          <w:tcPr>
            <w:tcW w:w="40" w:type="dxa"/>
            <w:vAlign w:val="bottom"/>
          </w:tcPr>
          <w:p>
            <w:pPr>
              <w:spacing w:after="0"/>
              <w:rPr>
                <w:sz w:val="19"/>
                <w:szCs w:val="19"/>
                <w:color w:val="auto"/>
              </w:rPr>
            </w:pPr>
          </w:p>
        </w:tc>
        <w:tc>
          <w:tcPr>
            <w:tcW w:w="8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Decrease in accrued expenses and other</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20"/>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for) continuing operating activities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r>
      <w:tr>
        <w:trPr>
          <w:trHeight w:val="233"/>
        </w:trPr>
        <w:tc>
          <w:tcPr>
            <w:tcW w:w="4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for discontinued operating activities</w:t>
            </w:r>
          </w:p>
        </w:tc>
        <w:tc>
          <w:tcPr>
            <w:tcW w:w="1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47"/>
        </w:trPr>
        <w:tc>
          <w:tcPr>
            <w:tcW w:w="40" w:type="dxa"/>
            <w:vAlign w:val="bottom"/>
          </w:tcPr>
          <w:p>
            <w:pPr>
              <w:spacing w:after="0"/>
              <w:rPr>
                <w:sz w:val="21"/>
                <w:szCs w:val="21"/>
                <w:color w:val="auto"/>
              </w:rPr>
            </w:pPr>
          </w:p>
        </w:tc>
        <w:tc>
          <w:tcPr>
            <w:tcW w:w="8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for) operating activities</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213"/>
        </w:trPr>
        <w:tc>
          <w:tcPr>
            <w:tcW w:w="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business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equity affiliates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0"/>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for continuing investing activities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33"/>
        </w:trPr>
        <w:tc>
          <w:tcPr>
            <w:tcW w:w="40" w:type="dxa"/>
            <w:vAlign w:val="bottom"/>
          </w:tcPr>
          <w:p>
            <w:pPr>
              <w:spacing w:after="0"/>
              <w:rPr>
                <w:sz w:val="20"/>
                <w:szCs w:val="20"/>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discontinued investing activities</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3"/>
        </w:trPr>
        <w:tc>
          <w:tcPr>
            <w:tcW w:w="40" w:type="dxa"/>
            <w:vAlign w:val="bottom"/>
          </w:tcPr>
          <w:p>
            <w:pPr>
              <w:spacing w:after="0"/>
              <w:rPr>
                <w:sz w:val="20"/>
                <w:szCs w:val="20"/>
                <w:color w:val="auto"/>
              </w:rPr>
            </w:pPr>
          </w:p>
        </w:tc>
        <w:tc>
          <w:tcPr>
            <w:tcW w:w="8420" w:type="dxa"/>
            <w:vAlign w:val="bottom"/>
            <w:tcBorders>
              <w:top w:val="single" w:sz="8" w:color="CCEEFF"/>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20" w:type="dxa"/>
            <w:vAlign w:val="bottom"/>
            <w:tcBorders>
              <w:top w:val="single" w:sz="8" w:color="CCEEFF"/>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revolving credit facilities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share settlement tax payments from issuance of stock to employees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issuance of stock to employees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0"/>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for continuing financing activities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33"/>
        </w:trPr>
        <w:tc>
          <w:tcPr>
            <w:tcW w:w="40" w:type="dxa"/>
            <w:vAlign w:val="bottom"/>
          </w:tcPr>
          <w:p>
            <w:pPr>
              <w:spacing w:after="0"/>
              <w:rPr>
                <w:sz w:val="20"/>
                <w:szCs w:val="20"/>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discontinued financing activities</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40" w:type="dxa"/>
            <w:vAlign w:val="bottom"/>
          </w:tcPr>
          <w:p>
            <w:pPr>
              <w:spacing w:after="0"/>
              <w:rPr>
                <w:sz w:val="20"/>
                <w:szCs w:val="20"/>
                <w:color w:val="auto"/>
              </w:rPr>
            </w:pPr>
          </w:p>
        </w:tc>
        <w:tc>
          <w:tcPr>
            <w:tcW w:w="8420" w:type="dxa"/>
            <w:vAlign w:val="bottom"/>
            <w:tcBorders>
              <w:top w:val="single" w:sz="8" w:color="CCEEFF"/>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1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top w:val="single" w:sz="8" w:color="CCEEFF"/>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47"/>
        </w:trPr>
        <w:tc>
          <w:tcPr>
            <w:tcW w:w="40" w:type="dxa"/>
            <w:vAlign w:val="bottom"/>
          </w:tcPr>
          <w:p>
            <w:pPr>
              <w:spacing w:after="0"/>
              <w:rPr>
                <w:sz w:val="21"/>
                <w:szCs w:val="21"/>
                <w:color w:val="auto"/>
              </w:rPr>
            </w:pPr>
          </w:p>
        </w:tc>
        <w:tc>
          <w:tcPr>
            <w:tcW w:w="8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3"/>
        </w:trPr>
        <w:tc>
          <w:tcPr>
            <w:tcW w:w="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r>
      <w:tr>
        <w:trPr>
          <w:trHeight w:val="220"/>
        </w:trPr>
        <w:tc>
          <w:tcPr>
            <w:tcW w:w="40" w:type="dxa"/>
            <w:vAlign w:val="bottom"/>
          </w:tcPr>
          <w:p>
            <w:pPr>
              <w:spacing w:after="0"/>
              <w:rPr>
                <w:sz w:val="19"/>
                <w:szCs w:val="19"/>
                <w:color w:val="auto"/>
              </w:rPr>
            </w:pPr>
          </w:p>
        </w:tc>
        <w:tc>
          <w:tcPr>
            <w:tcW w:w="8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Cash and cash equivalents of discontinued operations at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45"/>
        </w:trPr>
        <w:tc>
          <w:tcPr>
            <w:tcW w:w="40" w:type="dxa"/>
            <w:vAlign w:val="bottom"/>
          </w:tcPr>
          <w:p>
            <w:pPr>
              <w:spacing w:after="0"/>
              <w:rPr>
                <w:sz w:val="20"/>
                <w:szCs w:val="20"/>
                <w:color w:val="auto"/>
              </w:rPr>
            </w:pPr>
          </w:p>
        </w:tc>
        <w:tc>
          <w:tcPr>
            <w:tcW w:w="8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r>
      <w:tr>
        <w:trPr>
          <w:trHeight w:val="20"/>
        </w:trPr>
        <w:tc>
          <w:tcPr>
            <w:tcW w:w="40" w:type="dxa"/>
            <w:vAlign w:val="bottom"/>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20"/>
          </w:cols>
          <w:pgMar w:left="320" w:top="106" w:right="35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6"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FINANCIAL STATEMENT PRESENTATION</w:t>
      </w:r>
    </w:p>
    <w:p>
      <w:pPr>
        <w:spacing w:after="0" w:line="14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Laboratory Corporation of America® Holdings (Labcorp® or the Company) is a global leader of innovative and comprehensive laboratory services that provides vital information to help doctors, hospitals, pharmaceuitcal companies, researchers, and patients make clear and confident decisions. By leveraging its unparalleled diagnostics and drug development capabilities, the Company provides insights and accelerates innovations to improve health and improve lives.</w:t>
      </w:r>
    </w:p>
    <w:p>
      <w:pPr>
        <w:spacing w:after="0" w:line="20"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7"/>
          <w:szCs w:val="17"/>
          <w:color w:val="auto"/>
        </w:rPr>
        <w:t>The Company reports its business in two segments, Diagnostics Laboratories (Dx) and Biopharma Laboratory Services (BLS), formerly Drug Development. For further financial information about these segments, see Note 12 (Business Segment Information) to the Condensed Consolidated Financial Statements. During the three months ended March 31, 2024, Dx and BLS contributed approximately 78% and 22%, respectively, of revenues to the Company. During the three months ended March 31, 2023, Dx and BLS contributed approximately 78% and 22%, respectively, of revenues to the Company.</w:t>
      </w:r>
    </w:p>
    <w:p>
      <w:pPr>
        <w:spacing w:after="0" w:line="7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are unaudited. In the opinion of management, all adjustments necessary for a fair statement of results of operations, cash flows, and financial position have been made. Except as otherwise disclosed, all such adjustments are of a normal recurring nature. Interim results are not necessarily indicative of results for a full year. The year-end condensed consolidated balance sheet data was derived from audited financial statements but does not include all disclosures required by generally accepted accounting principles.</w:t>
      </w:r>
    </w:p>
    <w:p>
      <w:pPr>
        <w:spacing w:after="0" w:line="8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condensed consolidated financial statements and notes are presented in accordance with the rules and regulations of the Securities and Exchange Commission (SEC) and do not contain certain information included in the Company’s fiscal year 2023 Annual Report on Form 10-K (Annual Report). Therefore, these interim statements should be read in conjunction with the consolidated financial statements and notes thereto contained in the Company’s Annual Report.</w:t>
      </w:r>
    </w:p>
    <w:p>
      <w:pPr>
        <w:spacing w:after="0" w:line="100"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majority-owned subsidiaries for which it exercises control. Long-term investments in affiliated companies in which the Company exercises significant influence, but which it does not control, are accounted for using the equity method. Investments in which the Company does not exercise significant influence (generally, when the Company has an investment of less than 20.0% and no representation on the investee's board of directors) are accounted for at fair value, or at cost minus impairment adjusted for observable price changes in orderly transactions for an identical or similar investment of the same issuer for those investments that do not have readily determinable fair values. All significant inter-company transactions and accounts have been eliminated. The Company does not have any significant variable interest entities or special purpose entities whose financial results are not included in the condensed consolidated financial statements.</w:t>
      </w:r>
    </w:p>
    <w:p>
      <w:pPr>
        <w:spacing w:after="0" w:line="91"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The financial statements of the Company's operating foreign subsidiaries are measured using the local currency as the functional currency. Assets and liabilities are translated at exchange rates as of the balance sheet date. Revenues and expenses are translated at average monthly exchange rates prevailing during the period. Resulting translation adjustments are included in “Accumulated other comprehensive income (loss).”</w:t>
      </w:r>
    </w:p>
    <w:p>
      <w:pPr>
        <w:spacing w:after="0" w:line="8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DISCONTINUED OPERATIONS</w:t>
      </w:r>
    </w:p>
    <w:p>
      <w:pPr>
        <w:spacing w:after="0" w:line="14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On June 30, 2023 (the Distribution Date), Labcorp completed the previously announced separation (the Separation) from the Company of Fortrea Holdings Inc. (Fortrea), formerly the Company's Clinical Development and Commercialization Services (CDCS) business, into a separate, publicly-traded company. All historical operating results of Fortrea are presented as Discontinued Operations, net of tax, in the consolidated statement of operations. The spin-off is expected to be treated as tax-free for the Company and its shareholders for U.S. federal income tax purposes.</w:t>
      </w:r>
    </w:p>
    <w:p>
      <w:pPr>
        <w:spacing w:after="0" w:line="86"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A discontinued operation may include a component or a group of components of the Company's operations. A disposal of a component or a group of components is reported in discontinued operations if the disposal represents a strategic shift that has or will have a major effect on the Company's operations and financial results when the following occurs: (1) a component (or group of components) meets the criteria to be classified as held for sale; (2) the component or group of components is disposed of by sale; or (3) the component or group of components is disposed of other than by sale (for example, by abandonment or in a distribution to owners in a spin-off). For any component classified as held for sale or disposed of by sale or other than by sale, qualifying for presentation as a discontinued operation, the Company reports the results of operations of the discontinued operations (including any gain or loss recognized on the disposal or loss recognized on classification as held for sale of a discontinued operation), less applicable income taxes (benefit), as a separate component in the consolidated statement of operations for current and all prior periods presented. The Company also reports assets and liabilities associated with discontinued operations as separate line items on the consolidated balance sheet for prior periods.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54"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The spin-off of Fortrea from Labcorp was achieved through the Company’s pro-rata distribution of 100% of the outstanding shares of Fortrea common stock to holders of record of Labcorp common stock. Each holder of record of Labcorp common stock received one share of Fortrea common stock for every share of Labcorp common stock held at 5:00 p.m., Burlington, North Carolina, time on June 20, 2023, the record date for the distribution.</w:t>
      </w:r>
    </w:p>
    <w:p>
      <w:pPr>
        <w:spacing w:after="0" w:line="84"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June 2023, Fortrea, prior to the Separation and while a subsidiary of the Company, issued $570.0 of 7.500% senior secured notes due 2030 (the Fortrea Notes). The proceeds from the Fortrea Notes were used to fund cash payments of approximately $1,600.0 to the Company in connection with the Separation. The Company does not guarantee the Fortrea Notes following the Separation. Also in June 2023, Fortrea entered into three floating secured overnight financing rate (SOFR) credit facilities totaling $1,520.0. These are comprised of a $450.0 Revolver maturing June 30, 2028; a $500.0 Term Loan A maturing June 30, 2028; and a $570.0 Term Loan B maturing June 30, 2030.</w:t>
      </w:r>
    </w:p>
    <w:p>
      <w:pPr>
        <w:spacing w:after="0" w:line="104"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In connection with the spin-off, the Company entered into several agreements with Fortrea on or prior to the Distribution Date that, among other things, provide a framework for the Company’s relationship with Fortrea after the spin-off, including a separation and distribution agreement, a tax matters agreement, an employee matters agreement, and a transition services agreement. These agreements contain the key provisions relating to the spin-off, including provisions relating to the principal intercompany transactions required to effect the spin-off, the conditions to the spin-off and provisions governing the relationship between Fortrea and the Company after the spin-off. The costs to provide these services are included in operating income but the service fees are included in other income.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Information of Discontinued Operations</w:t>
      </w:r>
    </w:p>
    <w:p>
      <w:pPr>
        <w:spacing w:after="0" w:line="130"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Earnings from Discontinued Operations, Net of Tax in the Consolidated Statements of Operations reflect the after-tax results of Fortrea's business and Separation-related fees, and do not include any allocation of general corporate overhead expense or interest expense of the Company.</w:t>
      </w:r>
    </w:p>
    <w:p>
      <w:pPr>
        <w:spacing w:after="0" w:line="84"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The following table summarizes the significant line items included in Earnings from Discontinued Operations, Net of Tax in the Consolidated Statements of Operations for the three months ended March 31, 2023:</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80" w:type="dxa"/>
            <w:vAlign w:val="bottom"/>
          </w:tcPr>
          <w:p>
            <w:pPr>
              <w:spacing w:after="0"/>
              <w:rPr>
                <w:sz w:val="17"/>
                <w:szCs w:val="17"/>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r>
      <w:tr>
        <w:trPr>
          <w:trHeight w:val="247"/>
        </w:trPr>
        <w:tc>
          <w:tcPr>
            <w:tcW w:w="89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31, 2023</w:t>
            </w:r>
          </w:p>
        </w:tc>
      </w:tr>
      <w:tr>
        <w:trPr>
          <w:trHeight w:val="227"/>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w:t>
            </w:r>
          </w:p>
        </w:tc>
      </w:tr>
      <w:tr>
        <w:trPr>
          <w:trHeight w:val="227"/>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4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615.5</w:t>
            </w:r>
          </w:p>
        </w:tc>
      </w:tr>
      <w:tr>
        <w:trPr>
          <w:trHeight w:val="220"/>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227"/>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27"/>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4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33"/>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4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7"/>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7"/>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47"/>
        </w:trPr>
        <w:tc>
          <w:tcPr>
            <w:tcW w:w="8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46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4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0"/>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7"/>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Laboratory Corporation of America Holdings</w:t>
            </w:r>
          </w:p>
        </w:tc>
        <w:tc>
          <w:tcPr>
            <w:tcW w:w="4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8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39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REVENUES</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revenues by segment and by payers/customer groups for the three months ended March 31, 2024, and 2023,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Borders>
              <w:right w:val="single" w:sz="8" w:color="auto"/>
            </w:tcBorders>
          </w:tcPr>
          <w:p>
            <w:pPr>
              <w:spacing w:after="0"/>
              <w:rPr>
                <w:sz w:val="17"/>
                <w:szCs w:val="17"/>
                <w:color w:val="auto"/>
              </w:rPr>
            </w:pPr>
          </w:p>
        </w:tc>
        <w:tc>
          <w:tcPr>
            <w:tcW w:w="3460" w:type="dxa"/>
            <w:vAlign w:val="bottom"/>
            <w:tcBorders>
              <w:top w:val="single" w:sz="8" w:color="auto"/>
              <w:bottom w:val="single" w:sz="8" w:color="auto"/>
            </w:tcBorders>
            <w:gridSpan w:val="7"/>
          </w:tcPr>
          <w:p>
            <w:pPr>
              <w:ind w:left="6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w:t>
            </w:r>
          </w:p>
        </w:tc>
        <w:tc>
          <w:tcPr>
            <w:tcW w:w="680" w:type="dxa"/>
            <w:vAlign w:val="bottom"/>
            <w:tcBorders>
              <w:top w:val="single" w:sz="8" w:color="auto"/>
              <w:bottom w:val="single" w:sz="8" w:color="auto"/>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460" w:type="dxa"/>
            <w:vAlign w:val="bottom"/>
            <w:tcBorders>
              <w:top w:val="single" w:sz="8" w:color="auto"/>
              <w:bottom w:val="single" w:sz="8" w:color="auto"/>
            </w:tcBorders>
            <w:gridSpan w:val="7"/>
          </w:tcPr>
          <w:p>
            <w:pPr>
              <w:ind w:left="6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2023</w:t>
            </w:r>
          </w:p>
        </w:tc>
        <w:tc>
          <w:tcPr>
            <w:tcW w:w="68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32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8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right w:val="single" w:sz="8" w:color="auto"/>
            </w:tcBorders>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32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8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86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Payer/Customer</w:t>
            </w: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right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Dx</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8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Clients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20" w:type="dxa"/>
            <w:vAlign w:val="bottom"/>
            <w:tcBorders>
              <w:right w:val="single" w:sz="8" w:color="auto"/>
            </w:tcBorders>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r>
        <w:trPr>
          <w:trHeight w:val="192"/>
        </w:trPr>
        <w:tc>
          <w:tcPr>
            <w:tcW w:w="2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Patients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2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20" w:type="dxa"/>
            <w:vAlign w:val="bottom"/>
            <w:tcBorders>
              <w:right w:val="single" w:sz="8" w:color="auto"/>
            </w:tcBorders>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2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208"/>
        </w:trPr>
        <w:tc>
          <w:tcPr>
            <w:tcW w:w="28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Medicare and Medicaid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20" w:type="dxa"/>
            <w:vAlign w:val="bottom"/>
            <w:tcBorders>
              <w:right w:val="single" w:sz="8" w:color="auto"/>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Third party</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2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20" w:type="dxa"/>
            <w:vAlign w:val="bottom"/>
            <w:tcBorders>
              <w:right w:val="single" w:sz="8" w:color="auto"/>
            </w:tcBorders>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2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0" w:type="dxa"/>
            <w:vAlign w:val="bottom"/>
          </w:tcPr>
          <w:p>
            <w:pPr>
              <w:spacing w:after="0"/>
              <w:rPr>
                <w:sz w:val="1"/>
                <w:szCs w:val="1"/>
                <w:color w:val="auto"/>
              </w:rPr>
            </w:pPr>
          </w:p>
        </w:tc>
      </w:tr>
      <w:tr>
        <w:trPr>
          <w:trHeight w:val="200"/>
        </w:trPr>
        <w:tc>
          <w:tcPr>
            <w:tcW w:w="286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Total Dx revenues by payer</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BLS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860" w:type="dxa"/>
            <w:vAlign w:val="bottom"/>
            <w:tcBorders>
              <w:right w:val="single" w:sz="8" w:color="auto"/>
            </w:tcBorders>
            <w:shd w:val="clear" w:color="auto" w:fill="CCEEFF"/>
          </w:tcPr>
          <w:p>
            <w:pPr>
              <w:ind w:left="140"/>
              <w:spacing w:after="0" w:line="140" w:lineRule="exact"/>
              <w:rPr>
                <w:sz w:val="20"/>
                <w:szCs w:val="20"/>
                <w:color w:val="auto"/>
              </w:rPr>
            </w:pPr>
            <w:r>
              <w:rPr>
                <w:rFonts w:ascii="Times New Roman" w:cs="Times New Roman" w:eastAsia="Times New Roman" w:hAnsi="Times New Roman"/>
                <w:sz w:val="14"/>
                <w:szCs w:val="14"/>
                <w:color w:val="auto"/>
              </w:rPr>
              <w:t>Pharmaceutical, biotechnology and medical</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20" w:type="dxa"/>
            <w:vAlign w:val="bottom"/>
            <w:tcBorders>
              <w:right w:val="single" w:sz="8" w:color="auto"/>
            </w:tcBorders>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200"/>
        </w:trPr>
        <w:tc>
          <w:tcPr>
            <w:tcW w:w="28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device companies</w:t>
            </w: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Borders>
              <w:right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right="1400" w:firstLine="240"/>
        <w:spacing w:after="0" w:line="338" w:lineRule="auto"/>
        <w:rPr>
          <w:sz w:val="20"/>
          <w:szCs w:val="20"/>
          <w:color w:val="auto"/>
        </w:rPr>
      </w:pPr>
      <w:r>
        <w:rPr>
          <w:rFonts w:ascii="Times New Roman" w:cs="Times New Roman" w:eastAsia="Times New Roman" w:hAnsi="Times New Roman"/>
          <w:sz w:val="18"/>
          <w:szCs w:val="18"/>
          <w:color w:val="auto"/>
        </w:rPr>
        <w:t xml:space="preserve">Revenues in the U.S. were $2,654.6 (83.6%) and $2,557.4 (84.2%) for the three months ended March 31, 2024, and 2023, respectively. </w:t>
      </w:r>
      <w:r>
        <w:rPr>
          <w:rFonts w:ascii="Times New Roman" w:cs="Times New Roman" w:eastAsia="Times New Roman" w:hAnsi="Times New Roman"/>
          <w:sz w:val="18"/>
          <w:szCs w:val="18"/>
          <w:b w:val="1"/>
          <w:bCs w:val="1"/>
          <w:i w:val="1"/>
          <w:iCs w:val="1"/>
          <w:color w:val="auto"/>
        </w:rPr>
        <w:t>Accounts Receivable, Unbilled Services and Unearned Revenue</w:t>
      </w:r>
    </w:p>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unbilled services, and unearned revenue from contracts with customers: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Pr>
          <w:p>
            <w:pPr>
              <w:spacing w:after="0"/>
              <w:rPr>
                <w:sz w:val="20"/>
                <w:szCs w:val="20"/>
                <w:color w:val="auto"/>
              </w:rPr>
            </w:pPr>
          </w:p>
        </w:tc>
        <w:tc>
          <w:tcPr>
            <w:tcW w:w="178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0"/>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accounts receivable</w:t>
            </w: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1,135.2</w:t>
            </w:r>
          </w:p>
        </w:tc>
      </w:tr>
      <w:tr>
        <w:trPr>
          <w:trHeight w:val="227"/>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BLS accounts receivable</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w:t>
            </w:r>
          </w:p>
        </w:tc>
      </w:tr>
      <w:tr>
        <w:trPr>
          <w:trHeight w:val="227"/>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BLS allowance for doubtful accounts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1,913.3</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0"/>
        </w:trPr>
        <w:tc>
          <w:tcPr>
            <w:tcW w:w="7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27"/>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unbilled services</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r>
      <w:tr>
        <w:trPr>
          <w:trHeight w:val="227"/>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reserve for unbilled services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services</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0"/>
        </w:trPr>
        <w:tc>
          <w:tcPr>
            <w:tcW w:w="71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spacing w:after="0"/>
              <w:rPr>
                <w:sz w:val="15"/>
                <w:szCs w:val="15"/>
                <w:color w:val="auto"/>
              </w:rPr>
            </w:pPr>
          </w:p>
        </w:tc>
      </w:tr>
      <w:tr>
        <w:trPr>
          <w:trHeight w:val="22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421.7</w:t>
            </w:r>
          </w:p>
        </w:tc>
      </w:tr>
      <w:tr>
        <w:trPr>
          <w:trHeight w:val="20"/>
        </w:trPr>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jc w:val="both"/>
        <w:ind w:right="40" w:firstLine="240"/>
        <w:spacing w:after="0" w:line="276" w:lineRule="auto"/>
        <w:rPr>
          <w:sz w:val="20"/>
          <w:szCs w:val="20"/>
          <w:color w:val="auto"/>
        </w:rPr>
      </w:pPr>
      <w:r>
        <w:rPr>
          <w:rFonts w:ascii="Times New Roman" w:cs="Times New Roman" w:eastAsia="Times New Roman" w:hAnsi="Times New Roman"/>
          <w:sz w:val="18"/>
          <w:szCs w:val="18"/>
          <w:color w:val="auto"/>
        </w:rPr>
        <w:t>Revenues recognized during the period that were included in the unearned revenue balance at the beginning of the period were $51.0 and $52.6 for the three months ended March 31, 2024 and 2023,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Loss Rollforward</w:t>
      </w:r>
    </w:p>
    <w:p>
      <w:pPr>
        <w:spacing w:after="0" w:line="64" w:lineRule="exact"/>
        <w:rPr>
          <w:sz w:val="20"/>
          <w:szCs w:val="20"/>
          <w:color w:val="auto"/>
        </w:rPr>
      </w:pPr>
    </w:p>
    <w:p>
      <w:pPr>
        <w:jc w:val="both"/>
        <w:ind w:right="20" w:firstLine="240"/>
        <w:spacing w:after="0" w:line="276" w:lineRule="auto"/>
        <w:rPr>
          <w:sz w:val="20"/>
          <w:szCs w:val="20"/>
          <w:color w:val="auto"/>
        </w:rPr>
      </w:pPr>
      <w:r>
        <w:rPr>
          <w:rFonts w:ascii="Times New Roman" w:cs="Times New Roman" w:eastAsia="Times New Roman" w:hAnsi="Times New Roman"/>
          <w:sz w:val="18"/>
          <w:szCs w:val="18"/>
          <w:color w:val="auto"/>
        </w:rPr>
        <w:t>The Company estimates future expected losses on accounts receivable, unbilled services and notes receivable over the remaining collection period of the instrument. The rollforward for the allowance for credit losses for the three months ended March 31, 2024, was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Accounts</w:t>
            </w:r>
          </w:p>
        </w:tc>
        <w:tc>
          <w:tcPr>
            <w:tcW w:w="12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Unbilled</w:t>
            </w:r>
          </w:p>
        </w:tc>
        <w:tc>
          <w:tcPr>
            <w:tcW w:w="16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Note and Other</w:t>
            </w:r>
          </w:p>
        </w:tc>
        <w:tc>
          <w:tcPr>
            <w:tcW w:w="240" w:type="dxa"/>
            <w:vAlign w:val="bottom"/>
          </w:tcPr>
          <w:p>
            <w:pPr>
              <w:spacing w:after="0"/>
              <w:rPr>
                <w:sz w:val="18"/>
                <w:szCs w:val="18"/>
                <w:color w:val="auto"/>
              </w:rPr>
            </w:pPr>
          </w:p>
        </w:tc>
        <w:tc>
          <w:tcPr>
            <w:tcW w:w="940" w:type="dxa"/>
            <w:vAlign w:val="bottom"/>
            <w:vMerge w:val="restart"/>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0"/>
        </w:trPr>
        <w:tc>
          <w:tcPr>
            <w:tcW w:w="6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Receivable</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6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Receivables</w:t>
            </w:r>
          </w:p>
        </w:tc>
        <w:tc>
          <w:tcPr>
            <w:tcW w:w="2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27"/>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credit loss expense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write offs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credit loss expense in the first three months primarily related to the collection risk from several biotech receivable balances in the first quarter.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BUSINESS ACQUISITIONS AND DISPOSITIONS</w:t>
      </w:r>
    </w:p>
    <w:p>
      <w:pPr>
        <w:spacing w:after="0" w:line="14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During the three months ended March 31, 2024, the Company acquired several businesses and related assets for cash of approximately $259.2. These acquisitions consisted of the clinical and outreach businesses of Baystate Medical Center ($116.6), Providence Medical Foundation ($54.9), and Westpac Labs, Inc. ($87.7). The preliminary purchase considerations for these acquisitions were allocated under the acquisition method of accounting to the estimated fair market value of the net assets acquired, including approximately $159.4 in identifiable intangible assets. A residual amount of tax deductible goodwill of approximately $141.7 was recorded as of March 31, 2024. The amortization period for non-compete agreements and customer list assets acquired from these businesses are 5 and 15 years, respectively. The purchase price allocations for these acquisitions have not been finalized as of March 31, 2024. The preliminary valuation of acquired assets and assumed liabilities, include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restart"/>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Providence</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vMerge w:val="restart"/>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w w:val="99"/>
              </w:rPr>
              <w:t>Amounts Acquired</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Measurement Period Adjustments</w:t>
            </w:r>
          </w:p>
        </w:tc>
        <w:tc>
          <w:tcPr>
            <w:tcW w:w="0" w:type="dxa"/>
            <w:vAlign w:val="bottom"/>
          </w:tcPr>
          <w:p>
            <w:pPr>
              <w:spacing w:after="0"/>
              <w:rPr>
                <w:sz w:val="1"/>
                <w:szCs w:val="1"/>
                <w:color w:val="auto"/>
              </w:rPr>
            </w:pPr>
          </w:p>
        </w:tc>
      </w:tr>
      <w:tr>
        <w:trPr>
          <w:trHeight w:val="160"/>
        </w:trPr>
        <w:tc>
          <w:tcPr>
            <w:tcW w:w="3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restart"/>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Baystate</w:t>
            </w:r>
          </w:p>
        </w:tc>
        <w:tc>
          <w:tcPr>
            <w:tcW w:w="1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Westpac Labs,</w:t>
            </w:r>
          </w:p>
        </w:tc>
        <w:tc>
          <w:tcPr>
            <w:tcW w:w="14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24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for Prior Year Acquisitions During</w:t>
            </w:r>
          </w:p>
        </w:tc>
        <w:tc>
          <w:tcPr>
            <w:tcW w:w="0" w:type="dxa"/>
            <w:vAlign w:val="bottom"/>
          </w:tcPr>
          <w:p>
            <w:pPr>
              <w:spacing w:after="0"/>
              <w:rPr>
                <w:sz w:val="1"/>
                <w:szCs w:val="1"/>
                <w:color w:val="auto"/>
              </w:rPr>
            </w:pPr>
          </w:p>
        </w:tc>
      </w:tr>
      <w:tr>
        <w:trPr>
          <w:trHeight w:val="160"/>
        </w:trPr>
        <w:tc>
          <w:tcPr>
            <w:tcW w:w="3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33"/>
              <w:spacing w:after="0" w:line="160" w:lineRule="exact"/>
              <w:rPr>
                <w:sz w:val="20"/>
                <w:szCs w:val="20"/>
                <w:color w:val="auto"/>
              </w:rPr>
            </w:pPr>
            <w:r>
              <w:rPr>
                <w:rFonts w:ascii="Times New Roman" w:cs="Times New Roman" w:eastAsia="Times New Roman" w:hAnsi="Times New Roman"/>
                <w:sz w:val="16"/>
                <w:szCs w:val="16"/>
                <w:b w:val="1"/>
                <w:bCs w:val="1"/>
                <w:color w:val="auto"/>
              </w:rPr>
              <w:t>Medical</w:t>
            </w:r>
          </w:p>
        </w:tc>
        <w:tc>
          <w:tcPr>
            <w:tcW w:w="1120" w:type="dxa"/>
            <w:vAlign w:val="bottom"/>
            <w:gridSpan w:val="2"/>
            <w:vMerge w:val="continue"/>
          </w:tcPr>
          <w:p>
            <w:pPr>
              <w:spacing w:after="0"/>
              <w:rPr>
                <w:sz w:val="13"/>
                <w:szCs w:val="13"/>
                <w:color w:val="auto"/>
              </w:rPr>
            </w:pPr>
          </w:p>
        </w:tc>
        <w:tc>
          <w:tcPr>
            <w:tcW w:w="18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During the Three Months</w:t>
            </w:r>
          </w:p>
        </w:tc>
        <w:tc>
          <w:tcPr>
            <w:tcW w:w="140" w:type="dxa"/>
            <w:vAlign w:val="bottom"/>
          </w:tcPr>
          <w:p>
            <w:pPr>
              <w:spacing w:after="0"/>
              <w:rPr>
                <w:sz w:val="13"/>
                <w:szCs w:val="13"/>
                <w:color w:val="auto"/>
              </w:rPr>
            </w:pPr>
          </w:p>
        </w:tc>
        <w:tc>
          <w:tcPr>
            <w:tcW w:w="2320" w:type="dxa"/>
            <w:vAlign w:val="bottom"/>
          </w:tcPr>
          <w:p>
            <w:pPr>
              <w:jc w:val="center"/>
              <w:ind w:right="32"/>
              <w:spacing w:after="0" w:line="160" w:lineRule="exact"/>
              <w:rPr>
                <w:sz w:val="20"/>
                <w:szCs w:val="20"/>
                <w:color w:val="auto"/>
              </w:rPr>
            </w:pPr>
            <w:r>
              <w:rPr>
                <w:rFonts w:ascii="Times New Roman" w:cs="Times New Roman" w:eastAsia="Times New Roman" w:hAnsi="Times New Roman"/>
                <w:sz w:val="16"/>
                <w:szCs w:val="16"/>
                <w:b w:val="1"/>
                <w:bCs w:val="1"/>
                <w:color w:val="auto"/>
                <w:w w:val="99"/>
              </w:rPr>
              <w:t>the Three Months Ended March</w:t>
            </w:r>
          </w:p>
        </w:tc>
        <w:tc>
          <w:tcPr>
            <w:tcW w:w="0" w:type="dxa"/>
            <w:vAlign w:val="bottom"/>
          </w:tcPr>
          <w:p>
            <w:pPr>
              <w:spacing w:after="0"/>
              <w:rPr>
                <w:sz w:val="1"/>
                <w:szCs w:val="1"/>
                <w:color w:val="auto"/>
              </w:rPr>
            </w:pPr>
          </w:p>
        </w:tc>
      </w:tr>
      <w:tr>
        <w:trPr>
          <w:trHeight w:val="220"/>
        </w:trPr>
        <w:tc>
          <w:tcPr>
            <w:tcW w:w="33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Medical Center</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Foundation</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Inc.</w:t>
            </w: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w w:val="99"/>
              </w:rPr>
              <w:t>Ended March 31, 2024</w:t>
            </w:r>
          </w:p>
        </w:tc>
        <w:tc>
          <w:tcPr>
            <w:tcW w:w="1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9"/>
              </w:rPr>
              <w:t>31, 2024</w:t>
            </w:r>
          </w:p>
        </w:tc>
        <w:tc>
          <w:tcPr>
            <w:tcW w:w="0" w:type="dxa"/>
            <w:vAlign w:val="bottom"/>
          </w:tcPr>
          <w:p>
            <w:pPr>
              <w:spacing w:after="0"/>
              <w:rPr>
                <w:sz w:val="1"/>
                <w:szCs w:val="1"/>
                <w:color w:val="auto"/>
              </w:rPr>
            </w:pPr>
          </w:p>
        </w:tc>
      </w:tr>
      <w:tr>
        <w:trPr>
          <w:trHeight w:val="22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4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4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7"/>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acquired</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escrow payment made in 2023</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firstLine="240"/>
        <w:spacing w:after="0" w:line="276" w:lineRule="auto"/>
        <w:rPr>
          <w:sz w:val="20"/>
          <w:szCs w:val="20"/>
          <w:color w:val="auto"/>
        </w:rPr>
      </w:pPr>
      <w:r>
        <w:rPr>
          <w:rFonts w:ascii="Times New Roman" w:cs="Times New Roman" w:eastAsia="Times New Roman" w:hAnsi="Times New Roman"/>
          <w:sz w:val="18"/>
          <w:szCs w:val="18"/>
          <w:color w:val="auto"/>
        </w:rPr>
        <w:t>During the three months ended March 31, 2023, the Company recorded several measurement period adjustments for 2022 acquisitions, relating to final valuations and deferred tax true-ups. The adjustments include the following: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6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Measurement Period Adjustments During Three</w:t>
            </w:r>
          </w:p>
        </w:tc>
      </w:tr>
      <w:tr>
        <w:trPr>
          <w:trHeight w:val="220"/>
        </w:trPr>
        <w:tc>
          <w:tcPr>
            <w:tcW w:w="75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Months Ended March 31, 2023</w:t>
            </w:r>
          </w:p>
        </w:tc>
      </w:tr>
      <w:tr>
        <w:trPr>
          <w:trHeight w:val="22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9"/>
                <w:szCs w:val="19"/>
                <w:color w:val="auto"/>
              </w:rPr>
            </w:pP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2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Borders>
              <w:bottom w:val="single" w:sz="8" w:color="auto"/>
            </w:tcBorders>
            <w:shd w:val="clear" w:color="auto" w:fill="CCEEFF"/>
          </w:tcPr>
          <w:p>
            <w:pPr>
              <w:spacing w:after="0"/>
              <w:rPr>
                <w:sz w:val="19"/>
                <w:szCs w:val="19"/>
                <w:color w:val="auto"/>
              </w:rPr>
            </w:pPr>
          </w:p>
        </w:tc>
        <w:tc>
          <w:tcPr>
            <w:tcW w:w="3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2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40" w:type="dxa"/>
            <w:vAlign w:val="bottom"/>
            <w:shd w:val="clear" w:color="auto" w:fill="CCEEFF"/>
          </w:tcPr>
          <w:p>
            <w:pPr>
              <w:spacing w:after="0"/>
              <w:rPr>
                <w:sz w:val="19"/>
                <w:szCs w:val="19"/>
                <w:color w:val="auto"/>
              </w:rPr>
            </w:pP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7"/>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acquired</w:t>
            </w:r>
          </w:p>
        </w:tc>
        <w:tc>
          <w:tcPr>
            <w:tcW w:w="140" w:type="dxa"/>
            <w:vAlign w:val="bottom"/>
            <w:tcBorders>
              <w:bottom w:val="single" w:sz="8" w:color="auto"/>
            </w:tcBorders>
            <w:shd w:val="clear" w:color="auto" w:fill="CCEEFF"/>
          </w:tcPr>
          <w:p>
            <w:pPr>
              <w:spacing w:after="0"/>
              <w:rPr>
                <w:sz w:val="19"/>
                <w:szCs w:val="19"/>
                <w:color w:val="auto"/>
              </w:rPr>
            </w:pPr>
          </w:p>
        </w:tc>
        <w:tc>
          <w:tcPr>
            <w:tcW w:w="3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Pro Forma Information</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Had the Company's total 2024 and 2023 acquisitions been completed as of January 1, the Company's pro forma results would have been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Three Months Ended</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Three Months Ended</w:t>
            </w:r>
          </w:p>
        </w:tc>
      </w:tr>
      <w:tr>
        <w:trPr>
          <w:trHeight w:val="232"/>
        </w:trPr>
        <w:tc>
          <w:tcPr>
            <w:tcW w:w="7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March 31,</w:t>
            </w: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color w:val="auto"/>
                <w:w w:val="97"/>
              </w:rPr>
              <w:t>March 31,</w:t>
            </w:r>
          </w:p>
        </w:tc>
      </w:tr>
      <w:tr>
        <w:trPr>
          <w:trHeight w:val="220"/>
        </w:trPr>
        <w:tc>
          <w:tcPr>
            <w:tcW w:w="77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3,191.1</w:t>
            </w:r>
          </w:p>
        </w:tc>
        <w:tc>
          <w:tcPr>
            <w:tcW w:w="3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3,106.0</w:t>
            </w:r>
          </w:p>
        </w:tc>
      </w:tr>
      <w:tr>
        <w:trPr>
          <w:trHeight w:val="232"/>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from continuing operations attributable to Laboratory Corporation of America Holdings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227.5</w:t>
            </w:r>
          </w:p>
        </w:tc>
        <w:tc>
          <w:tcPr>
            <w:tcW w:w="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r>
    </w:tbl>
    <w:p>
      <w:pPr>
        <w:spacing w:after="0" w:line="123"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During the three months ended March 31, 2024, the Company sold the assets of its Beacon Laboratory Benefit Solutions, Inc. for $13.5 and recorded a gain of $4.9.</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6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Basic earnings per share is computed by dividing net earnings attributable to the Company by the weighted average number of shares of the Company's common stock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awards, restricted stock units, and performance share awards.</w:t>
      </w:r>
    </w:p>
    <w:p>
      <w:pPr>
        <w:spacing w:after="0" w:line="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represents a reconciliation of basic earnings per share to diluted earnings per share: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33"/>
        </w:trPr>
        <w:tc>
          <w:tcPr>
            <w:tcW w:w="4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173"/>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56"/>
              <w:spacing w:after="0" w:line="173" w:lineRule="exact"/>
              <w:rPr>
                <w:sz w:val="20"/>
                <w:szCs w:val="20"/>
                <w:color w:val="auto"/>
              </w:rPr>
            </w:pPr>
            <w:r>
              <w:rPr>
                <w:rFonts w:ascii="Times New Roman" w:cs="Times New Roman" w:eastAsia="Times New Roman" w:hAnsi="Times New Roman"/>
                <w:sz w:val="18"/>
                <w:szCs w:val="18"/>
                <w:color w:val="auto"/>
              </w:rPr>
              <w:t>Per Share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76"/>
              <w:spacing w:after="0" w:line="173" w:lineRule="exact"/>
              <w:rPr>
                <w:sz w:val="20"/>
                <w:szCs w:val="20"/>
                <w:color w:val="auto"/>
              </w:rPr>
            </w:pPr>
            <w:r>
              <w:rPr>
                <w:rFonts w:ascii="Times New Roman" w:cs="Times New Roman" w:eastAsia="Times New Roman" w:hAnsi="Times New Roman"/>
                <w:sz w:val="18"/>
                <w:szCs w:val="18"/>
                <w:color w:val="auto"/>
              </w:rPr>
              <w:t>Per Share</w:t>
            </w:r>
          </w:p>
        </w:tc>
      </w:tr>
      <w:tr>
        <w:trPr>
          <w:trHeight w:val="247"/>
        </w:trPr>
        <w:tc>
          <w:tcPr>
            <w:tcW w:w="4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9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Amount</w:t>
            </w:r>
          </w:p>
        </w:tc>
        <w:tc>
          <w:tcPr>
            <w:tcW w:w="120" w:type="dxa"/>
            <w:vAlign w:val="bottom"/>
          </w:tcPr>
          <w:p>
            <w:pPr>
              <w:spacing w:after="0"/>
              <w:rPr>
                <w:sz w:val="21"/>
                <w:szCs w:val="21"/>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9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Amount</w:t>
            </w:r>
          </w:p>
        </w:tc>
      </w:tr>
      <w:tr>
        <w:trPr>
          <w:trHeight w:val="21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27"/>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r>
      <w:tr>
        <w:trPr>
          <w:trHeight w:val="227"/>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employee stock options and awards</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including impact of dilutive adjustments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228.0</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0"/>
        </w:trPr>
        <w:tc>
          <w:tcPr>
            <w:tcW w:w="4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15"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Diluted earnings per share represent the potential dilution that could occur if securities or other contracts to issue common stock were exercised or converted into common stock. These potential shares include dilutive stock options and unissued restricted stock awards. The following table summarizes the potential common shares not included in the computation of diluted earnings per share because their impact would have been antidilutive:</w:t>
      </w:r>
    </w:p>
    <w:p>
      <w:pPr>
        <w:spacing w:after="0" w:line="138"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Three Months Ended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34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68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top w:val="single" w:sz="8" w:color="auto"/>
              <w:bottom w:val="single" w:sz="8" w:color="auto"/>
            </w:tcBorders>
          </w:tcPr>
          <w:p>
            <w:pPr>
              <w:spacing w:after="0"/>
              <w:rPr>
                <w:sz w:val="20"/>
                <w:szCs w:val="20"/>
                <w:color w:val="auto"/>
              </w:rPr>
            </w:pPr>
          </w:p>
        </w:tc>
      </w:tr>
      <w:tr>
        <w:trPr>
          <w:trHeight w:val="22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options and awards</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shd w:val="clear" w:color="auto" w:fill="CCEEFF"/>
          </w:tcPr>
          <w:p>
            <w:pPr>
              <w:spacing w:after="0"/>
              <w:rPr>
                <w:sz w:val="19"/>
                <w:szCs w:val="19"/>
                <w:color w:val="auto"/>
              </w:rPr>
            </w:pPr>
          </w:p>
        </w:tc>
      </w:tr>
      <w:tr>
        <w:trPr>
          <w:trHeight w:val="427"/>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0"/>
        </w:trPr>
        <w:tc>
          <w:tcPr>
            <w:tcW w:w="80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w w:val="98"/>
              </w:rPr>
              <w:t>The changes in the carrying amount of goodwill for the three months ended March 31, 2024, were as follows:</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6"/>
        </w:trPr>
        <w:tc>
          <w:tcPr>
            <w:tcW w:w="5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Dx</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611"/>
              <w:spacing w:after="0"/>
              <w:rPr>
                <w:sz w:val="20"/>
                <w:szCs w:val="20"/>
                <w:color w:val="auto"/>
              </w:rPr>
            </w:pPr>
            <w:r>
              <w:rPr>
                <w:rFonts w:ascii="Times New Roman" w:cs="Times New Roman" w:eastAsia="Times New Roman" w:hAnsi="Times New Roman"/>
                <w:sz w:val="18"/>
                <w:szCs w:val="18"/>
                <w:color w:val="auto"/>
              </w:rPr>
              <w:t>BLS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Total</w:t>
            </w:r>
          </w:p>
        </w:tc>
      </w:tr>
      <w:tr>
        <w:trPr>
          <w:trHeight w:val="227"/>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46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4,813.9</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6,142.5</w:t>
            </w:r>
          </w:p>
        </w:tc>
        <w:tc>
          <w:tcPr>
            <w:tcW w:w="20" w:type="dxa"/>
            <w:vAlign w:val="bottom"/>
          </w:tcPr>
          <w:p>
            <w:pPr>
              <w:spacing w:after="0"/>
              <w:rPr>
                <w:sz w:val="19"/>
                <w:szCs w:val="19"/>
                <w:color w:val="auto"/>
              </w:rPr>
            </w:pPr>
          </w:p>
        </w:tc>
      </w:tr>
      <w:tr>
        <w:trPr>
          <w:trHeight w:val="22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 during the period</w:t>
            </w: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0" w:type="dxa"/>
            <w:vAlign w:val="bottom"/>
          </w:tcPr>
          <w:p>
            <w:pPr>
              <w:spacing w:after="0"/>
              <w:rPr>
                <w:sz w:val="19"/>
                <w:szCs w:val="19"/>
                <w:color w:val="auto"/>
              </w:rPr>
            </w:pPr>
          </w:p>
        </w:tc>
      </w:tr>
      <w:tr>
        <w:trPr>
          <w:trHeight w:val="247"/>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impact and other adjustments to goodwill</w:t>
            </w:r>
          </w:p>
        </w:tc>
        <w:tc>
          <w:tcPr>
            <w:tcW w:w="4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0" w:type="dxa"/>
            <w:vAlign w:val="bottom"/>
          </w:tcPr>
          <w:p>
            <w:pPr>
              <w:spacing w:after="0"/>
              <w:rPr>
                <w:sz w:val="21"/>
                <w:szCs w:val="21"/>
                <w:color w:val="auto"/>
              </w:rPr>
            </w:pPr>
          </w:p>
        </w:tc>
      </w:tr>
      <w:tr>
        <w:trPr>
          <w:trHeight w:val="21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4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4,946.2</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1,272.7</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6,218.9</w:t>
            </w:r>
          </w:p>
        </w:tc>
        <w:tc>
          <w:tcPr>
            <w:tcW w:w="20" w:type="dxa"/>
            <w:vAlign w:val="bottom"/>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8"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The Company assesses goodwill and indefinite-lived intangibles for impairment at least annually or whenever events or changes in circumstances indicate that the carrying amount of such assets may not be recoverable. The Company recognizes an impairment charge for the amount by which the reporting unit's carrying amount exceeds its fair value.</w:t>
      </w:r>
    </w:p>
    <w:p>
      <w:pPr>
        <w:spacing w:after="0" w:line="84"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Although the Company believes that the current assumptions and estimates used in its goodwill analysis are reasonable, supportable, and appropriate, the Company's business could be impacted by unfavorable changes, including those that impact the existing assumptions used in the impairment analysis. Various factors could reasonably be expected to unfavorably impact existing assumptions: primarily, a worsening economic environment and protracted economic downturn and related impacts, including delays in revenue from new customers; increases in customer termination activity; or increases in operating costs. Accordingly, there can be no assurance that the estimates and assumptions made for the purposes of the goodwill impairment analysis will prove to be accurate predictions of future performance.</w:t>
      </w:r>
    </w:p>
    <w:p>
      <w:pPr>
        <w:spacing w:after="0" w:line="10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will continue to monitor the financial performance of, and assumptions for, its reporting units. A significant increase in the discount rate, decrease in the revenue and terminal growth rates, decreased operating margin, or substantial reductions in end markets and volume assumptions, could have a negative impact on the estimated fair value of the reporting units. A future impairment charge for goodwill or intangible assets could have a material effect on the Company's consolidated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identifiable intangible assets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March 31, 2024</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December 31, 2023</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173"/>
        </w:trPr>
        <w:tc>
          <w:tcPr>
            <w:tcW w:w="3380" w:type="dxa"/>
            <w:vAlign w:val="bottom"/>
          </w:tcPr>
          <w:p>
            <w:pPr>
              <w:spacing w:after="0"/>
              <w:rPr>
                <w:sz w:val="15"/>
                <w:szCs w:val="15"/>
                <w:color w:val="auto"/>
              </w:rPr>
            </w:pPr>
          </w:p>
        </w:tc>
        <w:tc>
          <w:tcPr>
            <w:tcW w:w="1260" w:type="dxa"/>
            <w:vAlign w:val="bottom"/>
            <w:gridSpan w:val="3"/>
          </w:tcPr>
          <w:p>
            <w:pPr>
              <w:ind w:left="40"/>
              <w:spacing w:after="0" w:line="173" w:lineRule="exact"/>
              <w:rPr>
                <w:sz w:val="20"/>
                <w:szCs w:val="20"/>
                <w:color w:val="auto"/>
              </w:rPr>
            </w:pPr>
            <w:r>
              <w:rPr>
                <w:rFonts w:ascii="Times New Roman" w:cs="Times New Roman" w:eastAsia="Times New Roman" w:hAnsi="Times New Roman"/>
                <w:sz w:val="18"/>
                <w:szCs w:val="18"/>
                <w:color w:val="auto"/>
              </w:rPr>
              <w:t>Gross Carrying</w:t>
            </w:r>
          </w:p>
        </w:tc>
        <w:tc>
          <w:tcPr>
            <w:tcW w:w="120" w:type="dxa"/>
            <w:vAlign w:val="bottom"/>
          </w:tcPr>
          <w:p>
            <w:pPr>
              <w:spacing w:after="0"/>
              <w:rPr>
                <w:sz w:val="15"/>
                <w:szCs w:val="15"/>
                <w:color w:val="auto"/>
              </w:rPr>
            </w:pPr>
          </w:p>
        </w:tc>
        <w:tc>
          <w:tcPr>
            <w:tcW w:w="140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8"/>
                <w:szCs w:val="18"/>
                <w:color w:val="auto"/>
                <w:w w:val="99"/>
              </w:rPr>
              <w:t>Accumulated</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ind w:left="40"/>
              <w:spacing w:after="0" w:line="173" w:lineRule="exact"/>
              <w:rPr>
                <w:sz w:val="20"/>
                <w:szCs w:val="20"/>
                <w:color w:val="auto"/>
              </w:rPr>
            </w:pPr>
            <w:r>
              <w:rPr>
                <w:rFonts w:ascii="Times New Roman" w:cs="Times New Roman" w:eastAsia="Times New Roman" w:hAnsi="Times New Roman"/>
                <w:sz w:val="18"/>
                <w:szCs w:val="18"/>
                <w:color w:val="auto"/>
                <w:w w:val="99"/>
              </w:rPr>
              <w:t>Gross Carrying</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ind w:left="60"/>
              <w:spacing w:after="0" w:line="173" w:lineRule="exact"/>
              <w:rPr>
                <w:sz w:val="20"/>
                <w:szCs w:val="20"/>
                <w:color w:val="auto"/>
              </w:rPr>
            </w:pPr>
            <w:r>
              <w:rPr>
                <w:rFonts w:ascii="Times New Roman" w:cs="Times New Roman" w:eastAsia="Times New Roman" w:hAnsi="Times New Roman"/>
                <w:sz w:val="18"/>
                <w:szCs w:val="18"/>
                <w:color w:val="auto"/>
              </w:rPr>
              <w:t>Accumulated</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7"/>
        </w:trPr>
        <w:tc>
          <w:tcPr>
            <w:tcW w:w="3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1"/>
                <w:szCs w:val="21"/>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Amortization</w:t>
            </w:r>
          </w:p>
        </w:tc>
        <w:tc>
          <w:tcPr>
            <w:tcW w:w="260" w:type="dxa"/>
            <w:vAlign w:val="bottom"/>
          </w:tcPr>
          <w:p>
            <w:pPr>
              <w:spacing w:after="0"/>
              <w:rPr>
                <w:sz w:val="21"/>
                <w:szCs w:val="21"/>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20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21"/>
                <w:szCs w:val="21"/>
                <w:color w:val="auto"/>
              </w:rPr>
            </w:pPr>
          </w:p>
        </w:tc>
        <w:tc>
          <w:tcPr>
            <w:tcW w:w="8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Net</w:t>
            </w:r>
          </w:p>
        </w:tc>
      </w:tr>
      <w:tr>
        <w:trPr>
          <w:trHeight w:val="227"/>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2,501.4</w:t>
            </w:r>
          </w:p>
        </w:tc>
      </w:tr>
      <w:tr>
        <w:trPr>
          <w:trHeight w:val="227"/>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 licenses and technology</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w:t>
            </w:r>
          </w:p>
        </w:tc>
      </w:tr>
      <w:tr>
        <w:trPr>
          <w:trHeight w:val="22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27"/>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use right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7"/>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Canadian licenses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r>
      <w:tr>
        <w:trPr>
          <w:trHeight w:val="22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0"/>
        </w:trPr>
        <w:tc>
          <w:tcPr>
            <w:tcW w:w="3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5,058.4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3,342.0</w:t>
            </w:r>
          </w:p>
        </w:tc>
      </w:tr>
      <w:tr>
        <w:trPr>
          <w:trHeight w:val="20"/>
        </w:trPr>
        <w:tc>
          <w:tcPr>
            <w:tcW w:w="3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Amortization of intangible assets for the three months ended March 31, 2024, and 2023, was $60.1 and $53.4, respectively. The amortization expense for the net carrying amount of intangible assets is estimated to be $183.3 for the remainder of fiscal 2024, $237.3 in fiscal 2025, $228.4 in fiscal 2026, $217.1 in fiscal 2027, $209.0 in fiscal 2028, and $1,737.4 thereafter.</w:t>
      </w:r>
    </w:p>
    <w:p>
      <w:pPr>
        <w:spacing w:after="0" w:line="8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Short-term borrowings and the current portion of long-term debt at March 31, 2024, and December 31, 2023, consisted of the following:</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31, 2024</w:t>
            </w:r>
          </w:p>
        </w:tc>
        <w:tc>
          <w:tcPr>
            <w:tcW w:w="220" w:type="dxa"/>
            <w:vAlign w:val="bottom"/>
          </w:tcPr>
          <w:p>
            <w:pPr>
              <w:spacing w:after="0"/>
              <w:rPr>
                <w:sz w:val="20"/>
                <w:szCs w:val="20"/>
                <w:color w:val="auto"/>
              </w:rPr>
            </w:pPr>
          </w:p>
        </w:tc>
        <w:tc>
          <w:tcPr>
            <w:tcW w:w="18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27"/>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line of credit</w:t>
            </w: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2.30% senior notes due 2024</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3.25% senior notes due 2024</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3.60% senior notes due 2025</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portion of note payable</w:t>
            </w: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borrowings and current portion of long-term debt</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Long-term debt at March 31, 2024, and December 31, 2023, consisted of the following: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7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7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31, 2024</w:t>
            </w:r>
          </w:p>
        </w:tc>
        <w:tc>
          <w:tcPr>
            <w:tcW w:w="220" w:type="dxa"/>
            <w:vAlign w:val="bottom"/>
          </w:tcPr>
          <w:p>
            <w:pPr>
              <w:spacing w:after="0"/>
              <w:rPr>
                <w:sz w:val="24"/>
                <w:szCs w:val="24"/>
                <w:color w:val="auto"/>
              </w:rPr>
            </w:pPr>
          </w:p>
        </w:tc>
        <w:tc>
          <w:tcPr>
            <w:tcW w:w="18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27"/>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3.60% senior notes due 2025</w:t>
            </w:r>
          </w:p>
        </w:tc>
        <w:tc>
          <w:tcPr>
            <w:tcW w:w="28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1.55% senior notes due 2026</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3.60% senior notes due 2027</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2.95% senior notes due 2029</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2.70% senior notes due 2031</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4.70% senior notes due 2045</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3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Note payable</w:t>
            </w: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5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4,054.7</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62"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Company maintains a senior revolving credit facility, which was amended and restated on January 13, 2023. It consists of a five-year facility in the principal amount of up to $1,000.0, with the option of increasing the facility by up to an additional $500.0, subject to the agreement of one or more new or existing lenders to provide such additional amounts and certain other customary conditions. The revolving credit facility also provides for a subfacility of up to $100.0 for swing line borrowings and a subfacility of up to $150.0 for issuances of letters of credit. The Company is required to pay a facility fee on the aggregate commitments under the revolving credit facility, at a per annum rate ranging from 0.10% to 0.225%, depending on the Company's debt ratings. The revolving credit facility is permitted to be used for general corporate purposes, including working capital, capital expenditures, funding of share repurchases and certain other payments, acquisitions, and other investments. The revolving credit facility also provides for the issuance of letters of credit without a reduction of the availability of borrowings under the facility. There was $42.4 outstanding on the Company's current revolving credit facility and $90.7 in outstanding letters of credit on the Company's subfacility as of March 31, 2024. As of March 31, 2024, the effective interest rate on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credit facility was 6.42%. The credit facility expires on April 30, 2026.</w:t>
      </w:r>
    </w:p>
    <w:p>
      <w:pPr>
        <w:spacing w:after="0" w:line="126"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Under the revolving credit facility, the Company is subject to negative covenants limiting subsidiary indebtedness and certain other covenants typical for investment grade-rated borrowers, and the Company is required to maintain certain leverage ratios. The Company was in compliance with all covenants in the revolving credit facility at March 31, 2024, and expects that it will remain in compliance with its existing debt covenants for the next twelve months.</w:t>
      </w:r>
    </w:p>
    <w:p>
      <w:pPr>
        <w:spacing w:after="0" w:line="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PREFERRED STOCK AND COMMON SHAREHOLDERS’ EQUITY</w:t>
      </w:r>
    </w:p>
    <w:p>
      <w:pPr>
        <w:spacing w:after="0" w:line="128"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The Company is authorized to issue up to 265.0 shares of common stock, par value $0.10 per share. The Company is authorized to issue up to 30.0 shares of preferred stock, par value $0.10 per share. There were no preferred shares outstanding as of March 31, 2024, and December 31, 2023.</w:t>
      </w:r>
    </w:p>
    <w:p>
      <w:pPr>
        <w:sectPr>
          <w:pgSz w:w="11900" w:h="16838" w:orient="portrait"/>
          <w:cols w:equalWidth="0" w:num="1">
            <w:col w:w="11240"/>
          </w:cols>
          <w:pgMar w:left="320" w:top="121" w:right="339" w:bottom="1440" w:gutter="0" w:footer="0" w:header="0"/>
        </w:sectPr>
      </w:pPr>
    </w:p>
    <w:p>
      <w:pPr>
        <w:spacing w:after="0" w:line="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The changes in common shares issued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183515</wp:posOffset>
            </wp:positionV>
            <wp:extent cx="7134225" cy="160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60655"/>
                    </a:xfrm>
                    <a:prstGeom prst="rect">
                      <a:avLst/>
                    </a:prstGeom>
                    <a:noFill/>
                  </pic:spPr>
                </pic:pic>
              </a:graphicData>
            </a:graphic>
          </wp:anchor>
        </w:drawing>
      </w: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shares at December 31, 2023</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issued under employee stock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69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shares at March 31, 2024</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and Outstanding</w:t>
      </w:r>
    </w:p>
    <w:p>
      <w:pPr>
        <w:spacing w:after="0" w:line="4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83.9</w:t>
      </w:r>
    </w:p>
    <w:p>
      <w:pPr>
        <w:spacing w:after="0" w:line="2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0.4</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41275</wp:posOffset>
            </wp:positionV>
            <wp:extent cx="16922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92275" cy="8255"/>
                    </a:xfrm>
                    <a:prstGeom prst="rect">
                      <a:avLst/>
                    </a:prstGeom>
                    <a:noFill/>
                  </pic:spPr>
                </pic:pic>
              </a:graphicData>
            </a:graphic>
          </wp:anchor>
        </w:drawing>
      </w:r>
    </w:p>
    <w:p>
      <w:pPr>
        <w:spacing w:after="0" w:line="593" w:lineRule="exact"/>
        <w:rPr>
          <w:sz w:val="20"/>
          <w:szCs w:val="20"/>
          <w:color w:val="auto"/>
        </w:rPr>
      </w:pPr>
    </w:p>
    <w:p>
      <w:pPr>
        <w:sectPr>
          <w:pgSz w:w="11900" w:h="16838" w:orient="portrait"/>
          <w:cols w:equalWidth="0" w:num="2">
            <w:col w:w="8360" w:space="720"/>
            <w:col w:w="2160"/>
          </w:cols>
          <w:pgMar w:left="320" w:top="121" w:right="339" w:bottom="1440" w:gutter="0" w:footer="0" w:header="0"/>
          <w:type w:val="continuous"/>
        </w:sect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When the Company repurchases shares of Common Stock, the amount paid to repurchase the shares in excess of the par or stated value is allocated to additional paid-in-capital unless subject to limitation or the balance in additional paid-in-capital is exhausted. Remaining amounts are recognized as a reduction in retained earnings.</w:t>
      </w:r>
    </w:p>
    <w:p>
      <w:pPr>
        <w:spacing w:after="0" w:line="98" w:lineRule="exact"/>
        <w:rPr>
          <w:sz w:val="20"/>
          <w:szCs w:val="20"/>
          <w:color w:val="auto"/>
        </w:rPr>
      </w:pPr>
    </w:p>
    <w:p>
      <w:pPr>
        <w:ind w:right="60" w:firstLine="240"/>
        <w:spacing w:after="0" w:line="378" w:lineRule="auto"/>
        <w:rPr>
          <w:sz w:val="20"/>
          <w:szCs w:val="20"/>
          <w:color w:val="auto"/>
        </w:rPr>
      </w:pPr>
      <w:r>
        <w:rPr>
          <w:rFonts w:ascii="Times New Roman" w:cs="Times New Roman" w:eastAsia="Times New Roman" w:hAnsi="Times New Roman"/>
          <w:sz w:val="18"/>
          <w:szCs w:val="18"/>
          <w:color w:val="auto"/>
        </w:rPr>
        <w:t xml:space="preserve">As of March 31, 2024, the Company had outstanding authorization from the board of directors to purchase up to $531.5 of the Company's common stock. </w:t>
      </w:r>
      <w:r>
        <w:rPr>
          <w:rFonts w:ascii="Times New Roman" w:cs="Times New Roman" w:eastAsia="Times New Roman" w:hAnsi="Times New Roman"/>
          <w:sz w:val="18"/>
          <w:szCs w:val="18"/>
          <w:b w:val="1"/>
          <w:bCs w:val="1"/>
          <w:color w:val="auto"/>
        </w:rPr>
        <w:t>Dividends</w:t>
      </w:r>
    </w:p>
    <w:p>
      <w:pPr>
        <w:spacing w:after="0" w:line="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For the three months ended March 31, 2024, the Company paid $62.1 in common stock dividends. On April 11, 2024, the Company announced a cash dividend of $0.72 per share of common stock for the first quarter, or approximately $61.4 in the aggregate. The dividend will be payable on June 12, 2024, to stockholders of record of all issued and outstanding shares of common stock as of the close of business on May 28, 2024. The declaration and payment of any future dividends will be at the discretion of the Company's board of directors.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Earnings (Loss)</w:t>
      </w:r>
    </w:p>
    <w:p>
      <w:pPr>
        <w:spacing w:after="0" w:line="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accumulated other comprehensive earnings (loss)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Foreign Currency</w:t>
            </w:r>
          </w:p>
        </w:tc>
        <w:tc>
          <w:tcPr>
            <w:tcW w:w="12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9"/>
              </w:rPr>
              <w:t>Net Benefit Plan</w:t>
            </w:r>
          </w:p>
        </w:tc>
        <w:tc>
          <w:tcPr>
            <w:tcW w:w="180" w:type="dxa"/>
            <w:vAlign w:val="bottom"/>
          </w:tcPr>
          <w:p>
            <w:pPr>
              <w:spacing w:after="0"/>
              <w:rPr>
                <w:sz w:val="16"/>
                <w:szCs w:val="16"/>
                <w:color w:val="auto"/>
              </w:rPr>
            </w:pPr>
          </w:p>
        </w:tc>
        <w:tc>
          <w:tcPr>
            <w:tcW w:w="1540" w:type="dxa"/>
            <w:vAlign w:val="bottom"/>
          </w:tcPr>
          <w:p>
            <w:pPr>
              <w:jc w:val="center"/>
              <w:ind w:right="74"/>
              <w:spacing w:after="0"/>
              <w:rPr>
                <w:sz w:val="20"/>
                <w:szCs w:val="20"/>
                <w:color w:val="auto"/>
              </w:rPr>
            </w:pPr>
            <w:r>
              <w:rPr>
                <w:rFonts w:ascii="Times New Roman" w:cs="Times New Roman" w:eastAsia="Times New Roman" w:hAnsi="Times New Roman"/>
                <w:sz w:val="16"/>
                <w:szCs w:val="16"/>
                <w:color w:val="auto"/>
              </w:rPr>
              <w:t>Accumulated Other</w:t>
            </w:r>
          </w:p>
        </w:tc>
        <w:tc>
          <w:tcPr>
            <w:tcW w:w="0" w:type="dxa"/>
            <w:vAlign w:val="bottom"/>
          </w:tcPr>
          <w:p>
            <w:pPr>
              <w:spacing w:after="0"/>
              <w:rPr>
                <w:sz w:val="1"/>
                <w:szCs w:val="1"/>
                <w:color w:val="auto"/>
              </w:rPr>
            </w:pPr>
          </w:p>
        </w:tc>
      </w:tr>
      <w:tr>
        <w:trPr>
          <w:trHeight w:val="160"/>
        </w:trPr>
        <w:tc>
          <w:tcPr>
            <w:tcW w:w="6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6"/>
                <w:szCs w:val="16"/>
                <w:color w:val="auto"/>
              </w:rPr>
              <w:t>Translation</w:t>
            </w:r>
          </w:p>
        </w:tc>
        <w:tc>
          <w:tcPr>
            <w:tcW w:w="1280" w:type="dxa"/>
            <w:vAlign w:val="bottom"/>
            <w:gridSpan w:val="3"/>
            <w:vMerge w:val="continue"/>
          </w:tcPr>
          <w:p>
            <w:pPr>
              <w:spacing w:after="0"/>
              <w:rPr>
                <w:sz w:val="13"/>
                <w:szCs w:val="13"/>
                <w:color w:val="auto"/>
              </w:rPr>
            </w:pPr>
          </w:p>
        </w:tc>
        <w:tc>
          <w:tcPr>
            <w:tcW w:w="17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Comprehensive Earnings</w:t>
            </w:r>
          </w:p>
        </w:tc>
        <w:tc>
          <w:tcPr>
            <w:tcW w:w="0" w:type="dxa"/>
            <w:vAlign w:val="bottom"/>
          </w:tcPr>
          <w:p>
            <w:pPr>
              <w:spacing w:after="0"/>
              <w:rPr>
                <w:sz w:val="1"/>
                <w:szCs w:val="1"/>
                <w:color w:val="auto"/>
              </w:rPr>
            </w:pPr>
          </w:p>
        </w:tc>
      </w:tr>
      <w:tr>
        <w:trPr>
          <w:trHeight w:val="220"/>
        </w:trPr>
        <w:tc>
          <w:tcPr>
            <w:tcW w:w="6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Adjustments</w:t>
            </w:r>
          </w:p>
        </w:tc>
        <w:tc>
          <w:tcPr>
            <w:tcW w:w="180" w:type="dxa"/>
            <w:vAlign w:val="bottom"/>
          </w:tcPr>
          <w:p>
            <w:pPr>
              <w:spacing w:after="0"/>
              <w:rPr>
                <w:sz w:val="19"/>
                <w:szCs w:val="19"/>
                <w:color w:val="auto"/>
              </w:rPr>
            </w:pPr>
          </w:p>
        </w:tc>
        <w:tc>
          <w:tcPr>
            <w:tcW w:w="1540" w:type="dxa"/>
            <w:vAlign w:val="bottom"/>
          </w:tcPr>
          <w:p>
            <w:pPr>
              <w:jc w:val="center"/>
              <w:ind w:right="94"/>
              <w:spacing w:after="0"/>
              <w:rPr>
                <w:sz w:val="20"/>
                <w:szCs w:val="20"/>
                <w:color w:val="auto"/>
              </w:rPr>
            </w:pPr>
            <w:r>
              <w:rPr>
                <w:rFonts w:ascii="Times New Roman" w:cs="Times New Roman" w:eastAsia="Times New Roman" w:hAnsi="Times New Roman"/>
                <w:sz w:val="16"/>
                <w:szCs w:val="16"/>
                <w:color w:val="auto"/>
                <w:w w:val="97"/>
              </w:rPr>
              <w:t>(Loss)</w:t>
            </w:r>
          </w:p>
        </w:tc>
        <w:tc>
          <w:tcPr>
            <w:tcW w:w="0" w:type="dxa"/>
            <w:vAlign w:val="bottom"/>
          </w:tcPr>
          <w:p>
            <w:pPr>
              <w:spacing w:after="0"/>
              <w:rPr>
                <w:sz w:val="1"/>
                <w:szCs w:val="1"/>
                <w:color w:val="auto"/>
              </w:rPr>
            </w:pPr>
          </w:p>
        </w:tc>
      </w:tr>
      <w:tr>
        <w:trPr>
          <w:trHeight w:val="227"/>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27"/>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year adjustments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2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160" w:type="dxa"/>
            <w:vAlign w:val="bottom"/>
          </w:tcPr>
          <w:p>
            <w:pPr>
              <w:spacing w:after="0"/>
              <w:rPr>
                <w:sz w:val="20"/>
                <w:szCs w:val="20"/>
                <w:color w:val="auto"/>
              </w:rPr>
            </w:pPr>
          </w:p>
        </w:tc>
        <w:tc>
          <w:tcPr>
            <w:tcW w:w="1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52"/>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28" w:lineRule="exact"/>
        <w:rPr>
          <w:sz w:val="20"/>
          <w:szCs w:val="20"/>
          <w:color w:val="auto"/>
        </w:rPr>
      </w:pPr>
    </w:p>
    <w:p>
      <w:pPr>
        <w:jc w:val="both"/>
        <w:ind w:firstLine="280"/>
        <w:spacing w:after="0" w:line="251" w:lineRule="auto"/>
        <w:rPr>
          <w:sz w:val="20"/>
          <w:szCs w:val="20"/>
          <w:color w:val="auto"/>
        </w:rPr>
      </w:pPr>
      <w:r>
        <w:rPr>
          <w:rFonts w:ascii="Times New Roman" w:cs="Times New Roman" w:eastAsia="Times New Roman" w:hAnsi="Times New Roman"/>
          <w:sz w:val="18"/>
          <w:szCs w:val="18"/>
          <w:color w:val="auto"/>
        </w:rPr>
        <w:t>The Company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claims, employee-related matters, transaction-related disputes, securities and corporate law matters, and inquiries, including subpoenas and other civil investigative demands, from governmental agencies, Medicare or Medicaid payers and managed care organizations (MCOs)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parties, including physicians and other health care providers. The Company works cooperatively to respond to appropriate requests for information.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0"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The Company also is named from time to time in suits brought under the qui tam provisions of the False Claims Act and comparable state laws. These suits typically allege that the Company has made false statements and/or certifications in connection with claims for payment from U.S. federal or state healthcare programs. The suits may remain under seal (hence, unknown to the Company) for some time while the government decides whether to intervene on behalf of the qui tam plaintiff. Such claims are an inevitable part of doing business in the healthcare field today.</w:t>
      </w:r>
    </w:p>
    <w:p>
      <w:pPr>
        <w:spacing w:after="0" w:line="100" w:lineRule="exact"/>
        <w:rPr>
          <w:sz w:val="20"/>
          <w:szCs w:val="20"/>
          <w:color w:val="auto"/>
        </w:rPr>
      </w:pPr>
    </w:p>
    <w:p>
      <w:pPr>
        <w:jc w:val="both"/>
        <w:ind w:firstLine="280"/>
        <w:spacing w:after="0" w:line="253" w:lineRule="auto"/>
        <w:rPr>
          <w:sz w:val="20"/>
          <w:szCs w:val="20"/>
          <w:color w:val="auto"/>
        </w:rPr>
      </w:pPr>
      <w:r>
        <w:rPr>
          <w:rFonts w:ascii="Times New Roman" w:cs="Times New Roman" w:eastAsia="Times New Roman" w:hAnsi="Times New Roman"/>
          <w:sz w:val="18"/>
          <w:szCs w:val="18"/>
          <w:color w:val="auto"/>
        </w:rPr>
        <w:t>The Company believes that it is in compliance in all material respects with all statutes, regulations, and other requirements applicable to its commercial laboratory operations and biopharma laboratory services. These industries are,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additional liabilities from third-party claims, and/or exclusion from participation in government programs.</w:t>
      </w:r>
    </w:p>
    <w:p>
      <w:pPr>
        <w:spacing w:after="0" w:line="90"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Many of the current claims and legal actions against the Company are in preliminary stages, and many of these cases seek an indeterminate amount of damages. The Company records an aggregate legal reserve, which is determined using calculations based on historical loss rates and assessment of trends experienced in settlements and defense costs. In accordance with FASB Accounting Standards Codification Topic 450 “Contingencies,” the Company establishes reserves for judicial, regulatory, and arbitration matters outside the aggregate legal reserve if and when those matters present loss contingencies that are both probable and reasonably estimable. When loss contingencies are not both probable and reasonably estimable, the Company does not establish separate reserves.</w:t>
      </w:r>
    </w:p>
    <w:p>
      <w:pPr>
        <w:spacing w:after="0" w:line="90"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Company is unable to estimate a range of reasonably probable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adverse outcomes are probable and reasonably estimable, and it does not believe they will have a material adverse effect on the Company's financial statements.</w:t>
      </w:r>
    </w:p>
    <w:p>
      <w:pPr>
        <w:spacing w:after="0" w:line="10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The Company has received various subpoenas and other civil investigative demands related to Medicaid billing. In October 2013, the Company received a Civil Investigative Demand from the State of Texas Office of the Attorney General requesting documents related to its billing to Texas Medicaid. The Company cooperated with this request. On October 5, 2018, the Company received a second Civil Investigative Demand from the State of Texas Office of the Attorney General requesting documents related to its billing to Texas Medicaid. The Company cooperated with this request. On January 26, 2021, the Company was notified that a qui tam Petition was pending under seal in the District Court, 250th Judicial District, Travis County, Texas, and that the State of Texas had intervened. On April 14, 2021, the Petition was unsealed. The Petition alleges that the Company submitted claims for reimbursement to Texas Medicaid that were higher than permitted under Texas Medicaid’s alleged “best price” regulations, and that the Company offered remuneration to Texas health care providers in the form of discounted pricing for certain laboratory testing services in exchange for the providers’ referral of Texas Medicaid business to the Company. The Petition seeks actual and double damages and civil penalties, as well as recovery of costs, attorney's fees, and legal expenses. On August 1, 2022, the District Court entered an order granting the Company's Motion for Partial Summary Judgment with respect to the claim that the Company submitted claims for reimbursement to Texas Medicaid that were higher than permitted under Texas Medicaid's alleged “best price” regulations. Plaintiffs filed a Notice of Non-Suit and Motion for Entry of Final Judgment and, on November 11, 2022, the court entered a Judgment. Plaintiffs filed a Notice of Appeal with respect to the court's order granting the Company's Motion for Partial Summary Judgment, referenced above. The Company will vigorously defend the lawsuit.</w:t>
      </w:r>
    </w:p>
    <w:p>
      <w:pPr>
        <w:spacing w:after="0" w:line="97"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 xml:space="preserve">On August 31, 2015, the Company was served with a putative class action lawsuit, </w:t>
      </w:r>
      <w:r>
        <w:rPr>
          <w:rFonts w:ascii="Times New Roman" w:cs="Times New Roman" w:eastAsia="Times New Roman" w:hAnsi="Times New Roman"/>
          <w:sz w:val="18"/>
          <w:szCs w:val="18"/>
          <w:i w:val="1"/>
          <w:iCs w:val="1"/>
          <w:color w:val="auto"/>
        </w:rPr>
        <w:t>Patty Davis v. Laboratory Corporation of America, et al.</w:t>
      </w:r>
      <w:r>
        <w:rPr>
          <w:rFonts w:ascii="Times New Roman" w:cs="Times New Roman" w:eastAsia="Times New Roman" w:hAnsi="Times New Roman"/>
          <w:sz w:val="18"/>
          <w:szCs w:val="18"/>
          <w:color w:val="auto"/>
        </w:rPr>
        <w:t>, filed in the Circuit Court of the Thirteenth Judicial Circuit for Hillsborough County, Florida. The complaint alleges that the Company violated the Florida Consumer Collection Practices Act by billing patients who were collecting benefits under the Workers' Compensation Statutes. The lawsuit seeks injunctive relief and actual and statutory damages, as well as recovery of attorney's fees and legal expenses. In April 2017, the Circuit Court granted the Company’s Motion for Judgment on the Pleadings. The Plaintiff appealed the Circuit Court’s ruling to the Florida Second District Court of Appeal. On October 16, 2019, the Florida Second District Court of Appeal reversed the Circuit Court’s dismissal, but certified a controlling issue of Florida law to the Florida Supreme Court. On February 17, 2020, the Florida Supreme Court accepted jurisdiction of the lawsuit. The court held oral arguments on December 9, 2020. On May 26, 2022, the Florida Supreme Court issued an opinion approving the result of the Florida Second District Court of Appeal in favor of the Plaintiff. The Company will vigorously defend the lawsuit.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18"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 xml:space="preserve">On December 29, 2021, the Company was served with a putative class action lawsuit, </w:t>
      </w:r>
      <w:r>
        <w:rPr>
          <w:rFonts w:ascii="Times New Roman" w:cs="Times New Roman" w:eastAsia="Times New Roman" w:hAnsi="Times New Roman"/>
          <w:sz w:val="18"/>
          <w:szCs w:val="18"/>
          <w:i w:val="1"/>
          <w:iCs w:val="1"/>
          <w:color w:val="auto"/>
        </w:rPr>
        <w:t>Nathaniel J. Nolan, et al. v. Laboratory Corporation of America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w:t>
      </w:r>
      <w:r>
        <w:rPr>
          <w:rFonts w:ascii="Times New Roman" w:cs="Times New Roman" w:eastAsia="Times New Roman" w:hAnsi="Times New Roman"/>
          <w:sz w:val="18"/>
          <w:szCs w:val="18"/>
          <w:color w:val="auto"/>
        </w:rPr>
        <w:t>, filed in the U.S. District Court for the Middle District of North Carolina. The complaint alleges that the Company's patient acknowledgement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financial responsibility form is misleading. The lawsuit seeks a declaratory judgment under the consumer protection laws of Nevada and Florida that the form is materially misleading and deceptive, an injunction barring the use of the form, damages on behalf of an alleged class, and attorney's fees and expenses. On February 28, 2022, the Company filed a Motion to Dismiss all claims. On February 13, 2023, the court entered an order granting the Company's Motion to Dismiss. On March 13, 2023, Plaintiffs filed a Notice of Appeal. On April 10, 2024, the U.S. Court of Appeals for the Fourth Circuit issued an order affirming in part, reversing in part, and remanding the case to the District Court for further proceedings. The Company will vigorously defend the lawsuit.</w:t>
      </w:r>
    </w:p>
    <w:p>
      <w:pPr>
        <w:spacing w:after="0" w:line="109"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On April 1, 2019, Covance Research Products was served with a Grand Jury Subpoena issued by the Department of Justice (DOJ) in Miami, Florida requiring the production of documents related to the importation into the United States of live non-human primate shipments originating from or transiting through China, Cambodia, and/or Vietnam from April 1, 2014 through March 28, 2019. The Company is cooperating with the DOJ.</w:t>
      </w:r>
    </w:p>
    <w:p>
      <w:pPr>
        <w:spacing w:after="0" w:line="8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On May 14, 2019, Retrieval-Masters Creditors Bureau, Inc. d/b/a American Medical Collection Agency (AMCA), an external collection agency, notified the Company about a security incident AMCA experienced that may have involved certain personal information about some of the Company’s patients (the AMCA Incident). The Company referred patient balances to AMCA only when direct collection efforts were unsuccessful. The Company’s systems were not impacted by the AMCA Incident. Upon learning of the AMCA Incident, the Company promptly stopped sending new collection requests to AMCA and stopped AMCA from continuing to work on any pending collection requests from the Company. AMCA informed the Company that it appeared that an unauthorized user had access to AMCA’s system between August 1, 2018, and March 30, 2019, and that AMCA could not rule out the possibility that personal information on AMCA’s system was at risk during that time period. Information on AMCA’s affected system from the Company may have included name, address, and balance information for the patient and person responsible for payment, along with the patient’s phone number, date of birth, referring physician, and date of service. The Company was later informed by AMCA that health insurance information may have been included for some individuals, and because some insurance carriers utilize the Social Security Number as a subscriber identification number, the Social Security Number for some individuals may also have been affected. No ordered tests, laboratory test results, or diagnostic information from the Company were in the AMCA affected system. The Company notified individuals for whom it had a valid mailing address. For the individuals whose Social Security Number was affected, the notice included an offer to enroll in credit monitoring and identity protection services that was provided free of charge for 24 months.</w:t>
      </w:r>
    </w:p>
    <w:p>
      <w:pPr>
        <w:spacing w:after="0" w:line="100"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 xml:space="preserve">Twenty-three putative class action lawsuits were filed against the Company related to the AMCA Incident in various U.S. District Courts. Numerous similar lawsuits have been filed against other health care providers who used AMCA. These lawsuits were consolidated into a multidistrict litigation in the District of New Jersey. On November 15, 2019, the Plaintiffs filed a Consolidated Class Action Complaint in the U.S. District Court of New Jersey. The consolidated Complaint generally alleged that the Company did not adequately protect its patients’ data and failed to timely notify those patients of the AMCA Incident. The Complaint asserted various causes of action, including but not limited to negligence, breach of implied contract, unjust enrichment, and the violation of state data protection statutes. The Complaint sought damages on behalf of a class of all affected Company customers. On January 22, 2020, the Company filed Motions to Dismiss all claims. On December 16, 2021, the court granted in part and denied in part the Company's Motion to Dismiss. On March 31, 2022, the Plaintiffs filed an Amended Complaint alleging claims for negligence, negligence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breach of confidence, invasion of privacy, and various state statutory claims, including a claim under the California Confidentiality of Medical Information Act. The Company filed a Motion to Dismiss certain claims of the Amended Complaint. On May 5, 2023, the court granted in part and denied in part the Company's Motion to Dismiss. The Company will vigorously defend the remaining claims in the multi-district litigation.</w:t>
      </w:r>
    </w:p>
    <w:p>
      <w:pPr>
        <w:spacing w:after="0" w:line="105"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 xml:space="preserve">The Company was served with a shareholder derivative lawsuit, </w:t>
      </w:r>
      <w:r>
        <w:rPr>
          <w:rFonts w:ascii="Times New Roman" w:cs="Times New Roman" w:eastAsia="Times New Roman" w:hAnsi="Times New Roman"/>
          <w:sz w:val="18"/>
          <w:szCs w:val="18"/>
          <w:i w:val="1"/>
          <w:iCs w:val="1"/>
          <w:color w:val="auto"/>
        </w:rPr>
        <w:t>Raymond Eugenio, Derivatively on Behalf of Nominal Defendant, Laboratory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 of America Holdings v. Lance Berberian, et al.</w:t>
      </w:r>
      <w:r>
        <w:rPr>
          <w:rFonts w:ascii="Times New Roman" w:cs="Times New Roman" w:eastAsia="Times New Roman" w:hAnsi="Times New Roman"/>
          <w:sz w:val="18"/>
          <w:szCs w:val="18"/>
          <w:color w:val="auto"/>
        </w:rPr>
        <w:t>, filed in the Court of Chancery of the State of Delaware on April 23, 2020. The complaint asserts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claims on the Company’s behalf against the Company’s board of directors and certain executive officers. The complaint generally alleges that the defendants failed to ensure that the Company utilized proper cybersecurity safeguards and failed to implement a sufficient response to data security incidents, including the AMCA Incident. The complaint asserts derivative claims for breach of fiduciary duty and seeks relief including damages, certain disclosures, and certain changes to the Company’s internal governance practices. On June 2, 2020, the Company filed a Motion to Stay the lawsuit due to its overlap with the multi-district litigation referenced above. On July 2, 2020, the Company filed a Motion to Dismiss. On July 14, 2020, the court entered an order staying the lawsuit pending the resolution of the multi-district litigation. The Company will vigorously defend the lawsuit.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0"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Certain governmental entities have requested information from the Company related to the AMCA Incident. The Company received a request for information from the Office for Civil Rights (OCR) of the Department of Health and Human Services. On April 28, 2020, OCR notified the Company of the closure of its inquiry. The Company has also received requests from a multi-state group of state Attorneys General and is cooperating with these requests for information.</w:t>
      </w:r>
    </w:p>
    <w:p>
      <w:pPr>
        <w:spacing w:after="0" w:line="98"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 xml:space="preserve">On January 31, 2020, the Company was served with a putative class action lawsuit, </w:t>
      </w:r>
      <w:r>
        <w:rPr>
          <w:rFonts w:ascii="Times New Roman" w:cs="Times New Roman" w:eastAsia="Times New Roman" w:hAnsi="Times New Roman"/>
          <w:sz w:val="18"/>
          <w:szCs w:val="18"/>
          <w:i w:val="1"/>
          <w:iCs w:val="1"/>
          <w:color w:val="auto"/>
        </w:rPr>
        <w:t>Luke Davis and Julian Vargas, et al. v. Laboratory Corporation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 Holdings</w:t>
      </w:r>
      <w:r>
        <w:rPr>
          <w:rFonts w:ascii="Times New Roman" w:cs="Times New Roman" w:eastAsia="Times New Roman" w:hAnsi="Times New Roman"/>
          <w:sz w:val="18"/>
          <w:szCs w:val="18"/>
          <w:color w:val="auto"/>
        </w:rPr>
        <w:t>, filed in the U.S. District Court for the Central District of California. The lawsuit alleges that visually impaired patients are unable to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touchscreen kiosks at Company patient service centers in violation of the Americans with Disabilities Act and similar California statutes. The lawsuit seeks statutory damages, injunctive relief, and attorney's fees and costs. On March 20, 2020, the Company filed a Motion to Dismiss Plaintiffs' Complaint and to Strike Class Allegations. In August 2020, the Plaintiffs filed an Amended Complaint. On April 26, 2021, the Plaintiffs and the Company each filed Motions for Summary Judgment and the Plaintiffs filed a Motion for Class Certification. On May 23, 2022, the court entered an order granting Plaintiffs’ Motion for Class Certification. On June 6, 2022, the Company filed a Petition for Permission to Appeal the Order Granting Class Certification with the U.S. Court of Appeals for the Ninth Circuit. On September 22, 2022, the Ninth Circuit granted the Company's Petition for Permission to Appeal the Order Granting Class Certification. On February 8, 2024, the Ninth Circuit affirmed the trial court’s decision to certify both a California damages class and a nationwide injunctive class. On March 25, 2024, the Company filed a Petition for Rehearing En Banc with the Ninth Circuit. On April 18, 2024, the Ninth Circuit denied the Petition for Rehearing En Banc. The Company will vigorously defend the lawsuit.</w:t>
      </w:r>
    </w:p>
    <w:p>
      <w:pPr>
        <w:spacing w:after="0" w:line="94"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7"/>
          <w:szCs w:val="17"/>
          <w:color w:val="auto"/>
        </w:rPr>
        <w:t xml:space="preserve">On October 16, 2020, Ravgen Inc. filed a patent infringement lawsuit, </w:t>
      </w:r>
      <w:r>
        <w:rPr>
          <w:rFonts w:ascii="Times New Roman" w:cs="Times New Roman" w:eastAsia="Times New Roman" w:hAnsi="Times New Roman"/>
          <w:sz w:val="17"/>
          <w:szCs w:val="17"/>
          <w:i w:val="1"/>
          <w:iCs w:val="1"/>
          <w:color w:val="auto"/>
        </w:rPr>
        <w:t>Ravgen Inc. v. Laboratory Corporation of America Holdings</w:t>
      </w:r>
      <w:r>
        <w:rPr>
          <w:rFonts w:ascii="Times New Roman" w:cs="Times New Roman" w:eastAsia="Times New Roman" w:hAnsi="Times New Roman"/>
          <w:sz w:val="17"/>
          <w:szCs w:val="17"/>
          <w:color w:val="auto"/>
        </w:rPr>
        <w:t>, in the U.S. District Court for the Western District of Texas, alleging infringement of two Ravgen-owned U.S. patents. The lawsuit seeks monetary damages, enhancement of those damages for willfulness, and recovery of attorney’s fees and costs. On September 28, 2022, a jury rendered a verdict in favor of the Plaintiff on the remaining patent at issue, finding that the Company willfully infringed Ravgen's patent, and awarded damages of $272.0. Plaintiff filed post-trial motions seeking enhanced damages of up to $817.0 based on the finding of willfulness, as well as attorney's fees and costs. On May 12, 2023, the court issued an order granting Plaintiff's motion in part and awarding enhanced damages of $100.0. The Company strongly disagrees with the verdict, based on a number of legal factors, and will vigorously defend the lawsuit through the appeal process. On June 4, 2021, the Company also instituted proceedings before the Patent Trial and Appeal Board of the U.S. Patent and Trademark Office challenging the validity of the Ravgen patent at issue in the trial. In November 2022, the Patent Trial and Appeal Board issued a decision upholding the validity of the Ravgen patent, and the Company has filed an appeal of this decision.</w:t>
      </w:r>
    </w:p>
    <w:p>
      <w:pPr>
        <w:spacing w:after="0" w:line="82" w:lineRule="exact"/>
        <w:rPr>
          <w:sz w:val="20"/>
          <w:szCs w:val="20"/>
          <w:color w:val="auto"/>
        </w:rPr>
      </w:pPr>
    </w:p>
    <w:p>
      <w:pPr>
        <w:jc w:val="both"/>
        <w:ind w:firstLine="280"/>
        <w:spacing w:after="0" w:line="249" w:lineRule="auto"/>
        <w:rPr>
          <w:sz w:val="20"/>
          <w:szCs w:val="20"/>
          <w:color w:val="auto"/>
        </w:rPr>
      </w:pPr>
      <w:r>
        <w:rPr>
          <w:rFonts w:ascii="Times New Roman" w:cs="Times New Roman" w:eastAsia="Times New Roman" w:hAnsi="Times New Roman"/>
          <w:sz w:val="18"/>
          <w:szCs w:val="18"/>
          <w:color w:val="auto"/>
        </w:rPr>
        <w:t xml:space="preserve">On May 14, 2020, the Company was served with a putative class action lawsuit, </w:t>
      </w:r>
      <w:r>
        <w:rPr>
          <w:rFonts w:ascii="Times New Roman" w:cs="Times New Roman" w:eastAsia="Times New Roman" w:hAnsi="Times New Roman"/>
          <w:sz w:val="18"/>
          <w:szCs w:val="18"/>
          <w:i w:val="1"/>
          <w:iCs w:val="1"/>
          <w:color w:val="auto"/>
        </w:rPr>
        <w:t>Jose Bermejo v. Laboratory Corporation of America (Bermejo I)</w:t>
      </w:r>
      <w:r>
        <w:rPr>
          <w:rFonts w:ascii="Times New Roman" w:cs="Times New Roman" w:eastAsia="Times New Roman" w:hAnsi="Times New Roman"/>
          <w:sz w:val="18"/>
          <w:szCs w:val="18"/>
          <w:color w:val="auto"/>
        </w:rPr>
        <w:t xml:space="preserve"> filed in the Superior Court of California, County of Los Angeles Central District, alleging that certain non-exempt California-based employees were not properly compensated for driving time or properly paid wages upon termination of employment. The Plaintiff asserts these actions violate various California Labor Code provisions and Section 17200 of the Business and Professional Code. The lawsuit seeks monetary damages, civil penalties, and recovery of attorney’s fees and costs. On June 15, 2020, the lawsuit was removed to the U.S. District Court for the Central District of California. On June 16, 2020, the Company was served with a Private Attorney General Act lawsuit by the same plaintiff in </w:t>
      </w:r>
      <w:r>
        <w:rPr>
          <w:rFonts w:ascii="Times New Roman" w:cs="Times New Roman" w:eastAsia="Times New Roman" w:hAnsi="Times New Roman"/>
          <w:sz w:val="18"/>
          <w:szCs w:val="18"/>
          <w:i w:val="1"/>
          <w:iCs w:val="1"/>
          <w:color w:val="auto"/>
        </w:rPr>
        <w:t>Jose Bermejo v. Laboratory Corporation of America (Bermejo II),</w:t>
      </w:r>
      <w:r>
        <w:rPr>
          <w:rFonts w:ascii="Times New Roman" w:cs="Times New Roman" w:eastAsia="Times New Roman" w:hAnsi="Times New Roman"/>
          <w:sz w:val="18"/>
          <w:szCs w:val="18"/>
          <w:color w:val="auto"/>
        </w:rPr>
        <w:t xml:space="preserve"> filed in the Superior Court of California, County of Los Angeles Central District, alleging that certain Company practices violated California Labor Code penalty provisions related to unpaid and minimum wages, unpaid overtime, unpaid meal and rest break premiums, untimely payment of wages following separation of employment, failure to maintain accurate pay records, and non-reimbursement of business expenses. The second lawsuit seeks to recover civil penalties and recovery of attorney's fees and costs. On October 28, 2020, the court issued an order staying proceedings in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pending resolution of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The second lawsuit seeks to recover civil penalties and recovery of attorney's fees and costs. On February 24, 2022, the parties entered into a Memorandum of Understanding of the terms of a settlement of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lawsuits. The court granted preliminary approval of the parties’ settlement agreement of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lawsuit on March 17, 2023, and of the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lawsuit on November 29, 2023. The settlement funds for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Bermejo II </w:t>
      </w:r>
      <w:r>
        <w:rPr>
          <w:rFonts w:ascii="Times New Roman" w:cs="Times New Roman" w:eastAsia="Times New Roman" w:hAnsi="Times New Roman"/>
          <w:sz w:val="18"/>
          <w:szCs w:val="18"/>
          <w:color w:val="auto"/>
        </w:rPr>
        <w:t>settlements have been transferred to a claims administrator for processing. Once the claims administration is completed, the parties will seek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approval from the court.</w:t>
      </w:r>
    </w:p>
    <w:p>
      <w:pPr>
        <w:spacing w:after="0" w:line="111"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color w:val="auto"/>
        </w:rPr>
        <w:t xml:space="preserve">On June 14, 2021, a single plaintiff filed a Private Attorney General Act lawsuit, </w:t>
      </w:r>
      <w:r>
        <w:rPr>
          <w:rFonts w:ascii="Times New Roman" w:cs="Times New Roman" w:eastAsia="Times New Roman" w:hAnsi="Times New Roman"/>
          <w:sz w:val="18"/>
          <w:szCs w:val="18"/>
          <w:i w:val="1"/>
          <w:iCs w:val="1"/>
          <w:color w:val="auto"/>
        </w:rPr>
        <w:t>Becker v. Laboratory Corporation of America</w:t>
      </w:r>
      <w:r>
        <w:rPr>
          <w:rFonts w:ascii="Times New Roman" w:cs="Times New Roman" w:eastAsia="Times New Roman" w:hAnsi="Times New Roman"/>
          <w:sz w:val="18"/>
          <w:szCs w:val="18"/>
          <w:color w:val="auto"/>
        </w:rPr>
        <w:t xml:space="preserve">, in the Superior Court of California, County of Orange, alleging various violations of the California Labor Code, including that the Plaintiff was not properly compensated for work and overtime hours, not properly paid meal and rest break premiums, not reimbursed for certain business-related expenses, and received inaccurate wage statements. The lawsuit seeks monetary damages, civil penalties, and recovery of attorney’s fees and costs. A settlement of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lawsuits, if approved by the court, will resolve the </w:t>
      </w:r>
      <w:r>
        <w:rPr>
          <w:rFonts w:ascii="Times New Roman" w:cs="Times New Roman" w:eastAsia="Times New Roman" w:hAnsi="Times New Roman"/>
          <w:sz w:val="18"/>
          <w:szCs w:val="18"/>
          <w:i w:val="1"/>
          <w:iCs w:val="1"/>
          <w:color w:val="auto"/>
        </w:rPr>
        <w:t>Becker</w:t>
      </w:r>
      <w:r>
        <w:rPr>
          <w:rFonts w:ascii="Times New Roman" w:cs="Times New Roman" w:eastAsia="Times New Roman" w:hAnsi="Times New Roman"/>
          <w:sz w:val="18"/>
          <w:szCs w:val="18"/>
          <w:color w:val="auto"/>
        </w:rPr>
        <w:t xml:space="preserve"> lawsuit.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18"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 xml:space="preserve">On November 23, 2021, the Company was served with a single plaintiff Private Attorney General Act lawsuit, </w:t>
      </w:r>
      <w:r>
        <w:rPr>
          <w:rFonts w:ascii="Times New Roman" w:cs="Times New Roman" w:eastAsia="Times New Roman" w:hAnsi="Times New Roman"/>
          <w:sz w:val="18"/>
          <w:szCs w:val="18"/>
          <w:i w:val="1"/>
          <w:iCs w:val="1"/>
          <w:color w:val="auto"/>
        </w:rPr>
        <w:t>Poole v. Laboratory Corporation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w:t>
      </w:r>
      <w:r>
        <w:rPr>
          <w:rFonts w:ascii="Times New Roman" w:cs="Times New Roman" w:eastAsia="Times New Roman" w:hAnsi="Times New Roman"/>
          <w:sz w:val="18"/>
          <w:szCs w:val="18"/>
          <w:color w:val="auto"/>
        </w:rPr>
        <w:t>, filed in the Superior Court of California, County of Kern, alleging various violations of the California Labor Code, including that Plaintiff was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properly paid wages owed, not properly paid meal and rest break premiums, not reimbursed for certain business related expenses, and other allegations including the untimely payment of wages and receipt of inaccurate wage statements. The lawsuit seeks monetary damages, civil penalties, and recovery of attorney's fees and costs. The case was removed to the U.S. District Court for the Eastern District of California. A settlement of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lawsuits, if approved by the court, will resolve the portion of the </w:t>
      </w:r>
      <w:r>
        <w:rPr>
          <w:rFonts w:ascii="Times New Roman" w:cs="Times New Roman" w:eastAsia="Times New Roman" w:hAnsi="Times New Roman"/>
          <w:sz w:val="18"/>
          <w:szCs w:val="18"/>
          <w:i w:val="1"/>
          <w:iCs w:val="1"/>
          <w:color w:val="auto"/>
        </w:rPr>
        <w:t>Poole</w:t>
      </w:r>
      <w:r>
        <w:rPr>
          <w:rFonts w:ascii="Times New Roman" w:cs="Times New Roman" w:eastAsia="Times New Roman" w:hAnsi="Times New Roman"/>
          <w:sz w:val="18"/>
          <w:szCs w:val="18"/>
          <w:color w:val="auto"/>
        </w:rPr>
        <w:t xml:space="preserve"> lawsuit relating to service representatives and senior service representatives.</w:t>
      </w:r>
    </w:p>
    <w:p>
      <w:pPr>
        <w:spacing w:after="0" w:line="104"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 xml:space="preserve">On October 5, 2020, the Company was served with a putative class action lawsuit, </w:t>
      </w:r>
      <w:r>
        <w:rPr>
          <w:rFonts w:ascii="Times New Roman" w:cs="Times New Roman" w:eastAsia="Times New Roman" w:hAnsi="Times New Roman"/>
          <w:sz w:val="18"/>
          <w:szCs w:val="18"/>
          <w:i w:val="1"/>
          <w:iCs w:val="1"/>
          <w:color w:val="auto"/>
        </w:rPr>
        <w:t>Williams v. LabCorp Employer Services, Inc. et al.</w:t>
      </w:r>
      <w:r>
        <w:rPr>
          <w:rFonts w:ascii="Times New Roman" w:cs="Times New Roman" w:eastAsia="Times New Roman" w:hAnsi="Times New Roman"/>
          <w:sz w:val="18"/>
          <w:szCs w:val="18"/>
          <w:color w:val="auto"/>
        </w:rPr>
        <w:t>, filed in the Superior Court of California, County of Los Angeles, alleging that certain non-exempt California-based employees were not properly compensated for work and overtime hours, not properly paid meal and rest break premiums, not reimbursed for certain business-related expenses, not properly paid for driving or wait times, and received inaccurate wage statements. The Plaintiff also asserts claims for unfair competition under Section 17200 of the Business and Professional Code. On November 4, 2020, the lawsuit was removed to the U.S. District Court for the Central District of California. The lawsuit seeks monetary damages, liquidated damages, civil penalties, and recovery of attorney's fees and costs. On June 24, 2021, the District Court remanded the case to the Superior Court of California, County of Los Angeles on the grounds that potential damages did not meet the Class Action Fairness Act (CAFA), 28 U.S.C. § 1332(d), jurisdictional threshold. The parties entered into a settlement agreement which received court preliminary approval on December 13, 2023. Settlement proceeds were transferred to the settlement fund administrator in January 2024 and have been distributed by the settlement fund administrator. A case review is scheduled by the court for September 13, 2024, at which time the court is expected to sua sponte dismiss the lawsuit given its resolution by settlement.</w:t>
      </w:r>
    </w:p>
    <w:p>
      <w:pPr>
        <w:spacing w:after="0" w:line="94"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 xml:space="preserve">On June 7, 2023, the Company was served with a putative class action lawsuit, </w:t>
      </w:r>
      <w:r>
        <w:rPr>
          <w:rFonts w:ascii="Times New Roman" w:cs="Times New Roman" w:eastAsia="Times New Roman" w:hAnsi="Times New Roman"/>
          <w:sz w:val="18"/>
          <w:szCs w:val="18"/>
          <w:i w:val="1"/>
          <w:iCs w:val="1"/>
          <w:color w:val="auto"/>
        </w:rPr>
        <w:t>Connie Howard, Yadira Yazmin Hernandez, and Deborah Reynolds,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 Laboratory Corporation of America, Laboratory Corporation of America Holdings, and Meta Platforms, Inc.</w:t>
      </w:r>
      <w:r>
        <w:rPr>
          <w:rFonts w:ascii="Times New Roman" w:cs="Times New Roman" w:eastAsia="Times New Roman" w:hAnsi="Times New Roman"/>
          <w:sz w:val="18"/>
          <w:szCs w:val="18"/>
          <w:color w:val="auto"/>
        </w:rPr>
        <w:t>, filed in the U.S. District Court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Northern District of California, alleging that the Company’s website includes a tracking code created by Meta, known as the Meta Pixel, that sent information related to Plaintiffs and their online activities to Meta. Plaintiffs assert claims against the Company under California and Pennsylvania law and seek to represent classes of all persons in California, or in Pennsylvania, who allegedly entered search terms into the Company’s website and who used Facebook during a time that Plaintiffs allege the Meta Pixel was active on the Company’s website. Plaintiffs seek an injunction, damages, attorneys’ fees, and costs. On August 23, 2023, the Company filed a Motion to Dismiss. On September 5, 2023, the lawsuit was transferred to the U.S. District Court for the Middle District of North Carolina. On September 9, 2023, Plaintiffs filed an Amended Complaint. Among other things, the Amended Complaint contains allegations that in addition to the Meta Pixel, the Company's website uses Google Analytics and other online tracking technologies. The Company will vigorously defend the lawsuit.</w:t>
      </w:r>
    </w:p>
    <w:p>
      <w:pPr>
        <w:spacing w:after="0" w:line="98"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On August 14, 2020, the Company was served with a Subpoena Duces Tecum issued by the State of Colorado Office of the Attorney General requiring the production of documents related to urine drug testing in all states. The Company is cooperating with this request.</w:t>
      </w:r>
    </w:p>
    <w:p>
      <w:pPr>
        <w:spacing w:after="0" w:line="84"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On February 7, 2022, the Company was served with a Subpoena Duces Tecum issued by the DOJ in Camden, New Jersey requiring the production of documents related to non-invasive prenatal screening tests. The Company is cooperating with the DOJ.</w:t>
      </w:r>
    </w:p>
    <w:p>
      <w:pPr>
        <w:spacing w:after="0" w:line="70"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On June 27, 2022, the Company was served with a Subpoena Duces Tecum issued by the DOJ in Boston, Massachusetts requiring the production of documents related to urine drug testing. The Company is cooperating with the DOJ.</w:t>
      </w:r>
    </w:p>
    <w:p>
      <w:pPr>
        <w:spacing w:after="0" w:line="70" w:lineRule="exact"/>
        <w:rPr>
          <w:sz w:val="20"/>
          <w:szCs w:val="20"/>
          <w:color w:val="auto"/>
        </w:rPr>
      </w:pPr>
    </w:p>
    <w:p>
      <w:pPr>
        <w:jc w:val="both"/>
        <w:ind w:right="20" w:firstLine="240"/>
        <w:spacing w:after="0" w:line="306" w:lineRule="auto"/>
        <w:rPr>
          <w:sz w:val="20"/>
          <w:szCs w:val="20"/>
          <w:color w:val="auto"/>
        </w:rPr>
      </w:pPr>
      <w:r>
        <w:rPr>
          <w:rFonts w:ascii="Times New Roman" w:cs="Times New Roman" w:eastAsia="Times New Roman" w:hAnsi="Times New Roman"/>
          <w:sz w:val="17"/>
          <w:szCs w:val="17"/>
          <w:color w:val="auto"/>
        </w:rPr>
        <w:t>In April 2023, the Company received Civil Investigative Demands issued by the DOJ in Washington, D.C. requiring the production of information related to the Medicare billing rule regarding reimbursement for laboratory testing performed for hospital patients. The Company is cooperating with the DOJ.</w:t>
      </w:r>
    </w:p>
    <w:p>
      <w:pPr>
        <w:spacing w:after="0" w:line="5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 xml:space="preserve">On February 13, 2024, a putative class action lawsuit, </w:t>
      </w:r>
      <w:r>
        <w:rPr>
          <w:rFonts w:ascii="Times New Roman" w:cs="Times New Roman" w:eastAsia="Times New Roman" w:hAnsi="Times New Roman"/>
          <w:sz w:val="18"/>
          <w:szCs w:val="18"/>
          <w:i w:val="1"/>
          <w:iCs w:val="1"/>
          <w:color w:val="auto"/>
        </w:rPr>
        <w:t>Michael Wiggins and Teri Stevens v. Laboratory Corporation of America Holdings</w:t>
      </w:r>
      <w:r>
        <w:rPr>
          <w:rFonts w:ascii="Times New Roman" w:cs="Times New Roman" w:eastAsia="Times New Roman" w:hAnsi="Times New Roman"/>
          <w:sz w:val="18"/>
          <w:szCs w:val="18"/>
          <w:color w:val="auto"/>
        </w:rPr>
        <w:t>, was filed in the U.S. District Court for the Eastern District of Pennsylvania, alleging that the Company’s website includes a computer code created by Google that sent information to Google related to Plaintiffs and their online activities. Plaintiffs assert statutory and common law claims against the Company and seek to represent a class of all persons whose health information was allegedly shared with Google from the Company’s website before March 8, 2023. Plaintiffs seek an injunction, damages, attorneys’ fees, and costs. On April 12, 2024, the Company filed a Motion to Compel Arbitration and Stay Proceedings. The Company will vigorously defend the lawsuit.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0"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There are various other pending legal proceedings involving the Company including, but not limited to, additional employment-related lawsuits, professional liability lawsuits, and commercial lawsuits. While it is not feasible to predict the outcome of such proceedings, in the opinion of the Company, the likelihood of loss is remote and any reasonably possible loss associated with the resolution of such proceedings is not expected to be material to the Company’s financial condition, results of operations, or cash flows, either individually or in the aggregate.</w:t>
      </w:r>
    </w:p>
    <w:p>
      <w:pPr>
        <w:spacing w:after="0" w:line="100"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pacing w:after="0" w:line="84" w:lineRule="exact"/>
        <w:rPr>
          <w:sz w:val="20"/>
          <w:szCs w:val="20"/>
          <w:color w:val="auto"/>
        </w:rPr>
      </w:pPr>
    </w:p>
    <w:p>
      <w:pPr>
        <w:ind w:left="460" w:hanging="453"/>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8"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The Company’s population of financial assets and liabilities subject to fair value measurements as of March 31, 2024, and December 31, 2023, was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60" w:type="dxa"/>
            <w:vAlign w:val="bottom"/>
            <w:gridSpan w:val="13"/>
          </w:tcPr>
          <w:p>
            <w:pPr>
              <w:jc w:val="center"/>
              <w:ind w:right="71"/>
              <w:spacing w:after="0"/>
              <w:rPr>
                <w:sz w:val="20"/>
                <w:szCs w:val="20"/>
                <w:color w:val="auto"/>
              </w:rPr>
            </w:pPr>
            <w:r>
              <w:rPr>
                <w:rFonts w:ascii="Times New Roman" w:cs="Times New Roman" w:eastAsia="Times New Roman" w:hAnsi="Times New Roman"/>
                <w:sz w:val="18"/>
                <w:szCs w:val="18"/>
                <w:color w:val="auto"/>
                <w:w w:val="97"/>
              </w:rPr>
              <w:t>Fair Value Measurements as of</w:t>
            </w:r>
          </w:p>
        </w:tc>
        <w:tc>
          <w:tcPr>
            <w:tcW w:w="120" w:type="dxa"/>
            <w:vAlign w:val="bottom"/>
          </w:tcPr>
          <w:p>
            <w:pPr>
              <w:spacing w:after="0"/>
              <w:rPr>
                <w:sz w:val="19"/>
                <w:szCs w:val="19"/>
                <w:color w:val="auto"/>
              </w:rPr>
            </w:pPr>
          </w:p>
        </w:tc>
      </w:tr>
      <w:tr>
        <w:trPr>
          <w:trHeight w:val="227"/>
        </w:trPr>
        <w:tc>
          <w:tcPr>
            <w:tcW w:w="4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8"/>
          </w:tcPr>
          <w:p>
            <w:pPr>
              <w:jc w:val="center"/>
              <w:ind w:right="40"/>
              <w:spacing w:after="0"/>
              <w:rPr>
                <w:sz w:val="20"/>
                <w:szCs w:val="20"/>
                <w:color w:val="auto"/>
              </w:rPr>
            </w:pPr>
            <w:r>
              <w:rPr>
                <w:rFonts w:ascii="Times New Roman" w:cs="Times New Roman" w:eastAsia="Times New Roman" w:hAnsi="Times New Roman"/>
                <w:sz w:val="18"/>
                <w:szCs w:val="18"/>
                <w:color w:val="auto"/>
                <w:w w:val="97"/>
              </w:rPr>
              <w:t>March 31, 2024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8"/>
        </w:trPr>
        <w:tc>
          <w:tcPr>
            <w:tcW w:w="4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7"/>
              </w:rPr>
              <w:t>Balance Sheet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6"/>
              </w:rPr>
              <w:t>Fair Value as of</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13"/>
          </w:tcPr>
          <w:p>
            <w:pPr>
              <w:jc w:val="center"/>
              <w:ind w:right="71"/>
              <w:spacing w:after="0"/>
              <w:rPr>
                <w:sz w:val="20"/>
                <w:szCs w:val="20"/>
                <w:color w:val="auto"/>
              </w:rPr>
            </w:pPr>
            <w:r>
              <w:rPr>
                <w:rFonts w:ascii="Times New Roman" w:cs="Times New Roman" w:eastAsia="Times New Roman" w:hAnsi="Times New Roman"/>
                <w:sz w:val="18"/>
                <w:szCs w:val="18"/>
                <w:color w:val="auto"/>
                <w:w w:val="97"/>
              </w:rPr>
              <w:t>Using Fair Value Hierarchy</w:t>
            </w:r>
          </w:p>
        </w:tc>
        <w:tc>
          <w:tcPr>
            <w:tcW w:w="120" w:type="dxa"/>
            <w:vAlign w:val="bottom"/>
          </w:tcPr>
          <w:p>
            <w:pPr>
              <w:spacing w:after="0"/>
              <w:rPr>
                <w:sz w:val="20"/>
                <w:szCs w:val="20"/>
                <w:color w:val="auto"/>
              </w:rPr>
            </w:pPr>
          </w:p>
        </w:tc>
      </w:tr>
      <w:tr>
        <w:trPr>
          <w:trHeight w:val="233"/>
        </w:trPr>
        <w:tc>
          <w:tcPr>
            <w:tcW w:w="4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Classification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color w:val="auto"/>
              </w:rPr>
              <w:t>March 31, 2024</w:t>
            </w: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Level 2</w:t>
            </w: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99"/>
              </w:rPr>
              <w:t>Level 3</w:t>
            </w:r>
          </w:p>
        </w:tc>
        <w:tc>
          <w:tcPr>
            <w:tcW w:w="120" w:type="dxa"/>
            <w:vAlign w:val="bottom"/>
          </w:tcPr>
          <w:p>
            <w:pPr>
              <w:spacing w:after="0"/>
              <w:rPr>
                <w:sz w:val="20"/>
                <w:szCs w:val="20"/>
                <w:color w:val="auto"/>
              </w:rPr>
            </w:pPr>
          </w:p>
        </w:tc>
      </w:tr>
      <w:tr>
        <w:trPr>
          <w:trHeight w:val="227"/>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put</w:t>
            </w:r>
          </w:p>
        </w:tc>
        <w:tc>
          <w:tcPr>
            <w:tcW w:w="20" w:type="dxa"/>
            <w:vAlign w:val="bottom"/>
            <w:tcBorders>
              <w:top w:val="single" w:sz="8" w:color="auto"/>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2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20" w:type="dxa"/>
            <w:vAlign w:val="bottom"/>
          </w:tcPr>
          <w:p>
            <w:pPr>
              <w:spacing w:after="0"/>
              <w:rPr>
                <w:sz w:val="19"/>
                <w:szCs w:val="19"/>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2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0" w:type="dxa"/>
            <w:vAlign w:val="bottom"/>
            <w:shd w:val="clear" w:color="auto" w:fill="CCEEFF"/>
          </w:tcPr>
          <w:p>
            <w:pPr>
              <w:spacing w:after="0"/>
              <w:rPr>
                <w:sz w:val="19"/>
                <w:szCs w:val="19"/>
                <w:color w:val="auto"/>
              </w:rPr>
            </w:pPr>
          </w:p>
        </w:tc>
        <w:tc>
          <w:tcPr>
            <w:tcW w:w="2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2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surrender value of life insurance policies</w:t>
            </w:r>
          </w:p>
        </w:tc>
        <w:tc>
          <w:tcPr>
            <w:tcW w:w="20" w:type="dxa"/>
            <w:vAlign w:val="bottom"/>
          </w:tcPr>
          <w:p>
            <w:pPr>
              <w:spacing w:after="0"/>
              <w:rPr>
                <w:sz w:val="19"/>
                <w:szCs w:val="19"/>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2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asset</w:t>
            </w:r>
          </w:p>
        </w:tc>
        <w:tc>
          <w:tcPr>
            <w:tcW w:w="20" w:type="dxa"/>
            <w:vAlign w:val="bottom"/>
            <w:shd w:val="clear" w:color="auto" w:fill="CCEEFF"/>
          </w:tcPr>
          <w:p>
            <w:pPr>
              <w:spacing w:after="0"/>
              <w:rPr>
                <w:sz w:val="19"/>
                <w:szCs w:val="19"/>
                <w:color w:val="auto"/>
              </w:rPr>
            </w:pPr>
          </w:p>
        </w:tc>
        <w:tc>
          <w:tcPr>
            <w:tcW w:w="2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2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0" w:type="dxa"/>
            <w:vAlign w:val="bottom"/>
          </w:tcPr>
          <w:p>
            <w:pPr>
              <w:spacing w:after="0"/>
              <w:rPr>
                <w:sz w:val="19"/>
                <w:szCs w:val="19"/>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173"/>
        </w:trPr>
        <w:tc>
          <w:tcPr>
            <w:tcW w:w="4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60" w:type="dxa"/>
            <w:vAlign w:val="bottom"/>
            <w:gridSpan w:val="3"/>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Accrued expenses and other;</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tcPr>
          <w:p>
            <w:pPr>
              <w:spacing w:after="0"/>
              <w:rPr>
                <w:sz w:val="15"/>
                <w:szCs w:val="15"/>
                <w:color w:val="auto"/>
              </w:rPr>
            </w:pPr>
          </w:p>
        </w:tc>
      </w:tr>
      <w:tr>
        <w:trPr>
          <w:trHeight w:val="24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shd w:val="clear" w:color="auto" w:fill="CCEEFF"/>
          </w:tcPr>
          <w:p>
            <w:pPr>
              <w:spacing w:after="0"/>
              <w:rPr>
                <w:sz w:val="20"/>
                <w:szCs w:val="20"/>
                <w:color w:val="auto"/>
              </w:rPr>
            </w:pPr>
          </w:p>
        </w:tc>
        <w:tc>
          <w:tcPr>
            <w:tcW w:w="2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tcPr>
          <w:p>
            <w:pPr>
              <w:spacing w:after="0"/>
              <w:rPr>
                <w:sz w:val="20"/>
                <w:szCs w:val="20"/>
                <w:color w:val="auto"/>
              </w:rPr>
            </w:pPr>
          </w:p>
        </w:tc>
      </w:tr>
      <w:tr>
        <w:trPr>
          <w:trHeight w:val="381"/>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gridSpan w:val="13"/>
          </w:tcPr>
          <w:p>
            <w:pPr>
              <w:jc w:val="center"/>
              <w:ind w:right="31"/>
              <w:spacing w:after="0"/>
              <w:rPr>
                <w:sz w:val="20"/>
                <w:szCs w:val="20"/>
                <w:color w:val="auto"/>
              </w:rPr>
            </w:pPr>
            <w:r>
              <w:rPr>
                <w:rFonts w:ascii="Times New Roman" w:cs="Times New Roman" w:eastAsia="Times New Roman" w:hAnsi="Times New Roman"/>
                <w:sz w:val="18"/>
                <w:szCs w:val="18"/>
                <w:color w:val="auto"/>
                <w:w w:val="97"/>
              </w:rPr>
              <w:t>Fair Value Measurements as of</w:t>
            </w:r>
          </w:p>
        </w:tc>
        <w:tc>
          <w:tcPr>
            <w:tcW w:w="120" w:type="dxa"/>
            <w:vAlign w:val="bottom"/>
          </w:tcPr>
          <w:p>
            <w:pPr>
              <w:spacing w:after="0"/>
              <w:rPr>
                <w:sz w:val="24"/>
                <w:szCs w:val="24"/>
                <w:color w:val="auto"/>
              </w:rPr>
            </w:pPr>
          </w:p>
        </w:tc>
      </w:tr>
      <w:tr>
        <w:trPr>
          <w:trHeight w:val="227"/>
        </w:trPr>
        <w:tc>
          <w:tcPr>
            <w:tcW w:w="4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20" w:type="dxa"/>
            <w:vAlign w:val="bottom"/>
            <w:gridSpan w:val="11"/>
          </w:tcPr>
          <w:p>
            <w:pPr>
              <w:jc w:val="center"/>
              <w:ind w:left="71"/>
              <w:spacing w:after="0"/>
              <w:rPr>
                <w:sz w:val="20"/>
                <w:szCs w:val="20"/>
                <w:color w:val="auto"/>
              </w:rPr>
            </w:pPr>
            <w:r>
              <w:rPr>
                <w:rFonts w:ascii="Times New Roman" w:cs="Times New Roman" w:eastAsia="Times New Roman" w:hAnsi="Times New Roman"/>
                <w:sz w:val="18"/>
                <w:szCs w:val="18"/>
                <w:color w:val="auto"/>
                <w:w w:val="97"/>
              </w:rPr>
              <w:t>December 31, 2023</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8"/>
        </w:trPr>
        <w:tc>
          <w:tcPr>
            <w:tcW w:w="4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Balance Sheet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5"/>
              </w:rPr>
              <w:t>Fair Value as of</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13"/>
          </w:tcPr>
          <w:p>
            <w:pPr>
              <w:jc w:val="center"/>
              <w:ind w:right="31"/>
              <w:spacing w:after="0"/>
              <w:rPr>
                <w:sz w:val="20"/>
                <w:szCs w:val="20"/>
                <w:color w:val="auto"/>
              </w:rPr>
            </w:pPr>
            <w:r>
              <w:rPr>
                <w:rFonts w:ascii="Times New Roman" w:cs="Times New Roman" w:eastAsia="Times New Roman" w:hAnsi="Times New Roman"/>
                <w:sz w:val="18"/>
                <w:szCs w:val="18"/>
                <w:color w:val="auto"/>
                <w:w w:val="97"/>
              </w:rPr>
              <w:t>Using Fair Value Hierarchy</w:t>
            </w:r>
          </w:p>
        </w:tc>
        <w:tc>
          <w:tcPr>
            <w:tcW w:w="120" w:type="dxa"/>
            <w:vAlign w:val="bottom"/>
          </w:tcPr>
          <w:p>
            <w:pPr>
              <w:spacing w:after="0"/>
              <w:rPr>
                <w:sz w:val="20"/>
                <w:szCs w:val="20"/>
                <w:color w:val="auto"/>
              </w:rPr>
            </w:pPr>
          </w:p>
        </w:tc>
      </w:tr>
      <w:tr>
        <w:trPr>
          <w:trHeight w:val="233"/>
        </w:trPr>
        <w:tc>
          <w:tcPr>
            <w:tcW w:w="4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Classification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rPr>
              <w:t>December 31, 2023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Level 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9"/>
              </w:rPr>
              <w:t>Level 3</w:t>
            </w:r>
          </w:p>
        </w:tc>
        <w:tc>
          <w:tcPr>
            <w:tcW w:w="120" w:type="dxa"/>
            <w:vAlign w:val="bottom"/>
          </w:tcPr>
          <w:p>
            <w:pPr>
              <w:spacing w:after="0"/>
              <w:rPr>
                <w:sz w:val="20"/>
                <w:szCs w:val="20"/>
                <w:color w:val="auto"/>
              </w:rPr>
            </w:pPr>
          </w:p>
        </w:tc>
      </w:tr>
      <w:tr>
        <w:trPr>
          <w:trHeight w:val="227"/>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put</w:t>
            </w:r>
          </w:p>
        </w:tc>
        <w:tc>
          <w:tcPr>
            <w:tcW w:w="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left w:val="single" w:sz="8" w:color="CCEEFF"/>
            </w:tcBorders>
          </w:tcPr>
          <w:p>
            <w:pPr>
              <w:spacing w:after="0"/>
              <w:rPr>
                <w:sz w:val="19"/>
                <w:szCs w:val="19"/>
                <w:color w:val="auto"/>
              </w:rPr>
            </w:pPr>
          </w:p>
        </w:tc>
      </w:tr>
      <w:tr>
        <w:trPr>
          <w:trHeight w:val="182"/>
        </w:trPr>
        <w:tc>
          <w:tcPr>
            <w:tcW w:w="4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Accrued expenses and other;</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2"/>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20" w:type="dxa"/>
            <w:vAlign w:val="bottom"/>
          </w:tcPr>
          <w:p>
            <w:pPr>
              <w:spacing w:after="0"/>
              <w:rPr>
                <w:sz w:val="20"/>
                <w:szCs w:val="20"/>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r>
      <w:tr>
        <w:trPr>
          <w:trHeight w:val="22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0" w:type="dxa"/>
            <w:vAlign w:val="bottom"/>
            <w:shd w:val="clear" w:color="auto" w:fill="CCEEFF"/>
          </w:tcPr>
          <w:p>
            <w:pPr>
              <w:spacing w:after="0"/>
              <w:rPr>
                <w:sz w:val="19"/>
                <w:szCs w:val="19"/>
                <w:color w:val="auto"/>
              </w:rPr>
            </w:pPr>
          </w:p>
        </w:tc>
        <w:tc>
          <w:tcPr>
            <w:tcW w:w="2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 net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left w:val="single" w:sz="8" w:color="CCEEFF"/>
            </w:tcBorders>
          </w:tcPr>
          <w:p>
            <w:pPr>
              <w:spacing w:after="0"/>
              <w:rPr>
                <w:sz w:val="19"/>
                <w:szCs w:val="19"/>
                <w:color w:val="auto"/>
              </w:rPr>
            </w:pPr>
          </w:p>
        </w:tc>
      </w:tr>
      <w:tr>
        <w:trPr>
          <w:trHeight w:val="22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surrender value of life insurance policies</w:t>
            </w:r>
          </w:p>
        </w:tc>
        <w:tc>
          <w:tcPr>
            <w:tcW w:w="20" w:type="dxa"/>
            <w:vAlign w:val="bottom"/>
          </w:tcPr>
          <w:p>
            <w:pPr>
              <w:spacing w:after="0"/>
              <w:rPr>
                <w:sz w:val="19"/>
                <w:szCs w:val="19"/>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r>
      <w:tr>
        <w:trPr>
          <w:trHeight w:val="22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asset</w:t>
            </w:r>
          </w:p>
        </w:tc>
        <w:tc>
          <w:tcPr>
            <w:tcW w:w="20" w:type="dxa"/>
            <w:vAlign w:val="bottom"/>
            <w:shd w:val="clear" w:color="auto" w:fill="CCEEFF"/>
          </w:tcPr>
          <w:p>
            <w:pPr>
              <w:spacing w:after="0"/>
              <w:rPr>
                <w:sz w:val="19"/>
                <w:szCs w:val="19"/>
                <w:color w:val="auto"/>
              </w:rPr>
            </w:pPr>
          </w:p>
        </w:tc>
        <w:tc>
          <w:tcPr>
            <w:tcW w:w="2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left w:val="single" w:sz="8" w:color="CCEEFF"/>
            </w:tcBorders>
          </w:tcPr>
          <w:p>
            <w:pPr>
              <w:spacing w:after="0"/>
              <w:rPr>
                <w:sz w:val="19"/>
                <w:szCs w:val="19"/>
                <w:color w:val="auto"/>
              </w:rPr>
            </w:pPr>
          </w:p>
        </w:tc>
      </w:tr>
      <w:tr>
        <w:trPr>
          <w:trHeight w:val="22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0" w:type="dxa"/>
            <w:vAlign w:val="bottom"/>
          </w:tcPr>
          <w:p>
            <w:pPr>
              <w:spacing w:after="0"/>
              <w:rPr>
                <w:sz w:val="19"/>
                <w:szCs w:val="19"/>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r>
      <w:tr>
        <w:trPr>
          <w:trHeight w:val="182"/>
        </w:trPr>
        <w:tc>
          <w:tcPr>
            <w:tcW w:w="4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6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Accrued expenses and other;</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tcBorders>
              <w:left w:val="single" w:sz="8" w:color="CCEEFF"/>
            </w:tcBorders>
          </w:tcPr>
          <w:p>
            <w:pPr>
              <w:spacing w:after="0"/>
              <w:rPr>
                <w:sz w:val="15"/>
                <w:szCs w:val="15"/>
                <w:color w:val="auto"/>
              </w:rPr>
            </w:pPr>
          </w:p>
        </w:tc>
      </w:tr>
      <w:tr>
        <w:trPr>
          <w:trHeight w:val="232"/>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shd w:val="clear" w:color="auto" w:fill="CCEEFF"/>
          </w:tcPr>
          <w:p>
            <w:pPr>
              <w:spacing w:after="0"/>
              <w:rPr>
                <w:sz w:val="20"/>
                <w:szCs w:val="20"/>
                <w:color w:val="auto"/>
              </w:rPr>
            </w:pPr>
          </w:p>
        </w:tc>
        <w:tc>
          <w:tcPr>
            <w:tcW w:w="2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Borders>
              <w:left w:val="single" w:sz="8" w:color="CCEEFF"/>
            </w:tcBorders>
          </w:tcPr>
          <w:p>
            <w:pPr>
              <w:spacing w:after="0"/>
              <w:rPr>
                <w:sz w:val="20"/>
                <w:szCs w:val="20"/>
                <w:color w:val="auto"/>
              </w:rPr>
            </w:pPr>
          </w:p>
        </w:tc>
      </w:tr>
      <w:tr>
        <w:trPr>
          <w:trHeight w:val="406"/>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Measurement of Level 3 Liabilities</w:t>
            </w:r>
          </w:p>
        </w:tc>
        <w:tc>
          <w:tcPr>
            <w:tcW w:w="20" w:type="dxa"/>
            <w:vAlign w:val="bottom"/>
            <w:tcBorders>
              <w:bottom w:val="single" w:sz="8" w:color="CCEEFF"/>
            </w:tcBorders>
          </w:tcPr>
          <w:p>
            <w:pPr>
              <w:spacing w:after="0"/>
              <w:rPr>
                <w:sz w:val="24"/>
                <w:szCs w:val="24"/>
                <w:color w:val="auto"/>
              </w:rPr>
            </w:pPr>
          </w:p>
        </w:tc>
        <w:tc>
          <w:tcPr>
            <w:tcW w:w="2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11"/>
          </w:tcPr>
          <w:p>
            <w:pPr>
              <w:jc w:val="right"/>
              <w:ind w:right="91"/>
              <w:spacing w:after="0"/>
              <w:rPr>
                <w:sz w:val="20"/>
                <w:szCs w:val="20"/>
                <w:color w:val="auto"/>
              </w:rPr>
            </w:pPr>
            <w:r>
              <w:rPr>
                <w:rFonts w:ascii="Times New Roman" w:cs="Times New Roman" w:eastAsia="Times New Roman" w:hAnsi="Times New Roman"/>
                <w:sz w:val="18"/>
                <w:szCs w:val="18"/>
                <w:color w:val="auto"/>
                <w:w w:val="98"/>
              </w:rPr>
              <w:t>Contingent Consideration</w:t>
            </w:r>
          </w:p>
        </w:tc>
        <w:tc>
          <w:tcPr>
            <w:tcW w:w="120" w:type="dxa"/>
            <w:vAlign w:val="bottom"/>
            <w:tcBorders>
              <w:bottom w:val="single" w:sz="8" w:color="auto"/>
            </w:tcBorders>
          </w:tcPr>
          <w:p>
            <w:pPr>
              <w:spacing w:after="0"/>
              <w:rPr>
                <w:sz w:val="24"/>
                <w:szCs w:val="24"/>
                <w:color w:val="auto"/>
              </w:rPr>
            </w:pPr>
          </w:p>
        </w:tc>
      </w:tr>
      <w:tr>
        <w:trPr>
          <w:trHeight w:val="22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left="291"/>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Borders>
              <w:left w:val="single" w:sz="8" w:color="CCEEFF"/>
            </w:tcBorders>
            <w:shd w:val="clear" w:color="auto" w:fill="CCEEFF"/>
          </w:tcPr>
          <w:p>
            <w:pPr>
              <w:spacing w:after="0"/>
              <w:rPr>
                <w:sz w:val="19"/>
                <w:szCs w:val="19"/>
                <w:color w:val="auto"/>
              </w:rPr>
            </w:pPr>
          </w:p>
        </w:tc>
      </w:tr>
      <w:tr>
        <w:trPr>
          <w:trHeight w:val="227"/>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left="291"/>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auto"/>
            </w:tcBorders>
          </w:tcPr>
          <w:p>
            <w:pPr>
              <w:spacing w:after="0"/>
              <w:rPr>
                <w:sz w:val="19"/>
                <w:szCs w:val="19"/>
                <w:color w:val="auto"/>
              </w:rPr>
            </w:pPr>
          </w:p>
        </w:tc>
      </w:tr>
      <w:tr>
        <w:trPr>
          <w:trHeight w:val="245"/>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2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center"/>
              <w:ind w:left="291"/>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tcBorders>
              <w:left w:val="single" w:sz="8" w:color="CCEEFF"/>
              <w:bottom w:val="single" w:sz="8" w:color="auto"/>
            </w:tcBorders>
            <w:shd w:val="clear" w:color="auto" w:fill="CCEEFF"/>
          </w:tcPr>
          <w:p>
            <w:pPr>
              <w:spacing w:after="0"/>
              <w:rPr>
                <w:sz w:val="20"/>
                <w:szCs w:val="20"/>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The Company has a noncontrolling interest put related to its Ontario subsidiary that has been classified as mezzanine equity in the Company’s condensed consolidated balance sheets. The noncontrolling interest put is valued at its contractually determined value, which approximates fair value.</w:t>
      </w:r>
    </w:p>
    <w:p>
      <w:pPr>
        <w:spacing w:after="0" w:line="70"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7"/>
          <w:szCs w:val="17"/>
          <w:color w:val="auto"/>
        </w:rPr>
        <w:t>The Company offers certain employees the opportunity to participate in an employee-funded deferred compensation plan (DCP). A participant's deferrals are allocated by the participant to one or more of multiple measurement funds, which are indexed to externally managed funds. From time to time, to offset the cost of the growth in the participant's investment accounts, the Company purchases life insurance policies, with the Company named as beneficiary of the policies. Changes in the cash surrender value of the life insurance policies are based upon earnings and changes in the value of the underlying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investments, which are typically invested in a similar manner to the participant's allocations. Changes in the fair value of the DCP obligation are derived using quoted prices in active markets based on the market price per unit multiplied by the number of units. The cash surrender value and the DCP obligations are classified within Level 2 because their inputs are derived principally from observable market data by correlation to the hypothetical investments.</w:t>
      </w:r>
    </w:p>
    <w:p>
      <w:pPr>
        <w:spacing w:after="0" w:line="7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Contingent accrued earn-out business acquisition consideration liabilities are measured at fair value using Level 3 valuations. These contingent consideration liabilities were recorded at fair value on the acquisition date and are remeasured quarterly based on the then assessed fair value and adjusted if necessary. The increases or decreases in the fair value of contingent consideration payable can result from changes in anticipated revenue levels and changes in assumed discount periods and rates. As the fair value measure is based on significant inputs that are not observable in the market, they are categorized as Level 3.</w:t>
      </w:r>
    </w:p>
    <w:p>
      <w:pPr>
        <w:spacing w:after="0" w:line="9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income taxes receivable, and accounts payable are considered to be representative of their respective fair values due to their short-term nature. The fair market value of the senior notes, based on market pricing, was approximately $4,829.2 and $4,850.4 as of March 31, 2024, and December 31, 2023, respectively. The Company's note and debt instruments are classified as Level 2 instruments, as the fair market values of these instruments are determined using other observable inputs.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Cross-Currency Swap</w:t>
      </w:r>
    </w:p>
    <w:p>
      <w:pPr>
        <w:spacing w:after="0" w:line="142"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During the fourth quarter of 2018, the Company entered into U.S. Dollar (USD) to Swiss Franc cross-currency swap agreements with an aggregate notional value of $600.0. During the second quarter of 2022, the Company terminated $300.0 of those cross-currency swap agreements and entered into new USD to Swiss Franc cross-currency swap agreements with an aggregate notional value of $300.0 that mature in 2024. During the first quarter of 2024, the Company terminated its 2024 and 2025 USD to Swiss Franc cross currency swaps and entered into two new swaps, each with a notional value of $300.0 and maturity dates of 2031 and 2034, respectively. These cross currency swaps are included in accrued expenses and other and other long-term liabilities as appropriate with an aggregate fair value of $92.0 and $109.0 as of March 31, 2024 and December 31, 2023, respectively. Changes in the fair value of the cross-currency swaps are charged or credited through accumulated other comprehensive income in the Consolidated Balance Sheet until the hedged item is recognized in earnings. The cumulative amount of the fair value hedging adjustments are recognized as currency translation within the Consolidated Statement of Comprehensive Earnings.</w:t>
      </w:r>
    </w:p>
    <w:p>
      <w:pPr>
        <w:spacing w:after="0" w:line="97" w:lineRule="exact"/>
        <w:rPr>
          <w:sz w:val="20"/>
          <w:szCs w:val="20"/>
          <w:color w:val="auto"/>
        </w:rPr>
      </w:pPr>
    </w:p>
    <w:p>
      <w:pPr>
        <w:ind w:left="440" w:hanging="433"/>
        <w:spacing w:after="0"/>
        <w:tabs>
          <w:tab w:leader="none" w:pos="4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CASH FLOW INFORMATION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p>
        </w:tc>
        <w:tc>
          <w:tcPr>
            <w:tcW w:w="3000" w:type="dxa"/>
            <w:vAlign w:val="bottom"/>
            <w:tcBorders>
              <w:bottom w:val="single" w:sz="8" w:color="auto"/>
            </w:tcBorders>
            <w:gridSpan w:val="4"/>
          </w:tcPr>
          <w:p>
            <w:pPr>
              <w:jc w:val="right"/>
              <w:ind w:right="11"/>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500" w:type="dxa"/>
            <w:vAlign w:val="bottom"/>
            <w:tcBorders>
              <w:bottom w:val="single" w:sz="8" w:color="auto"/>
            </w:tcBorders>
          </w:tcPr>
          <w:p>
            <w:pPr>
              <w:spacing w:after="0"/>
              <w:rPr>
                <w:sz w:val="20"/>
                <w:szCs w:val="20"/>
                <w:color w:val="auto"/>
              </w:rPr>
            </w:pPr>
          </w:p>
        </w:tc>
      </w:tr>
      <w:tr>
        <w:trPr>
          <w:trHeight w:val="220"/>
        </w:trPr>
        <w:tc>
          <w:tcPr>
            <w:tcW w:w="77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auto"/>
            </w:tcBorders>
          </w:tcPr>
          <w:p>
            <w:pPr>
              <w:spacing w:after="0"/>
              <w:rPr>
                <w:sz w:val="19"/>
                <w:szCs w:val="19"/>
                <w:color w:val="auto"/>
              </w:rPr>
            </w:pPr>
          </w:p>
        </w:tc>
      </w:tr>
      <w:tr>
        <w:trPr>
          <w:trHeight w:val="22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during period for:</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2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140" w:type="dxa"/>
            <w:vAlign w:val="bottom"/>
          </w:tcPr>
          <w:p>
            <w:pPr>
              <w:jc w:val="right"/>
              <w:ind w:right="93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19"/>
                <w:szCs w:val="19"/>
                <w:color w:val="auto"/>
              </w:rPr>
            </w:pPr>
          </w:p>
        </w:tc>
        <w:tc>
          <w:tcPr>
            <w:tcW w:w="120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70.5</w:t>
            </w:r>
          </w:p>
        </w:tc>
      </w:tr>
      <w:tr>
        <w:trPr>
          <w:trHeight w:val="22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28.4</w:t>
            </w:r>
          </w:p>
        </w:tc>
      </w:tr>
      <w:tr>
        <w:trPr>
          <w:trHeight w:val="22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Disclosure of non-cash financing and investing activities:</w:t>
            </w: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accrued property, plant, and equipment</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8"/>
              </w:rPr>
              <w:t>(3.9)</w:t>
            </w:r>
          </w:p>
        </w:tc>
      </w:tr>
    </w:tbl>
    <w:p>
      <w:pPr>
        <w:spacing w:after="0" w:line="200" w:lineRule="exact"/>
        <w:rPr>
          <w:sz w:val="20"/>
          <w:szCs w:val="20"/>
          <w:color w:val="auto"/>
        </w:rPr>
      </w:pPr>
    </w:p>
    <w:p>
      <w:pPr>
        <w:spacing w:after="0" w:line="206" w:lineRule="exact"/>
        <w:rPr>
          <w:sz w:val="20"/>
          <w:szCs w:val="20"/>
          <w:color w:val="auto"/>
        </w:rPr>
      </w:pPr>
    </w:p>
    <w:p>
      <w:pPr>
        <w:ind w:left="460" w:hanging="453"/>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 INFORMATION</w:t>
      </w:r>
    </w:p>
    <w:p>
      <w:pPr>
        <w:spacing w:after="0" w:line="14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following table is a summary of segment information for the three months ended March 31, 2024, and 2023. The “management approach” has been used to present the following segment information. This approach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Company’s chief executive officer has been identified as the CODM.</w:t>
      </w:r>
    </w:p>
    <w:p>
      <w:pPr>
        <w:spacing w:after="0" w:line="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prior period has been conformed to the new segment presentation as a result of the spin-off of Fortrea.</w:t>
      </w:r>
    </w:p>
    <w:p>
      <w:pPr>
        <w:spacing w:after="0" w:line="12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Segment asset information is not presented because it is not used by the CODM at the segment level. The Corporate costs not allocated to segments include the costs of centralized functions, other charges such as acquisition expenses, spin-off costs, remaining unallocated costs of the CDCS business, and COVID-19 related costs unrelated to the segment. Centralized functions include corporate governance, executive management and related human resources, finance, legal, risk management, and information technology functions.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00" w:type="dxa"/>
            <w:vAlign w:val="bottom"/>
          </w:tcPr>
          <w:p>
            <w:pPr>
              <w:spacing w:after="0"/>
              <w:rPr>
                <w:sz w:val="19"/>
                <w:szCs w:val="19"/>
                <w:color w:val="auto"/>
              </w:rPr>
            </w:pPr>
          </w:p>
        </w:tc>
        <w:tc>
          <w:tcPr>
            <w:tcW w:w="2640" w:type="dxa"/>
            <w:vAlign w:val="bottom"/>
            <w:gridSpan w:val="5"/>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40"/>
        </w:trPr>
        <w:tc>
          <w:tcPr>
            <w:tcW w:w="8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7"/>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2,382.8</w:t>
            </w:r>
          </w:p>
        </w:tc>
      </w:tr>
      <w:tr>
        <w:trPr>
          <w:trHeight w:val="227"/>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w:t>
            </w:r>
          </w:p>
        </w:tc>
      </w:tr>
      <w:tr>
        <w:trPr>
          <w:trHeight w:val="227"/>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eliminations and other</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3,037.8</w:t>
            </w:r>
          </w:p>
        </w:tc>
      </w:tr>
      <w:tr>
        <w:trPr>
          <w:trHeight w:val="193"/>
        </w:trPr>
        <w:tc>
          <w:tcPr>
            <w:tcW w:w="8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27"/>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7"/>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segment operating income</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r>
      <w:tr>
        <w:trPr>
          <w:trHeight w:val="227"/>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BLS segment operating income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2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w:t>
            </w:r>
          </w:p>
        </w:tc>
      </w:tr>
      <w:tr>
        <w:trPr>
          <w:trHeight w:val="227"/>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27"/>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27"/>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7"/>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w:t>
            </w:r>
          </w:p>
        </w:tc>
      </w:tr>
      <w:tr>
        <w:trPr>
          <w:trHeight w:val="20"/>
        </w:trPr>
        <w:tc>
          <w:tcPr>
            <w:tcW w:w="8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4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On April 24, 2024, the Company announced that it has been selected as the winning bidder for select assets of Invitae, a leading medical genetics company. Before the transaction can proceed, the court overseeing the process must issue an approval order following a hearing currently scheduled for May 6, 2024. The purchase price for the transaction is $239.0. The transaction is anticipated to close in third quarter of 2024, subject to customary closing conditions for a transaction of this type, including applicable regulatory approvals. Through this transaction, the Company would acquire assets being auctioned through a voluntary bankruptcy protection process.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7" w:lineRule="exact"/>
        <w:rPr>
          <w:sz w:val="20"/>
          <w:szCs w:val="20"/>
          <w:color w:val="auto"/>
        </w:rPr>
      </w:pPr>
    </w:p>
    <w:p>
      <w:pPr>
        <w:jc w:val="both"/>
        <w:ind w:firstLine="280"/>
        <w:spacing w:after="0" w:line="248" w:lineRule="auto"/>
        <w:rPr>
          <w:sz w:val="20"/>
          <w:szCs w:val="20"/>
          <w:color w:val="auto"/>
        </w:rPr>
      </w:pPr>
      <w:r>
        <w:rPr>
          <w:rFonts w:ascii="Times New Roman" w:cs="Times New Roman" w:eastAsia="Times New Roman" w:hAnsi="Times New Roman"/>
          <w:sz w:val="18"/>
          <w:szCs w:val="18"/>
          <w:color w:val="auto"/>
        </w:rPr>
        <w:t>The Company has made in this report, and from time to time may otherwise make in its public filings, press releases, and discussions by Company management, forward-looking statements concerning the Company’s operations, performance, and financial condition, as well as its strategic objectives. Some of these forward-looking statements relate to future events and expectations and can be identified by the use of forward-looking words such as “believes”, “expects”, “may”, “will”, “should”, “seeks”, “approximately”, “intends”, “plans”, “estimates”, or “anticipates” or the negative of those words or other comparable terminology. Such forward-looking statements speak only as of the time they are made and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including in the “Summary of Material Risks” and “Risk Factors” section of the Annual Report on Form 10-K, and in the Company’s other public filings, press releases, and discussions with Company management, including:</w:t>
      </w:r>
    </w:p>
    <w:p>
      <w:pPr>
        <w:spacing w:after="0" w:line="188" w:lineRule="exact"/>
        <w:rPr>
          <w:sz w:val="20"/>
          <w:szCs w:val="20"/>
          <w:color w:val="auto"/>
        </w:rPr>
      </w:pPr>
    </w:p>
    <w:p>
      <w:pPr>
        <w:jc w:val="both"/>
        <w:ind w:left="640" w:hanging="553"/>
        <w:spacing w:after="0" w:line="257"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and third-party payer regulations, reimbursement, or coverage policies or other future reforms in the U.S. healthcare system (or in the interpretation of current regulations), new insurance or payment systems, including state, regional or private insurance cooperatives (e.g., health insurance exchanges) affecting governmental and third-party coverage or reimbursement for commercial laboratory testing, including the impact of the U.S. Protecting Access to Medicare Act of 2014 (PAMA);</w:t>
      </w:r>
    </w:p>
    <w:p>
      <w:pPr>
        <w:spacing w:after="0" w:line="72" w:lineRule="exact"/>
        <w:rPr>
          <w:rFonts w:ascii="Times New Roman" w:cs="Times New Roman" w:eastAsia="Times New Roman" w:hAnsi="Times New Roman"/>
          <w:sz w:val="18"/>
          <w:szCs w:val="18"/>
          <w:color w:val="auto"/>
        </w:rPr>
      </w:pPr>
    </w:p>
    <w:p>
      <w:pPr>
        <w:jc w:val="both"/>
        <w:ind w:left="640" w:hanging="553"/>
        <w:spacing w:after="0" w:line="284" w:lineRule="auto"/>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monetary damages, fines, penalties, assessments, refunds, repayments, damage to the Company’s reputation, unanticipated compliance expenditures, and/or exclusion or debarment from or ineligibility to participate in government programs, among other adverse consequences, arising from enforcement of anti-fraud and abuse laws and other laws applicable to the Company in jurisdictions in which the Company conducts business;</w:t>
      </w:r>
    </w:p>
    <w:p>
      <w:pPr>
        <w:spacing w:after="0" w:line="52" w:lineRule="exact"/>
        <w:rPr>
          <w:rFonts w:ascii="Times New Roman" w:cs="Times New Roman" w:eastAsia="Times New Roman" w:hAnsi="Times New Roman"/>
          <w:sz w:val="17"/>
          <w:szCs w:val="17"/>
          <w:color w:val="auto"/>
        </w:rPr>
      </w:pPr>
    </w:p>
    <w:p>
      <w:pPr>
        <w:jc w:val="both"/>
        <w:ind w:left="640" w:hanging="553"/>
        <w:spacing w:after="0" w:line="257"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fines, penalties, costs, unanticipated compliance expenditures, and/or damage to the Company’s reputation arising from the failure to comply with applicable privacy and security laws and regulations, including the U.S. Health Insurance Portability and Accountability Act of 1996, the U.S. Health Information Technology for Economic and Clinical Health Act, the European Union's General Data Protection Regulation and similar laws and regulations in jurisdictions in which the Company conducts business;</w:t>
      </w:r>
    </w:p>
    <w:p>
      <w:pPr>
        <w:spacing w:after="0" w:line="72" w:lineRule="exact"/>
        <w:rPr>
          <w:rFonts w:ascii="Times New Roman" w:cs="Times New Roman" w:eastAsia="Times New Roman" w:hAnsi="Times New Roman"/>
          <w:sz w:val="18"/>
          <w:szCs w:val="18"/>
          <w:color w:val="auto"/>
        </w:rPr>
      </w:pPr>
    </w:p>
    <w:p>
      <w:pPr>
        <w:jc w:val="both"/>
        <w:ind w:left="640" w:hanging="553"/>
        <w:spacing w:after="0" w:line="254"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suspension of a license or imposition of fines or penalties under, or future changes in, or interpretations of applicable licensing laws or regulations regarding the operation of clinical laboratories, the development and commercialization of laboratory-developed tests (LDTs), and the delivery of clinical laboratory test results, including, but not limited to, the U.S. Clinical Laboratory Improvement Act of 1967, the U.S. Clinical Laboratory Improvement Amendments of 1988, the European Union In Vitro Diagnostics Regulation, and similar laws and regulations in jurisdictions in which the Company conducts business;</w:t>
      </w:r>
    </w:p>
    <w:p>
      <w:pPr>
        <w:spacing w:after="0" w:line="77" w:lineRule="exact"/>
        <w:rPr>
          <w:rFonts w:ascii="Times New Roman" w:cs="Times New Roman" w:eastAsia="Times New Roman" w:hAnsi="Times New Roman"/>
          <w:sz w:val="18"/>
          <w:szCs w:val="18"/>
          <w:color w:val="auto"/>
        </w:rPr>
      </w:pPr>
    </w:p>
    <w:p>
      <w:pPr>
        <w:jc w:val="both"/>
        <w:ind w:left="640" w:hanging="553"/>
        <w:spacing w:after="0" w:line="261"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or loss of license arising from the failure to comply with applicable occupational and workplace safety laws and regulations, including the U.S. Occupational Safety and Health Administration requirements, the U.S. Needlestick Safety and Prevention Act, and similar laws and regulations in jurisdictions in which the Company conducts business;</w:t>
      </w:r>
    </w:p>
    <w:p>
      <w:pPr>
        <w:spacing w:after="0" w:line="71" w:lineRule="exact"/>
        <w:rPr>
          <w:rFonts w:ascii="Times New Roman" w:cs="Times New Roman" w:eastAsia="Times New Roman" w:hAnsi="Times New Roman"/>
          <w:sz w:val="18"/>
          <w:szCs w:val="18"/>
          <w:color w:val="auto"/>
        </w:rPr>
      </w:pPr>
    </w:p>
    <w:p>
      <w:pPr>
        <w:jc w:val="both"/>
        <w:ind w:left="640" w:hanging="553"/>
        <w:spacing w:after="0" w:line="261"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unanticipated compliance expenditures, suspension of manufacturing, enforcement actions, damage to the Company's reputation, injunctions, or criminal prosecution arising from failure to maintain compliance with current good manufacturing practice regulations and similar requirements of various regulatory agencies in jurisdictions in which the Company conducts business;</w:t>
      </w:r>
    </w:p>
    <w:p>
      <w:pPr>
        <w:spacing w:after="0" w:line="71" w:lineRule="exact"/>
        <w:rPr>
          <w:rFonts w:ascii="Times New Roman" w:cs="Times New Roman" w:eastAsia="Times New Roman" w:hAnsi="Times New Roman"/>
          <w:sz w:val="18"/>
          <w:szCs w:val="18"/>
          <w:color w:val="auto"/>
        </w:rPr>
      </w:pPr>
    </w:p>
    <w:p>
      <w:pPr>
        <w:jc w:val="both"/>
        <w:ind w:left="640" w:hanging="553"/>
        <w:spacing w:after="0" w:line="261"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or other remedies, including fines, unanticipated compliance expenditures, enforcement actions, injunctions or criminal prosecution arising from failure to comply with the Animal Welfare Act or applicable national, state and local laws and regulations in jurisdictions in which the Company conducts business;</w:t>
      </w:r>
    </w:p>
    <w:p>
      <w:pPr>
        <w:spacing w:after="0" w:line="71" w:lineRule="exact"/>
        <w:rPr>
          <w:rFonts w:ascii="Times New Roman" w:cs="Times New Roman" w:eastAsia="Times New Roman" w:hAnsi="Times New Roman"/>
          <w:sz w:val="18"/>
          <w:szCs w:val="18"/>
          <w:color w:val="auto"/>
        </w:rPr>
      </w:pPr>
    </w:p>
    <w:p>
      <w:pPr>
        <w:ind w:left="640" w:hanging="553"/>
        <w:spacing w:after="0" w:line="276"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testing guidelines or recommendations by government agencies, medical specialty societies, and other authoritative bodies affecting the development, validation, approval, clearance, commercialization, or utilization of laboratory tests;</w:t>
      </w:r>
    </w:p>
    <w:p>
      <w:pPr>
        <w:spacing w:after="0" w:line="57" w:lineRule="exact"/>
        <w:rPr>
          <w:rFonts w:ascii="Times New Roman" w:cs="Times New Roman" w:eastAsia="Times New Roman" w:hAnsi="Times New Roman"/>
          <w:sz w:val="18"/>
          <w:szCs w:val="18"/>
          <w:color w:val="auto"/>
        </w:rPr>
      </w:pPr>
    </w:p>
    <w:p>
      <w:pPr>
        <w:jc w:val="both"/>
        <w:ind w:left="640" w:hanging="553"/>
        <w:spacing w:after="0" w:line="254"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government regulations or policies affecting the approval, availability of, and the selling and marketing of diagnostic tests, including LDTs, drug development, or the conduct of drug development and medical device and diagnostic studies and trials, including regulations and policies of the U.S. Food and Drug Administration, the U.S. Department of Agriculture, the Medicine and Healthcare products Regulatory Agency in the United Kingdom, the National Medical Products Administration in China, the Pharmaceutical and Medical Devices Agency in Japan,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40"/>
        <w:spacing w:after="0" w:line="276" w:lineRule="auto"/>
        <w:rPr>
          <w:sz w:val="20"/>
          <w:szCs w:val="20"/>
          <w:color w:val="auto"/>
        </w:rPr>
      </w:pPr>
      <w:r>
        <w:rPr>
          <w:rFonts w:ascii="Times New Roman" w:cs="Times New Roman" w:eastAsia="Times New Roman" w:hAnsi="Times New Roman"/>
          <w:sz w:val="18"/>
          <w:szCs w:val="18"/>
          <w:color w:val="auto"/>
        </w:rPr>
        <w:t>European Medicines Agency in the European Union, and similar regulations and policies of agencies in other jurisdictions in which the Company conducts business;</w:t>
      </w:r>
    </w:p>
    <w:p>
      <w:pPr>
        <w:spacing w:after="0" w:line="57" w:lineRule="exact"/>
        <w:rPr>
          <w:sz w:val="20"/>
          <w:szCs w:val="20"/>
          <w:color w:val="auto"/>
        </w:rPr>
      </w:pPr>
    </w:p>
    <w:p>
      <w:pPr>
        <w:jc w:val="both"/>
        <w:ind w:left="640" w:hanging="553"/>
        <w:spacing w:after="0" w:line="261"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reimbursement pertaining to the pharmaceutical, biotechnology and medical device and diagnostic industries, changes in reimbursement of pharmaceutical products, or reduced spending on research and development by pharmaceutical, biotechnology and medical device and diagnostic customers;</w:t>
      </w:r>
    </w:p>
    <w:p>
      <w:pPr>
        <w:spacing w:after="0" w:line="71"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result from the failure to comply with corporate governance requirements;</w:t>
      </w:r>
    </w:p>
    <w:p>
      <w:pPr>
        <w:spacing w:after="0" w:line="112" w:lineRule="exact"/>
        <w:rPr>
          <w:rFonts w:ascii="Times New Roman" w:cs="Times New Roman" w:eastAsia="Times New Roman" w:hAnsi="Times New Roman"/>
          <w:sz w:val="18"/>
          <w:szCs w:val="18"/>
          <w:color w:val="auto"/>
        </w:rPr>
      </w:pPr>
    </w:p>
    <w:p>
      <w:pPr>
        <w:jc w:val="both"/>
        <w:ind w:left="640" w:right="20" w:hanging="553"/>
        <w:spacing w:after="0" w:line="261"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including price competition, potential reduction in rates in response to price transparency initiatives and consumerism, competitive bidding and/or changes or reductions to fee schedules, and competition from companies that do not comply with existing applicable laws or regulations or otherwise disregard compliance standards in the industry;</w:t>
      </w:r>
    </w:p>
    <w:p>
      <w:pPr>
        <w:spacing w:after="0" w:line="71" w:lineRule="exact"/>
        <w:rPr>
          <w:rFonts w:ascii="Times New Roman" w:cs="Times New Roman" w:eastAsia="Times New Roman" w:hAnsi="Times New Roman"/>
          <w:sz w:val="18"/>
          <w:szCs w:val="18"/>
          <w:color w:val="auto"/>
        </w:rPr>
      </w:pPr>
    </w:p>
    <w:p>
      <w:pPr>
        <w:jc w:val="both"/>
        <w:ind w:left="640" w:hanging="553"/>
        <w:spacing w:after="0" w:line="25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payer mix or payment structure or process, including insurance carrier participation in health insurance exchanges, an increase in capitated reimbursement mechanisms, the impact of clearinghouses on the claims reimbursement process, the impact of a shift to consumer-driven health plans or plans carrying an increased level of member cost-sharing, and adverse changes in payer reimbursement or payer coverage policies (implemented directly or through a third-party utilization management organization) related to specific diagnostic tests, categories of testing or testing methodologies;</w:t>
      </w:r>
    </w:p>
    <w:p>
      <w:pPr>
        <w:spacing w:after="0" w:line="77" w:lineRule="exact"/>
        <w:rPr>
          <w:rFonts w:ascii="Times New Roman" w:cs="Times New Roman" w:eastAsia="Times New Roman" w:hAnsi="Times New Roman"/>
          <w:sz w:val="18"/>
          <w:szCs w:val="18"/>
          <w:color w:val="auto"/>
        </w:rPr>
      </w:pPr>
    </w:p>
    <w:p>
      <w:pPr>
        <w:jc w:val="both"/>
        <w:ind w:left="640" w:hanging="553"/>
        <w:spacing w:after="0" w:line="261"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or attract business from managed care organizations (MCOs) as a result of changes in business models, including risk based or network approaches, out-sourced laboratory network management or utilization management companies, or other changes in strategy or business models by MCOs;</w:t>
      </w:r>
    </w:p>
    <w:p>
      <w:pPr>
        <w:spacing w:after="0" w:line="71"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and retain new customers, an unfavorable change in the mix of testing services ordered, or a reduction in tests ordered, specimens submitted, or services requested by existing customers, and delays in payments from customers;</w:t>
      </w:r>
    </w:p>
    <w:p>
      <w:pPr>
        <w:spacing w:after="0" w:line="57"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and convergence of customers, competitors, and suppliers, potentially causing material shifts in insourcing, utilization, pricing, reimbursement and supply chain access;</w:t>
      </w:r>
    </w:p>
    <w:p>
      <w:pPr>
        <w:spacing w:after="0" w:line="57"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invest in or effectively develop and deploy new systems, system modifications or enhancements required in response to evolving market, business, and customer trends and needs;</w:t>
      </w:r>
    </w:p>
    <w:p>
      <w:pPr>
        <w:spacing w:after="0" w:line="57"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choosing to insource services that are or could be purchased from the Company;</w:t>
      </w:r>
    </w:p>
    <w:p>
      <w:pPr>
        <w:spacing w:after="0" w:line="112" w:lineRule="exact"/>
        <w:rPr>
          <w:rFonts w:ascii="Times New Roman" w:cs="Times New Roman" w:eastAsia="Times New Roman" w:hAnsi="Times New Roman"/>
          <w:sz w:val="18"/>
          <w:szCs w:val="18"/>
          <w:color w:val="auto"/>
        </w:rPr>
      </w:pPr>
    </w:p>
    <w:p>
      <w:pPr>
        <w:ind w:left="640" w:right="20" w:hanging="553"/>
        <w:spacing w:after="0" w:line="276"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successfully close and effectively integrate and/or manage acquisitions of new businesses or failure to maintain key customers and/or employees as a result of uncertainty surrounding the integration of acquisitions;</w:t>
      </w:r>
    </w:p>
    <w:p>
      <w:pPr>
        <w:spacing w:after="0" w:line="57"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the expected benefits and synergies of newly-acquired businesses, including due to items not discovered in the due diligence process, and the impact on the Company’s cash position, levels of indebtedness and stock price;</w:t>
      </w:r>
    </w:p>
    <w:p>
      <w:pPr>
        <w:spacing w:after="0" w:line="57"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loss, delay, reduction in scope or increased costs of contracts, including large contracts and multiple contracts;</w:t>
      </w:r>
    </w:p>
    <w:p>
      <w:pPr>
        <w:spacing w:after="0" w:line="112"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arising from errors or omissions in the performance of testing and other services or other contractual arrangements;</w:t>
      </w:r>
    </w:p>
    <w:p>
      <w:pPr>
        <w:spacing w:after="0" w:line="112"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disruption in the provision or transportation of services or supplies provided by third parties; or their termination for failure to follow the Company’s performance standards and requirements;</w:t>
      </w:r>
    </w:p>
    <w:p>
      <w:pPr>
        <w:spacing w:after="0" w:line="57"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or disruption to the Company’s facilities;</w:t>
      </w:r>
    </w:p>
    <w:p>
      <w:pPr>
        <w:spacing w:after="0" w:line="112"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the Company’s reputation, loss of business, or other harm from acts of animal rights activists or potential harm and/or liability arising from animal research activities;</w:t>
      </w:r>
    </w:p>
    <w:p>
      <w:pPr>
        <w:spacing w:after="0" w:line="57"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 litigation matters;</w:t>
      </w:r>
    </w:p>
    <w:p>
      <w:pPr>
        <w:spacing w:after="0" w:line="112"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retain, and develop experienced and qualified personnel or the loss of significant personnel as a result of illness, increased competition for talent, wage growth, or other market factors beyond the Company’s control;</w:t>
      </w:r>
    </w:p>
    <w:p>
      <w:pPr>
        <w:spacing w:after="0" w:line="57"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or acquire licenses for new or improved technologies, such as point-of-care testing, mobile health technologies, and digital pathology, or potential use of new technologies by customers and/or consumers to perform their own tests;</w:t>
      </w:r>
    </w:p>
    <w:p>
      <w:pPr>
        <w:spacing w:after="0" w:line="57"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costs arising from the inability to commercialize newly licensed tests or technologies or to obtain appropriate coverage or reimbursement for such tests;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40" w:hanging="553"/>
        <w:spacing w:after="0" w:line="276"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maintain, and enforce intellectual property rights for protection of the Company’s products and services and defend against challenges to those rights;</w:t>
      </w:r>
    </w:p>
    <w:p>
      <w:pPr>
        <w:spacing w:after="0" w:line="57"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validity, and enforceability of patents and other proprietary rights held by third parties that may impact the Company’s ability to develop, perform, or market the Company's products or services or operate its business;</w:t>
      </w:r>
    </w:p>
    <w:p>
      <w:pPr>
        <w:spacing w:after="0" w:line="57" w:lineRule="exact"/>
        <w:rPr>
          <w:rFonts w:ascii="Times New Roman" w:cs="Times New Roman" w:eastAsia="Times New Roman" w:hAnsi="Times New Roman"/>
          <w:sz w:val="18"/>
          <w:szCs w:val="18"/>
          <w:color w:val="auto"/>
        </w:rPr>
      </w:pPr>
    </w:p>
    <w:p>
      <w:pPr>
        <w:jc w:val="both"/>
        <w:ind w:left="640" w:hanging="553"/>
        <w:spacing w:after="0" w:line="25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receivables impairment, delays in cash collection impacting days sales outstanding, supply chain disruptions or inventory obsolescence, increases in material cost or other operating costs, or other impacts on the business due to natural disasters, including adverse weather, fires and earthquakes; geopolitical crises, including terrorism and war; public health crises and disease epidemics and pandemics, including, but not limited to the continued impact of COVID-19; and other events beyond the Company’s control;</w:t>
      </w:r>
    </w:p>
    <w:p>
      <w:pPr>
        <w:spacing w:after="0" w:line="72"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discontinuation or recalls of existing testing products;</w:t>
      </w:r>
    </w:p>
    <w:p>
      <w:pPr>
        <w:spacing w:after="0" w:line="112" w:lineRule="exact"/>
        <w:rPr>
          <w:rFonts w:ascii="Times New Roman" w:cs="Times New Roman" w:eastAsia="Times New Roman" w:hAnsi="Times New Roman"/>
          <w:sz w:val="18"/>
          <w:szCs w:val="18"/>
          <w:color w:val="auto"/>
        </w:rPr>
      </w:pPr>
    </w:p>
    <w:p>
      <w:pPr>
        <w:jc w:val="both"/>
        <w:ind w:left="640" w:hanging="553"/>
        <w:spacing w:after="0" w:line="25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the Company’s information technology systems, including with respect to testing turnaround time and billing processes, the failure of the Company or its third-party suppliers and vendors to maintain the security of business information or systems or to protect against cybersecurity incidents such as denial of service attacks, malware, ransomware, and computer viruses, delays or failures in the development and implementation of the Company’s automation platforms, or adverse effects from the use of or regulation of artificial intelligence and machine learning tools, any of which could result in a negative effect on the Company’s performance of services, a loss of business or increased costs, damages to the Company’s reputation, significant litigation exposure, an inability to meet required financial reporting deadlines, or the failure to meet future regulatory or customer information technology, data security and connectivity requirements;</w:t>
      </w:r>
    </w:p>
    <w:p>
      <w:pPr>
        <w:spacing w:after="0" w:line="77"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increased costs, and other adverse effects on the Company’s operations due to the unionization of employees, union strikes, work stoppages, general labor unrest or failure to comply with labor or employment laws;</w:t>
      </w:r>
    </w:p>
    <w:p>
      <w:pPr>
        <w:spacing w:after="0" w:line="57" w:lineRule="exact"/>
        <w:rPr>
          <w:rFonts w:ascii="Times New Roman" w:cs="Times New Roman" w:eastAsia="Times New Roman" w:hAnsi="Times New Roman"/>
          <w:sz w:val="18"/>
          <w:szCs w:val="18"/>
          <w:color w:val="auto"/>
        </w:rPr>
      </w:pPr>
    </w:p>
    <w:p>
      <w:pPr>
        <w:jc w:val="both"/>
        <w:ind w:left="640" w:hanging="553"/>
        <w:spacing w:after="0" w:line="261"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Company’s days sales outstanding levels, cash collections (in light of increasing levels of patient responsibility), profitability and/or reimbursement arising from unfavorable changes in third-party payer policies, payment delays introduced by third-party utilization management organizations, and increasing levels of patient payment responsibility;</w:t>
      </w:r>
    </w:p>
    <w:p>
      <w:pPr>
        <w:spacing w:after="0" w:line="71"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on the Company’s revenues, cash collections, and the availability of credit for general liquidity or other financing needs arising from a significant deterioration in the economy or financial markets or in the Company's credit ratings by Standard &amp; Poor’s and/or Moody’s;</w:t>
      </w:r>
    </w:p>
    <w:p>
      <w:pPr>
        <w:spacing w:after="0" w:line="57"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expected capital structure for the Company, including failure to maintain the Company's investment grade rating, or leverage ratio covenants under its revolving credit facility;</w:t>
      </w:r>
    </w:p>
    <w:p>
      <w:pPr>
        <w:spacing w:after="0" w:line="57"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by foreign governments and foreign currency fluctuations;</w:t>
      </w:r>
    </w:p>
    <w:p>
      <w:pPr>
        <w:spacing w:after="0" w:line="112"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certain billing information from physicians, resulting in increased costs and complexity, a temporary disruption in receipts, and ongoing reductions in reimbursements and revenues;</w:t>
      </w:r>
    </w:p>
    <w:p>
      <w:pPr>
        <w:spacing w:after="0" w:line="57" w:lineRule="exact"/>
        <w:rPr>
          <w:rFonts w:ascii="Times New Roman" w:cs="Times New Roman" w:eastAsia="Times New Roman" w:hAnsi="Times New Roman"/>
          <w:sz w:val="18"/>
          <w:szCs w:val="18"/>
          <w:color w:val="auto"/>
        </w:rPr>
      </w:pPr>
    </w:p>
    <w:p>
      <w:pPr>
        <w:jc w:val="both"/>
        <w:ind w:left="640" w:hanging="553"/>
        <w:spacing w:after="0" w:line="261"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and risks associated with international operations, including, but not limited to, compliance with the U.S. Foreign Corrupt Practices Act (FCPA), the U.K. Bribery Act, other applicable anti-corruption laws and regulations, trade sanction laws and regulations, and economic, political, legal and other operational risks associated with foreign jurisdictions;</w:t>
      </w:r>
    </w:p>
    <w:p>
      <w:pPr>
        <w:spacing w:after="0" w:line="71"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expected efficiencies, benefits, and savings in connection with the Company’s business process improvement initiatives;</w:t>
      </w:r>
    </w:p>
    <w:p>
      <w:pPr>
        <w:spacing w:after="0" w:line="112"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or changes in their interpretation;</w:t>
      </w:r>
    </w:p>
    <w:p>
      <w:pPr>
        <w:spacing w:after="0" w:line="112"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global economic conditions and government and regulatory changes;</w:t>
      </w:r>
    </w:p>
    <w:p>
      <w:pPr>
        <w:spacing w:after="0" w:line="112" w:lineRule="exact"/>
        <w:rPr>
          <w:rFonts w:ascii="Times New Roman" w:cs="Times New Roman" w:eastAsia="Times New Roman" w:hAnsi="Times New Roman"/>
          <w:sz w:val="18"/>
          <w:szCs w:val="18"/>
          <w:color w:val="auto"/>
        </w:rPr>
      </w:pPr>
    </w:p>
    <w:p>
      <w:pPr>
        <w:jc w:val="both"/>
        <w:ind w:left="640" w:hanging="553"/>
        <w:spacing w:after="0" w:line="25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impacts and expected benefits and costs of the recently completed spin-off of Fortrea, including but not limited to factors that could adversely affect the Company’s ability to realize the expected benefits of the spin-off, the failure of the spin-off to qualify as a tax-free transaction for U.S. federal income tax purposes, and potential exposure to unexpected claims, liabilities, or costs under the Company’s agreements with Fortrea and/or otherwise in connection with the spin-off; and</w:t>
      </w:r>
    </w:p>
    <w:p>
      <w:pPr>
        <w:spacing w:after="0" w:line="86" w:lineRule="exact"/>
        <w:rPr>
          <w:rFonts w:ascii="Times New Roman" w:cs="Times New Roman" w:eastAsia="Times New Roman" w:hAnsi="Times New Roman"/>
          <w:sz w:val="18"/>
          <w:szCs w:val="18"/>
          <w:color w:val="auto"/>
        </w:rPr>
      </w:pPr>
    </w:p>
    <w:p>
      <w:pPr>
        <w:jc w:val="both"/>
        <w:ind w:left="640" w:hanging="553"/>
        <w:spacing w:after="0" w:line="261"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 to the completion, timing, and expected benefits of the planned holding company reorganization (Reorganization), including, but not limited to the effect of the announcement of the Reorganization on the company's business generally, market reaction to the announcement, and unexpected issues that may arise in the continued planning for the Reorganization.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240"/>
        <w:spacing w:after="0" w:line="306" w:lineRule="auto"/>
        <w:rPr>
          <w:sz w:val="20"/>
          <w:szCs w:val="20"/>
          <w:color w:val="auto"/>
        </w:rPr>
      </w:pPr>
      <w:r>
        <w:rPr>
          <w:rFonts w:ascii="Times New Roman" w:cs="Times New Roman" w:eastAsia="Times New Roman" w:hAnsi="Times New Roman"/>
          <w:sz w:val="17"/>
          <w:szCs w:val="17"/>
          <w:color w:val="auto"/>
        </w:rPr>
        <w:t>Except as may be required by applicable law, the Company undertakes no obligation to publicly update or revise any forward-looking statements, whether as a result of new information, future events or otherwise. Given these uncertainties, one should not put undue reliance on any forward-looking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of Fortrea Holdings Inc.</w:t>
      </w:r>
    </w:p>
    <w:p>
      <w:pPr>
        <w:spacing w:after="0" w:line="1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On June 30, 2023, Labcorp completed the previously announced separation of Fortrea from the Company.</w:t>
      </w:r>
    </w:p>
    <w:p>
      <w:pPr>
        <w:spacing w:after="0" w:line="126" w:lineRule="exact"/>
        <w:rPr>
          <w:sz w:val="20"/>
          <w:szCs w:val="20"/>
          <w:color w:val="auto"/>
        </w:rPr>
      </w:pPr>
    </w:p>
    <w:p>
      <w:pPr>
        <w:jc w:val="both"/>
        <w:ind w:firstLine="280"/>
        <w:spacing w:after="0" w:line="276" w:lineRule="auto"/>
        <w:rPr>
          <w:sz w:val="20"/>
          <w:szCs w:val="20"/>
          <w:color w:val="auto"/>
        </w:rPr>
      </w:pPr>
      <w:r>
        <w:rPr>
          <w:rFonts w:ascii="Times New Roman" w:cs="Times New Roman" w:eastAsia="Times New Roman" w:hAnsi="Times New Roman"/>
          <w:sz w:val="18"/>
          <w:szCs w:val="18"/>
          <w:color w:val="auto"/>
        </w:rPr>
        <w:t>All historical operating results of Fortrea are presented as Discontinued Operations, net of tax, in the consolidated statement of operations. The spin-off is expected to be treated as tax-free for the Company and its shareholders for U.S. federal income tax purposes.</w:t>
      </w:r>
    </w:p>
    <w:p>
      <w:pPr>
        <w:spacing w:after="0" w:line="84" w:lineRule="exact"/>
        <w:rPr>
          <w:sz w:val="20"/>
          <w:szCs w:val="20"/>
          <w:color w:val="auto"/>
        </w:rPr>
      </w:pPr>
    </w:p>
    <w:p>
      <w:pPr>
        <w:jc w:val="both"/>
        <w:ind w:firstLine="280"/>
        <w:spacing w:after="0" w:line="306" w:lineRule="auto"/>
        <w:rPr>
          <w:sz w:val="20"/>
          <w:szCs w:val="20"/>
          <w:color w:val="auto"/>
        </w:rPr>
      </w:pPr>
      <w:r>
        <w:rPr>
          <w:rFonts w:ascii="Times New Roman" w:cs="Times New Roman" w:eastAsia="Times New Roman" w:hAnsi="Times New Roman"/>
          <w:sz w:val="17"/>
          <w:szCs w:val="17"/>
          <w:color w:val="auto"/>
        </w:rPr>
        <w:t>As a result of the separation of Fortrea, the Company recast segment results to exclude the historical results of the CDCS business for all periods presented. The remaining operations of the previously reported Drug Development segment have been renamed the Biopharma Laboratory Services segment.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(dollars in millions, except per share data)</w:t>
      </w:r>
    </w:p>
    <w:p>
      <w:pPr>
        <w:spacing w:after="0" w:line="12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Revenues for the three months ended March 31, 2024, were $3,176.6, an increase of 4.6% from $3,037.8 during the three months ended March 31, 2023. The increase was due to organic revenue of 2.3%, acquisitions, net of divestitures, of 1.8%, and favorable foreign currency translation of 0.5%. The 2.3% increase in organic revenue was driven by a 4.2% increase in the company's organic Base Business, partially offset by a 1.9% decrease in COVID-19 PCR testing (COVID-19 Testing). Base Business includes Labcorp's operations except for COVID-19 Testing.</w:t>
      </w:r>
    </w:p>
    <w:p>
      <w:pPr>
        <w:spacing w:after="0" w:line="1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Company defines organic growth as the increase in revenue excluding the year-over-year impact of acquisitions, divestitures, and currency.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and divestiture impact is considered for a twelve month period following the close of each transaction.</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(dollars in millions)</w:t>
      </w:r>
    </w:p>
    <w:p>
      <w:pPr>
        <w:spacing w:after="0" w:line="244" w:lineRule="exact"/>
        <w:rPr>
          <w:sz w:val="20"/>
          <w:szCs w:val="20"/>
          <w:color w:val="auto"/>
        </w:rPr>
      </w:pPr>
    </w:p>
    <w:p>
      <w:pPr>
        <w:ind w:right="4680"/>
        <w:spacing w:after="0" w:line="3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Three months ended March 31, 2024, compared with three months ended March 31, 2023 </w:t>
      </w:r>
      <w:r>
        <w:rPr>
          <w:rFonts w:ascii="Times New Roman" w:cs="Times New Roman" w:eastAsia="Times New Roman" w:hAnsi="Times New Roman"/>
          <w:sz w:val="18"/>
          <w:szCs w:val="18"/>
          <w:b w:val="1"/>
          <w:bCs w:val="1"/>
          <w:u w:val="single" w:color="auto"/>
          <w:color w:val="auto"/>
        </w:rPr>
        <w:t>Revenues</w:t>
      </w:r>
    </w:p>
    <w:tbl>
      <w:tblPr>
        <w:tblLayout w:type="fixed"/>
        <w:tblInd w:w="4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3340" w:type="dxa"/>
            <w:vAlign w:val="bottom"/>
            <w:tcBorders>
              <w:bottom w:val="single" w:sz="8" w:color="auto"/>
            </w:tcBorders>
            <w:gridSpan w:val="5"/>
          </w:tcPr>
          <w:p>
            <w:pPr>
              <w:jc w:val="right"/>
              <w:ind w:right="451"/>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33"/>
        </w:trPr>
        <w:tc>
          <w:tcPr>
            <w:tcW w:w="59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Dx</w:t>
            </w:r>
          </w:p>
        </w:tc>
        <w:tc>
          <w:tcPr>
            <w:tcW w:w="1000" w:type="dxa"/>
            <w:vAlign w:val="bottom"/>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2,479.7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2,382.8</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7"/>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BLS</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2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eliminations and other</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122.2 %</w:t>
            </w:r>
          </w:p>
        </w:tc>
      </w:tr>
      <w:tr>
        <w:trPr>
          <w:trHeight w:val="22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3,176.6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3,037.8</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0"/>
        </w:trPr>
        <w:tc>
          <w:tcPr>
            <w:tcW w:w="5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75"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Total revenues for the three months ended March 31, 2024, were $3,176.6, an increase of 4.6% over $3,037.8 in the first quarter of 2023. The increase was due to organic revenue of 2.3%, acquisitions, net of divestitures, of 1.8%, and favorable foreign currency translation of 0.5%. The 2.3% increase in organic revenue was driven by a 4.2% increase in the company's organic Base Business, partially offset by a 1.9% decrease in COVID-19 Testing. Base Business includes Labcorp's operations except for COVID-19 Testing.</w:t>
      </w:r>
    </w:p>
    <w:p>
      <w:pPr>
        <w:spacing w:after="0" w:line="100" w:lineRule="exact"/>
        <w:rPr>
          <w:sz w:val="20"/>
          <w:szCs w:val="20"/>
          <w:color w:val="auto"/>
        </w:rPr>
      </w:pPr>
    </w:p>
    <w:p>
      <w:pPr>
        <w:jc w:val="both"/>
        <w:ind w:firstLine="240"/>
        <w:spacing w:after="0" w:line="284" w:lineRule="auto"/>
        <w:rPr>
          <w:sz w:val="20"/>
          <w:szCs w:val="20"/>
          <w:color w:val="auto"/>
        </w:rPr>
      </w:pPr>
      <w:r>
        <w:rPr>
          <w:rFonts w:ascii="Times New Roman" w:cs="Times New Roman" w:eastAsia="Times New Roman" w:hAnsi="Times New Roman"/>
          <w:sz w:val="17"/>
          <w:szCs w:val="17"/>
          <w:color w:val="auto"/>
        </w:rPr>
        <w:t>Dx revenues for the three months ended March 31, 2024, were $2,479.7, an increase of 4.1% over $2,382.8 in the first quarter of 2023. The increase was due to organic revenue of 1.8% and acquisitions, net of divestitures, of 2.2%. The 1.8% increase in organic growth was due to a 4.3% increase in the Base Business, partially offset by a 2.5% decrease in COVID-19 Testing. Total Base Business growth compared to the Base Business in the prior year was 6.8%.</w:t>
      </w:r>
    </w:p>
    <w:p>
      <w:pPr>
        <w:spacing w:after="0" w:line="6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Dx total volume (measured by requisitions) for the three months ended March 31, 2024, increased by 3.4% as acquisition volume, net of divestitures, contributed 2.2%, while organic volume increased by 1.2%. Organic volume was up due to a 2.6% increase in the Base Business, including the negative impact from adverse weather of 1%. This was partially offset by a 1.4% decrease in COVID-19 Testing. Price/mix increased by 0.6% due to organic Base Business growth of 1.7%, partially offset by a decrease in COVID-19 Testing of 1.1%. Base Business volume increased 4.9% compared to the Base Business last year. Price/mix was up 1.9% in the Base Business compared to the Base Business last year.</w:t>
      </w:r>
    </w:p>
    <w:p>
      <w:pPr>
        <w:spacing w:after="0" w:line="91"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BLS revenues for the three months ended March 31, 2024, were $710.9, an increase of 7.5% over $661.3 in the first quarter of 2023. The increase was due to organic growth of 5.1% and favorable foreign currency translation of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INDEX</w:t>
            </w:r>
          </w:p>
        </w:tc>
        <w:tc>
          <w:tcPr>
            <w:tcW w:w="544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860"/>
        </w:trPr>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80"/>
        </w:trPr>
        <w:tc>
          <w:tcPr>
            <w:tcW w:w="5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0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540" w:type="dxa"/>
            <w:vAlign w:val="bottom"/>
          </w:tcPr>
          <w:p>
            <w:pPr>
              <w:spacing w:after="0"/>
              <w:rPr>
                <w:sz w:val="24"/>
                <w:szCs w:val="24"/>
                <w:color w:val="auto"/>
              </w:rPr>
            </w:pPr>
          </w:p>
        </w:tc>
      </w:tr>
      <w:tr>
        <w:trPr>
          <w:trHeight w:val="233"/>
        </w:trPr>
        <w:tc>
          <w:tcPr>
            <w:tcW w:w="56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470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2,279.3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2,187.7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2"/>
        </w:trPr>
        <w:tc>
          <w:tcPr>
            <w:tcW w:w="6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revenues as a % of revenues</w:t>
            </w: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3"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Cost of revenues increased 4.2% during the three months ended March 31, 2024, as compared with the corresponding period in 2023. Cost of revenues as a percentage of revenues during the three months ended March 31, 2024, decreased to 71.8% as compared to 72.0% in the corresponding period in 2023. This decrease in cost of revenues as a percent of revenues was primarily due to LaunchPad savings and CDCS costs during the first quarter of 2023 that do not qualify as discontinued operations, largely offset by higher personnel costs and lower COVID-19 Testing.</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80"/>
        </w:trPr>
        <w:tc>
          <w:tcPr>
            <w:tcW w:w="348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3"/>
        </w:trPr>
        <w:tc>
          <w:tcPr>
            <w:tcW w:w="3480" w:type="dxa"/>
            <w:vAlign w:val="bottom"/>
            <w:tcBorders>
              <w:bottom w:val="single" w:sz="8" w:color="CCEEFF"/>
            </w:tcBorders>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80" w:type="dxa"/>
            <w:vAlign w:val="bottom"/>
            <w:shd w:val="clear" w:color="auto" w:fill="CCEEFF"/>
          </w:tcPr>
          <w:p>
            <w:pPr>
              <w:jc w:val="right"/>
              <w:ind w:right="89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8"/>
              </w:rPr>
              <w:t>508.4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8"/>
              </w:rPr>
              <w:t>457.2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32"/>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as a % of revenues</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3" w:lineRule="exact"/>
        <w:rPr>
          <w:sz w:val="20"/>
          <w:szCs w:val="20"/>
          <w:color w:val="auto"/>
        </w:rPr>
      </w:pPr>
    </w:p>
    <w:p>
      <w:pPr>
        <w:jc w:val="both"/>
        <w:ind w:firstLine="280"/>
        <w:spacing w:after="0" w:line="276"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revenues was 16.0% and 15.1% during the three months ended March 31, 2024, and 2023, respectively. The increase is primarily due to higher personnel costs and a reduction in COVID-19 Testing revenues.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Amortization of Intangibles and Other Assets</w:t>
            </w:r>
          </w:p>
        </w:tc>
        <w:tc>
          <w:tcPr>
            <w:tcW w:w="2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0"/>
        </w:trPr>
        <w:tc>
          <w:tcPr>
            <w:tcW w:w="3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2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560" w:type="dxa"/>
            <w:vAlign w:val="bottom"/>
          </w:tcPr>
          <w:p>
            <w:pPr>
              <w:spacing w:after="0"/>
              <w:rPr>
                <w:sz w:val="24"/>
                <w:szCs w:val="24"/>
                <w:color w:val="auto"/>
              </w:rPr>
            </w:pPr>
          </w:p>
        </w:tc>
      </w:tr>
      <w:tr>
        <w:trPr>
          <w:trHeight w:val="233"/>
        </w:trPr>
        <w:tc>
          <w:tcPr>
            <w:tcW w:w="3460" w:type="dxa"/>
            <w:vAlign w:val="bottom"/>
            <w:tcBorders>
              <w:bottom w:val="single" w:sz="8" w:color="CCEEFF"/>
            </w:tcBorders>
          </w:tcPr>
          <w:p>
            <w:pPr>
              <w:spacing w:after="0"/>
              <w:rPr>
                <w:sz w:val="20"/>
                <w:szCs w:val="20"/>
                <w:color w:val="auto"/>
              </w:rPr>
            </w:pPr>
          </w:p>
        </w:tc>
        <w:tc>
          <w:tcPr>
            <w:tcW w:w="27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27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r>
    </w:tbl>
    <w:p>
      <w:pPr>
        <w:spacing w:after="0" w:line="1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increase in amortization of intangibles and other assets primarily reflects additional amortization for assets acquired subsequent to March 31,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Goodwill and Other Asset Impairments</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413"/>
        </w:trPr>
        <w:tc>
          <w:tcPr>
            <w:tcW w:w="3000" w:type="dxa"/>
            <w:vAlign w:val="bottom"/>
            <w:tcBorders>
              <w:top w:val="single" w:sz="8" w:color="auto"/>
            </w:tcBorders>
          </w:tcPr>
          <w:p>
            <w:pPr>
              <w:spacing w:after="0"/>
              <w:rPr>
                <w:sz w:val="24"/>
                <w:szCs w:val="24"/>
                <w:color w:val="auto"/>
              </w:rPr>
            </w:pPr>
          </w:p>
        </w:tc>
        <w:tc>
          <w:tcPr>
            <w:tcW w:w="3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2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560" w:type="dxa"/>
            <w:vAlign w:val="bottom"/>
          </w:tcPr>
          <w:p>
            <w:pPr>
              <w:spacing w:after="0"/>
              <w:rPr>
                <w:sz w:val="24"/>
                <w:szCs w:val="24"/>
                <w:color w:val="auto"/>
              </w:rPr>
            </w:pPr>
          </w:p>
        </w:tc>
      </w:tr>
      <w:tr>
        <w:trPr>
          <w:trHeight w:val="233"/>
        </w:trPr>
        <w:tc>
          <w:tcPr>
            <w:tcW w:w="3000" w:type="dxa"/>
            <w:vAlign w:val="bottom"/>
            <w:tcBorders>
              <w:bottom w:val="single" w:sz="8" w:color="CCEEFF"/>
            </w:tcBorders>
          </w:tcPr>
          <w:p>
            <w:pPr>
              <w:spacing w:after="0"/>
              <w:rPr>
                <w:sz w:val="20"/>
                <w:szCs w:val="20"/>
                <w:color w:val="auto"/>
              </w:rPr>
            </w:pPr>
          </w:p>
        </w:tc>
        <w:tc>
          <w:tcPr>
            <w:tcW w:w="3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r>
    </w:tbl>
    <w:p>
      <w:pPr>
        <w:spacing w:after="0" w:line="195" w:lineRule="exact"/>
        <w:rPr>
          <w:sz w:val="20"/>
          <w:szCs w:val="20"/>
          <w:color w:val="auto"/>
        </w:rPr>
      </w:pPr>
    </w:p>
    <w:p>
      <w:pPr>
        <w:jc w:val="both"/>
        <w:ind w:firstLine="280"/>
        <w:spacing w:after="0" w:line="276" w:lineRule="auto"/>
        <w:rPr>
          <w:sz w:val="20"/>
          <w:szCs w:val="20"/>
          <w:color w:val="auto"/>
        </w:rPr>
      </w:pPr>
      <w:r>
        <w:rPr>
          <w:rFonts w:ascii="Times New Roman" w:cs="Times New Roman" w:eastAsia="Times New Roman" w:hAnsi="Times New Roman"/>
          <w:sz w:val="18"/>
          <w:szCs w:val="18"/>
          <w:color w:val="auto"/>
        </w:rPr>
        <w:t>The Company recorded impairment charges of $2.5 during the three months ended March 31, 2024 related to a decommissioned robotic asset. The Company recorded impairment charges of $2.2 in capitalized software costs during the three months ended March 31, 2023.</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Restructuring and Other Charges</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0"/>
        </w:trPr>
        <w:tc>
          <w:tcPr>
            <w:tcW w:w="2580" w:type="dxa"/>
            <w:vAlign w:val="bottom"/>
            <w:tcBorders>
              <w:top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2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560" w:type="dxa"/>
            <w:vAlign w:val="bottom"/>
          </w:tcPr>
          <w:p>
            <w:pPr>
              <w:spacing w:after="0"/>
              <w:rPr>
                <w:sz w:val="24"/>
                <w:szCs w:val="24"/>
                <w:color w:val="auto"/>
              </w:rPr>
            </w:pPr>
          </w:p>
        </w:tc>
      </w:tr>
      <w:tr>
        <w:trPr>
          <w:trHeight w:val="233"/>
        </w:trPr>
        <w:tc>
          <w:tcPr>
            <w:tcW w:w="2580" w:type="dxa"/>
            <w:vAlign w:val="bottom"/>
            <w:tcBorders>
              <w:bottom w:val="single" w:sz="8" w:color="CCEEFF"/>
            </w:tcBorders>
          </w:tcPr>
          <w:p>
            <w:pPr>
              <w:spacing w:after="0"/>
              <w:rPr>
                <w:sz w:val="20"/>
                <w:szCs w:val="20"/>
                <w:color w:val="auto"/>
              </w:rPr>
            </w:pPr>
          </w:p>
        </w:tc>
        <w:tc>
          <w:tcPr>
            <w:tcW w:w="362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bl>
    <w:p>
      <w:pPr>
        <w:spacing w:after="0" w:line="182" w:lineRule="exact"/>
        <w:rPr>
          <w:sz w:val="20"/>
          <w:szCs w:val="20"/>
          <w:color w:val="auto"/>
        </w:rPr>
      </w:pPr>
    </w:p>
    <w:p>
      <w:pPr>
        <w:jc w:val="both"/>
        <w:ind w:firstLine="28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the Company recorded net restructuring and other charges of $5.0. The charges were comprised of $5.8 related to severance and other personnel costs. The charges were adjusted by the reversal of a previously established liability of $0.8 in unused facility-related costs.</w:t>
      </w:r>
    </w:p>
    <w:p>
      <w:pPr>
        <w:spacing w:after="0" w:line="84"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During the three months ended March 31, 2023, the Company recorded net restructuring and other charges of $7.5. The charges were comprised of $4.0 related to severance and other personnel costs and $4.3 in facility closures, lease terminations, and general integration activities. The charges were adjusted by the reversal of a previously established liability of $0.5 in unused severance liabilities and the increase of a previously established liability of $0.3 in facility-related costs.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0"/>
        </w:trPr>
        <w:tc>
          <w:tcPr>
            <w:tcW w:w="1280" w:type="dxa"/>
            <w:vAlign w:val="bottom"/>
            <w:tcBorders>
              <w:top w:val="single" w:sz="8" w:color="auto"/>
            </w:tcBorders>
          </w:tcPr>
          <w:p>
            <w:pPr>
              <w:spacing w:after="0"/>
              <w:rPr>
                <w:sz w:val="24"/>
                <w:szCs w:val="24"/>
                <w:color w:val="auto"/>
              </w:rPr>
            </w:pPr>
          </w:p>
        </w:tc>
        <w:tc>
          <w:tcPr>
            <w:tcW w:w="4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4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560" w:type="dxa"/>
            <w:vAlign w:val="bottom"/>
          </w:tcPr>
          <w:p>
            <w:pPr>
              <w:spacing w:after="0"/>
              <w:rPr>
                <w:sz w:val="24"/>
                <w:szCs w:val="24"/>
                <w:color w:val="auto"/>
              </w:rPr>
            </w:pPr>
          </w:p>
        </w:tc>
      </w:tr>
      <w:tr>
        <w:trPr>
          <w:trHeight w:val="233"/>
        </w:trPr>
        <w:tc>
          <w:tcPr>
            <w:tcW w:w="1280" w:type="dxa"/>
            <w:vAlign w:val="bottom"/>
            <w:tcBorders>
              <w:bottom w:val="single" w:sz="8" w:color="CCEEFF"/>
            </w:tcBorders>
          </w:tcPr>
          <w:p>
            <w:pPr>
              <w:spacing w:after="0"/>
              <w:rPr>
                <w:sz w:val="20"/>
                <w:szCs w:val="20"/>
                <w:color w:val="auto"/>
              </w:rPr>
            </w:pPr>
          </w:p>
        </w:tc>
        <w:tc>
          <w:tcPr>
            <w:tcW w:w="49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bl>
    <w:p>
      <w:pPr>
        <w:spacing w:after="0" w:line="128"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The decrease in interest expense for the three months ended March 31, 2024, as compared with the corresponding period in 2023, is primarily due to decreased borrowings under the Company's revolving credit facility, repayment of the November 2023 $300.0 senior notes, and partially offset by a higher interest rate on variable rate debt.</w:t>
      </w:r>
    </w:p>
    <w:p>
      <w:pPr>
        <w:sectPr>
          <w:pgSz w:w="11900" w:h="16838" w:orient="portrait"/>
          <w:cols w:equalWidth="0" w:num="1">
            <w:col w:w="11240"/>
          </w:cols>
          <w:pgMar w:left="320" w:top="10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INDEX</w:t>
            </w:r>
          </w:p>
        </w:tc>
        <w:tc>
          <w:tcPr>
            <w:tcW w:w="564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860"/>
        </w:trPr>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Equity Method Income</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80"/>
        </w:trPr>
        <w:tc>
          <w:tcPr>
            <w:tcW w:w="5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2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560" w:type="dxa"/>
            <w:vAlign w:val="bottom"/>
          </w:tcPr>
          <w:p>
            <w:pPr>
              <w:spacing w:after="0"/>
              <w:rPr>
                <w:sz w:val="24"/>
                <w:szCs w:val="24"/>
                <w:color w:val="auto"/>
              </w:rPr>
            </w:pPr>
          </w:p>
        </w:tc>
      </w:tr>
      <w:tr>
        <w:trPr>
          <w:trHeight w:val="233"/>
        </w:trPr>
        <w:tc>
          <w:tcPr>
            <w:tcW w:w="56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44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income, net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r>
    </w:tbl>
    <w:p>
      <w:pPr>
        <w:spacing w:after="0" w:line="128" w:lineRule="exact"/>
        <w:rPr>
          <w:sz w:val="20"/>
          <w:szCs w:val="20"/>
          <w:color w:val="auto"/>
        </w:rPr>
      </w:pPr>
    </w:p>
    <w:p>
      <w:pPr>
        <w:jc w:val="both"/>
        <w:ind w:right="100" w:firstLine="294"/>
        <w:spacing w:after="0" w:line="261" w:lineRule="auto"/>
        <w:rPr>
          <w:sz w:val="20"/>
          <w:szCs w:val="20"/>
          <w:color w:val="auto"/>
        </w:rPr>
      </w:pPr>
      <w:r>
        <w:rPr>
          <w:rFonts w:ascii="Times New Roman" w:cs="Times New Roman" w:eastAsia="Times New Roman" w:hAnsi="Times New Roman"/>
          <w:sz w:val="18"/>
          <w:szCs w:val="18"/>
          <w:color w:val="auto"/>
        </w:rPr>
        <w:t>Equity method income represents the Company's ownership share in joint venture partnerships along with equity investments in other companies in the health care industry. The increase in income for the three months ended March 31, 2024, as compared with the corresponding period in 2023, was partially due to the sale of the Company's interest in one joint venture and the acquisition of the remaining interest in another joint venture during 2023.</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net</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0"/>
        </w:trPr>
        <w:tc>
          <w:tcPr>
            <w:tcW w:w="760" w:type="dxa"/>
            <w:vAlign w:val="bottom"/>
            <w:tcBorders>
              <w:top w:val="single" w:sz="8" w:color="auto"/>
            </w:tcBorders>
          </w:tcPr>
          <w:p>
            <w:pPr>
              <w:spacing w:after="0"/>
              <w:rPr>
                <w:sz w:val="24"/>
                <w:szCs w:val="24"/>
                <w:color w:val="auto"/>
              </w:rPr>
            </w:pPr>
          </w:p>
        </w:tc>
        <w:tc>
          <w:tcPr>
            <w:tcW w:w="5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4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560" w:type="dxa"/>
            <w:vAlign w:val="bottom"/>
          </w:tcPr>
          <w:p>
            <w:pPr>
              <w:spacing w:after="0"/>
              <w:rPr>
                <w:sz w:val="24"/>
                <w:szCs w:val="24"/>
                <w:color w:val="auto"/>
              </w:rPr>
            </w:pPr>
          </w:p>
        </w:tc>
      </w:tr>
      <w:tr>
        <w:trPr>
          <w:trHeight w:val="233"/>
        </w:trPr>
        <w:tc>
          <w:tcPr>
            <w:tcW w:w="760" w:type="dxa"/>
            <w:vAlign w:val="bottom"/>
            <w:tcBorders>
              <w:bottom w:val="single" w:sz="8" w:color="CCEEFF"/>
            </w:tcBorders>
          </w:tcPr>
          <w:p>
            <w:pPr>
              <w:spacing w:after="0"/>
              <w:rPr>
                <w:sz w:val="20"/>
                <w:szCs w:val="20"/>
                <w:color w:val="auto"/>
              </w:rPr>
            </w:pPr>
          </w:p>
        </w:tc>
        <w:tc>
          <w:tcPr>
            <w:tcW w:w="542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r>
    </w:tbl>
    <w:p>
      <w:pPr>
        <w:spacing w:after="0" w:line="115" w:lineRule="exact"/>
        <w:rPr>
          <w:sz w:val="20"/>
          <w:szCs w:val="20"/>
          <w:color w:val="auto"/>
        </w:rPr>
      </w:pPr>
    </w:p>
    <w:p>
      <w:pPr>
        <w:jc w:val="both"/>
        <w:ind w:right="100" w:firstLine="281"/>
        <w:spacing w:after="0" w:line="253" w:lineRule="auto"/>
        <w:rPr>
          <w:sz w:val="20"/>
          <w:szCs w:val="20"/>
          <w:color w:val="auto"/>
        </w:rPr>
      </w:pPr>
      <w:r>
        <w:rPr>
          <w:rFonts w:ascii="Times New Roman" w:cs="Times New Roman" w:eastAsia="Times New Roman" w:hAnsi="Times New Roman"/>
          <w:sz w:val="18"/>
          <w:szCs w:val="18"/>
          <w:color w:val="auto"/>
        </w:rPr>
        <w:t>The change in Other, net for the three months ended March 31, 2024, as compared to the three months ended March 31, 2023, is primarily due to $22.4 of transition services fees charged to Fortrea related to administrative and IT systems support. The costs to provide these services are included in operating income but the service fees are included in other income. In addition, the Company recorded investment losses of $4.2 for the three months ended March 31, 2024 compared to investment losses of $1.5 for the corresponding period of 2023. Foreign currency transaction losses of $3.3 were recognized for the three months ended March 31, 2024, as compared to gains of $3.6 for the corresponding period of 2023. The Company also recorded a $4.9 gain on the sale of the assets of its Beacon Laboratory Benefit Solutions, Inc. business in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80"/>
        </w:trPr>
        <w:tc>
          <w:tcPr>
            <w:tcW w:w="1560" w:type="dxa"/>
            <w:vAlign w:val="bottom"/>
            <w:tcBorders>
              <w:top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3"/>
        </w:trPr>
        <w:tc>
          <w:tcPr>
            <w:tcW w:w="1560" w:type="dxa"/>
            <w:vAlign w:val="bottom"/>
            <w:tcBorders>
              <w:bottom w:val="single" w:sz="8" w:color="CCEEFF"/>
            </w:tcBorders>
          </w:tcPr>
          <w:p>
            <w:pPr>
              <w:spacing w:after="0"/>
              <w:rPr>
                <w:sz w:val="20"/>
                <w:szCs w:val="20"/>
                <w:color w:val="auto"/>
              </w:rPr>
            </w:pPr>
          </w:p>
        </w:tc>
        <w:tc>
          <w:tcPr>
            <w:tcW w:w="44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2023</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120" w:type="dxa"/>
            <w:vAlign w:val="bottom"/>
            <w:shd w:val="clear" w:color="auto" w:fill="CCEEFF"/>
          </w:tcPr>
          <w:p>
            <w:pPr>
              <w:jc w:val="right"/>
              <w:ind w:right="93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32"/>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as a % of earnings before income taxes</w:t>
            </w:r>
          </w:p>
        </w:tc>
        <w:tc>
          <w:tcPr>
            <w:tcW w:w="1120" w:type="dxa"/>
            <w:vAlign w:val="bottom"/>
          </w:tcPr>
          <w:p>
            <w:pPr>
              <w:spacing w:after="0"/>
              <w:rPr>
                <w:sz w:val="20"/>
                <w:szCs w:val="20"/>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23.2 %</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23.5 %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09" w:lineRule="exact"/>
        <w:rPr>
          <w:sz w:val="20"/>
          <w:szCs w:val="20"/>
          <w:color w:val="auto"/>
        </w:rPr>
      </w:pPr>
    </w:p>
    <w:p>
      <w:pPr>
        <w:jc w:val="both"/>
        <w:ind w:right="100" w:firstLine="280"/>
        <w:spacing w:after="0" w:line="306" w:lineRule="auto"/>
        <w:rPr>
          <w:sz w:val="20"/>
          <w:szCs w:val="20"/>
          <w:color w:val="auto"/>
        </w:rPr>
      </w:pPr>
      <w:r>
        <w:rPr>
          <w:rFonts w:ascii="Times New Roman" w:cs="Times New Roman" w:eastAsia="Times New Roman" w:hAnsi="Times New Roman"/>
          <w:sz w:val="17"/>
          <w:szCs w:val="17"/>
          <w:color w:val="auto"/>
        </w:rPr>
        <w:t>The current year and prior year effective tax rate differs from the U.S. federal statutory rate of 21.0% primarily due to state income taxes and the disallowance of certain executive compensation, which were partially offset by research and development tax credits and favorable foreign rate differentials.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Income by Segment</w:t>
      </w:r>
    </w:p>
    <w:p>
      <w:pPr>
        <w:spacing w:after="0" w:line="128" w:lineRule="exact"/>
        <w:rPr>
          <w:sz w:val="20"/>
          <w:szCs w:val="20"/>
          <w:color w:val="auto"/>
        </w:rPr>
      </w:pPr>
    </w:p>
    <w:p>
      <w:pPr>
        <w:jc w:val="both"/>
        <w:ind w:right="100" w:firstLine="320"/>
        <w:spacing w:after="0" w:line="306" w:lineRule="auto"/>
        <w:rPr>
          <w:sz w:val="20"/>
          <w:szCs w:val="20"/>
          <w:color w:val="auto"/>
        </w:rPr>
      </w:pPr>
      <w:r>
        <w:rPr>
          <w:rFonts w:ascii="Times New Roman" w:cs="Times New Roman" w:eastAsia="Times New Roman" w:hAnsi="Times New Roman"/>
          <w:sz w:val="17"/>
          <w:szCs w:val="17"/>
          <w:color w:val="auto"/>
        </w:rPr>
        <w:t>As a result of the spin-off of Fortrea, the Company recast the segment results to exclude the historical results of the CDCS business for all periods presented. The remaining operations of the previously reported Drug Development segment have been renamed the Biopharma Laboratory Services segment.</w:t>
      </w:r>
    </w:p>
    <w:p>
      <w:pPr>
        <w:spacing w:after="0" w:line="88"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0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380" w:type="dxa"/>
            <w:vAlign w:val="bottom"/>
          </w:tcPr>
          <w:p>
            <w:pPr>
              <w:spacing w:after="0"/>
              <w:rPr>
                <w:sz w:val="20"/>
                <w:szCs w:val="20"/>
                <w:color w:val="auto"/>
              </w:rPr>
            </w:pPr>
          </w:p>
        </w:tc>
      </w:tr>
      <w:tr>
        <w:trPr>
          <w:trHeight w:val="233"/>
        </w:trPr>
        <w:tc>
          <w:tcPr>
            <w:tcW w:w="596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segment operating income</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441.5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7"/>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Dx segment operating margin</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16.9 %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18.5 %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w:t>
            </w:r>
          </w:p>
        </w:tc>
      </w:tr>
      <w:tr>
        <w:trPr>
          <w:trHeight w:val="227"/>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BLS segment operating income</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27"/>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BLS segment operating margin</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14.1 %</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11.1 %</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2.9</w:t>
            </w:r>
          </w:p>
        </w:tc>
      </w:tr>
      <w:tr>
        <w:trPr>
          <w:trHeight w:val="22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515.1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7"/>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38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7"/>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7"/>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8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7"/>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329.8</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right="100" w:firstLine="280"/>
        <w:spacing w:after="0" w:line="261" w:lineRule="auto"/>
        <w:rPr>
          <w:sz w:val="20"/>
          <w:szCs w:val="20"/>
          <w:color w:val="auto"/>
        </w:rPr>
      </w:pPr>
      <w:r>
        <w:rPr>
          <w:rFonts w:ascii="Times New Roman" w:cs="Times New Roman" w:eastAsia="Times New Roman" w:hAnsi="Times New Roman"/>
          <w:sz w:val="18"/>
          <w:szCs w:val="18"/>
          <w:color w:val="auto"/>
        </w:rPr>
        <w:t>Dx operating income was $417.9 for the three months ended March 31, 2024, a decrease of $23.6 over operating income of $441.5 in the corresponding period of 2023, and Dx operating margin decreased 170 basis points year-over-year. The decrease in adjusted operating income margin was due to a reduction in COVID-19 Testing, adverse weather and the mix impact from lab management agreements, which is expected to improve over time.</w:t>
      </w:r>
    </w:p>
    <w:p>
      <w:pPr>
        <w:spacing w:after="0" w:line="84" w:lineRule="exact"/>
        <w:rPr>
          <w:sz w:val="20"/>
          <w:szCs w:val="20"/>
          <w:color w:val="auto"/>
        </w:rPr>
      </w:pPr>
    </w:p>
    <w:p>
      <w:pPr>
        <w:jc w:val="both"/>
        <w:ind w:right="100" w:firstLine="280"/>
        <w:spacing w:after="0" w:line="276" w:lineRule="auto"/>
        <w:rPr>
          <w:sz w:val="20"/>
          <w:szCs w:val="20"/>
          <w:color w:val="auto"/>
        </w:rPr>
      </w:pPr>
      <w:r>
        <w:rPr>
          <w:rFonts w:ascii="Times New Roman" w:cs="Times New Roman" w:eastAsia="Times New Roman" w:hAnsi="Times New Roman"/>
          <w:sz w:val="18"/>
          <w:szCs w:val="18"/>
          <w:color w:val="auto"/>
        </w:rPr>
        <w:t>BLS operating income was $99.9 for the three months ended March 31, 2024, an increase of $26.3 over operating income of $73.6 in the corresponding period of 2023. The increase was due to organic growth and LaunchPad savings, partially offset by higher personnel expense.</w:t>
      </w:r>
    </w:p>
    <w:p>
      <w:pPr>
        <w:spacing w:after="0" w:line="200" w:lineRule="exact"/>
        <w:rPr>
          <w:sz w:val="20"/>
          <w:szCs w:val="20"/>
          <w:color w:val="auto"/>
        </w:rPr>
      </w:pPr>
    </w:p>
    <w:p>
      <w:pPr>
        <w:spacing w:after="0" w:line="2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06"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General corporate and unallocated expenses are comprised primarily of administrative services such as executive management, human resources, legal, finance, corporate affairs, and information technology. General corporate and unallocated expenses were $128.9 for the three months ended March 31, 2024, an increase of $6.7 over corporate expenses of $122.2 in the corresponding period of 2023, primarily due to costs related to the spin-off of Fortrea, personnel costs, and research and development costs.</w:t>
      </w:r>
    </w:p>
    <w:p>
      <w:pPr>
        <w:spacing w:after="0" w:line="100" w:lineRule="exact"/>
        <w:rPr>
          <w:sz w:val="20"/>
          <w:szCs w:val="20"/>
          <w:color w:val="auto"/>
        </w:rPr>
      </w:pPr>
    </w:p>
    <w:p>
      <w:pPr>
        <w:jc w:val="both"/>
        <w:ind w:right="20" w:firstLine="280"/>
        <w:spacing w:after="0" w:line="276" w:lineRule="auto"/>
        <w:rPr>
          <w:sz w:val="20"/>
          <w:szCs w:val="20"/>
          <w:color w:val="auto"/>
        </w:rPr>
      </w:pPr>
      <w:r>
        <w:rPr>
          <w:rFonts w:ascii="Times New Roman" w:cs="Times New Roman" w:eastAsia="Times New Roman" w:hAnsi="Times New Roman"/>
          <w:sz w:val="18"/>
          <w:szCs w:val="18"/>
          <w:color w:val="auto"/>
        </w:rPr>
        <w:t>The Company remains on track to deliver approximately $350.0 of net savings from its three-year LaunchPad initiative by the end of 2024 and approximately $100.0 to $125.0 of savings in fiscal 2024.</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 (dollars and shares in millions)</w:t>
      </w:r>
    </w:p>
    <w:p>
      <w:pPr>
        <w:spacing w:after="0" w:line="128" w:lineRule="exact"/>
        <w:rPr>
          <w:sz w:val="20"/>
          <w:szCs w:val="20"/>
          <w:color w:val="auto"/>
        </w:rPr>
      </w:pPr>
    </w:p>
    <w:p>
      <w:pPr>
        <w:jc w:val="both"/>
        <w:ind w:firstLine="280"/>
        <w:spacing w:after="0" w:line="254" w:lineRule="auto"/>
        <w:rPr>
          <w:sz w:val="20"/>
          <w:szCs w:val="20"/>
          <w:color w:val="auto"/>
        </w:rPr>
      </w:pPr>
      <w:r>
        <w:rPr>
          <w:rFonts w:ascii="Times New Roman" w:cs="Times New Roman" w:eastAsia="Times New Roman" w:hAnsi="Times New Roman"/>
          <w:sz w:val="18"/>
          <w:szCs w:val="18"/>
          <w:color w:val="auto"/>
        </w:rPr>
        <w:t>The Company's cash-generating ability and financial condition typically have provided ready access to capital markets. The Company's principal source of liquidity is operating cash flow, supplemented by proceeds from debt offerings. The Company believes that its balances of cash and cash equivalents and borrowing capacity, along with cash generated from operations, will be sufficient to satisfy its cash requirements, cash dividends, and share repurchases over the next twelve months and beyond. The Company's senior unsecured revolving credit facility is further discussed in Note 7 (Debt) to the Company's condensed consolidated financial statements.</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summary, the Company's cash flows from continuing operations were as follows for the three months ended March 31, 2024, and 2023, respectively:</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520" w:type="dxa"/>
            <w:vAlign w:val="bottom"/>
            <w:tcBorders>
              <w:bottom w:val="single" w:sz="8" w:color="auto"/>
            </w:tcBorders>
          </w:tcPr>
          <w:p>
            <w:pPr>
              <w:spacing w:after="0"/>
              <w:rPr>
                <w:sz w:val="20"/>
                <w:szCs w:val="20"/>
                <w:color w:val="auto"/>
              </w:rPr>
            </w:pPr>
          </w:p>
        </w:tc>
      </w:tr>
      <w:tr>
        <w:trPr>
          <w:trHeight w:val="233"/>
        </w:trPr>
        <w:tc>
          <w:tcPr>
            <w:tcW w:w="78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bottom w:val="single" w:sz="8" w:color="auto"/>
            </w:tcBorders>
          </w:tcPr>
          <w:p>
            <w:pPr>
              <w:spacing w:after="0"/>
              <w:rPr>
                <w:sz w:val="20"/>
                <w:szCs w:val="20"/>
                <w:color w:val="auto"/>
              </w:rPr>
            </w:pPr>
          </w:p>
        </w:tc>
      </w:tr>
      <w:tr>
        <w:trPr>
          <w:trHeight w:val="227"/>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for) operating activities from continuing operations</w:t>
            </w:r>
          </w:p>
        </w:tc>
        <w:tc>
          <w:tcPr>
            <w:tcW w:w="1040" w:type="dxa"/>
            <w:vAlign w:val="bottom"/>
            <w:shd w:val="clear" w:color="auto" w:fill="CCEEFF"/>
          </w:tcPr>
          <w:p>
            <w:pPr>
              <w:jc w:val="right"/>
              <w:ind w:right="85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r>
      <w:tr>
        <w:trPr>
          <w:trHeight w:val="227"/>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for investing activities from continuing operations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27"/>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financing activities from continuing operations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27"/>
        </w:trPr>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5"/>
        </w:trPr>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from continuing operations</w:t>
            </w:r>
          </w:p>
        </w:tc>
        <w:tc>
          <w:tcPr>
            <w:tcW w:w="1040" w:type="dxa"/>
            <w:vAlign w:val="bottom"/>
            <w:tcBorders>
              <w:bottom w:val="single" w:sz="8" w:color="auto"/>
            </w:tcBorders>
            <w:shd w:val="clear" w:color="auto" w:fill="CCEEFF"/>
          </w:tcPr>
          <w:p>
            <w:pPr>
              <w:jc w:val="right"/>
              <w:ind w:right="85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64"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Cash and cash equivalents at March 31, 2024, and 2023, totaled $99.3 and $294.8, respectively. Cash and cash equivalents consist of highly liquid instruments, such as time deposits, commercial paper, and other money market investments, which have original maturities of three months or less.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64" w:lineRule="exact"/>
        <w:rPr>
          <w:sz w:val="20"/>
          <w:szCs w:val="20"/>
          <w:color w:val="auto"/>
        </w:rPr>
      </w:pPr>
    </w:p>
    <w:p>
      <w:pPr>
        <w:jc w:val="both"/>
        <w:ind w:firstLine="28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the Company's continuing operations used $29.8 of cash as compared to providing $185.7 during the same period in 2023. The $215.5 decrease in cash provided from operations in 2024 as compared with the corresponding 2023 period is primarily due to lower cash earnings and the timing of working capital requirements.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6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Net cash used for investing activities from continuing operations for the three months ended March 31, 2024, was $393.1 as compared to $84.0 for the three months ended March 31, 2023. The change in cash used for investing activities was primarily due to an increase in business acquisitions and higher capital expenditures during the three months ended March 31, 2024. Capital expenditures were $133.8 and $78.2 for the three months ended March 31, 2024, and 2023, respectively.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64"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Net cash used by financing activities from continuing operations for the three months ended March 31, 2024, was $11.7 as compared to $60.6 for the three months ended March 31, 2023. The change in cash flows from financing activities from continuing operations for the three months ended March 31, 2024, as compared to the three months ended March 31, 2023, was primarily due to net proceeds from revolving credit facilities of $42.4 in 2024.</w:t>
      </w:r>
    </w:p>
    <w:p>
      <w:pPr>
        <w:spacing w:after="0" w:line="8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At March 31, 2024, the Company had $99.3 of cash and $957.6 of available borrowings under its revolving credit facility, which does not mature until 2026. Under the Company's revolving credit facility and indentures relating to the Company's senior notes, the Company is subject to negative covenants limiting subsidiary indebtedness and certain other covenants typical for investment grade-rated borrowers , and with respect to the revolving credit facility, the Company is required to maintain certain leverage ratios. The Company was in compliance with all covenants under the revolving credit facility and the indentures related to the Company's outstanding senior notes at March 31, 2024. The Company expects that it will remain in compliance with all covenants associated with its existing debt obligations for the next twelve months.</w:t>
      </w:r>
    </w:p>
    <w:p>
      <w:pPr>
        <w:spacing w:after="0" w:line="104"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The Company continues to evaluate its outstanding debt portfolio to take advantage of market conditions that would allow the Company to maintain a reasonable interest rate and lower financing risk. The Company anticipates that it will refinance the $2,000.0 in debt coming due during the next 12 months.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As of March 31, 2024, the Company had outstanding authorization from the board of directors to purchase up to $531.5 of the Company's common stock.</w:t>
      </w:r>
    </w:p>
    <w:p>
      <w:pPr>
        <w:spacing w:after="0" w:line="13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For the three months ended March 31, 2024, the Company paid $62.1 in common stock dividends. On April 11, 2024, the Company announced a cash dividend of $0.72 per share of common stock for the second quarter, or approximately $61.4 in the aggregate. The dividend will be payable on June 12, 2024, to stockholders of record of all issued and outstanding shares of common stock as of the close of business on May 28, 2024. The declaration and payment of any future dividends will be at the discretion of the Company’s board of directors.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investment grade debt ratings from Moody’s and from Standard and Poor’s (S&amp;P) contribute to its ability to access capital markets.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(dollars in millions)</w:t>
      </w:r>
    </w:p>
    <w:p>
      <w:pPr>
        <w:spacing w:after="0" w:line="128" w:lineRule="exact"/>
        <w:rPr>
          <w:sz w:val="20"/>
          <w:szCs w:val="20"/>
          <w:color w:val="auto"/>
        </w:rPr>
      </w:pPr>
    </w:p>
    <w:p>
      <w:pPr>
        <w:jc w:val="both"/>
        <w:ind w:firstLine="280"/>
        <w:spacing w:after="0" w:line="253" w:lineRule="auto"/>
        <w:rPr>
          <w:sz w:val="20"/>
          <w:szCs w:val="20"/>
          <w:color w:val="auto"/>
        </w:rPr>
      </w:pPr>
      <w:r>
        <w:rPr>
          <w:rFonts w:ascii="Times New Roman" w:cs="Times New Roman" w:eastAsia="Times New Roman" w:hAnsi="Times New Roman"/>
          <w:sz w:val="18"/>
          <w:szCs w:val="18"/>
          <w:color w:val="auto"/>
        </w:rPr>
        <w:t>Market risk is the potential loss arising from adverse changes in market rates and prices, such as foreign currency exchange rates, interest rates, and other relevant market rate or price changes. In the ordinary course of business, the Company is exposed to various market risks, including changes in foreign currency exchange and interest rates, and the Company regularly evaluates its exposure to such changes. The Company addresses its exposure to market risks, principally the market risks associated with changes in foreign currency exchange rates and interest rates, through a controlled program of risk management that includes, from time to time, the use of derivative financial instruments such as foreign currency forward contracts, and interest rate and cross currency swap agreements.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128"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Approximately 13.8% of the Company’s revenues for the three months ended March 31, 2024, and approximately 13.4% of the Company’s revenue for the three months ended March 31, 2023, were denominated in currencies other than the U.S. Dollar (USD). The Company’s financial statements are reported in USD and, accordingly, fluctuations in exchange rates will affect the translation of revenues and expenses denominated in foreign currencies into USD for purposes of reporting the Company’s consolidated financial results. In the first quarter of 2024 and the year ended December 31, 2023, the most significant currency exchange rate exposures were to the Canadian dollar, Swiss Franc, Euro and British Pound. Excluding the impacts from any outstanding or future hedging transactions, a hypothetical change of 10% in average exchange rates used to translate all foreign currencies to USD would have impacted income before income taxes for the three months ended March 31, 2024, by approximately $6.5. Gross accumulated currency translation adjustments recorded as a separate component of shareholders’ equity were $(124.3) and $48.1 at March 31, 2024 and 2023, respectively. The Company does not have significant operations in countries in which the economy is considered to be highly inflationary.</w:t>
      </w:r>
    </w:p>
    <w:p>
      <w:pPr>
        <w:spacing w:after="0" w:line="99"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Company earns revenue from service contracts over a period of time, ranging from months to years. Accordingly, exchange rate fluctuations during this period may affect the Company’s profitability with respect to such contracts. The Company is also subject to foreign currency transaction risk for fluctuations in exchange rates during the period of time between the consummation and cash settlement of transactions. The Company limits its foreign currency transaction risk through exchange rate fluctuation provisions stated in some of its contracts with customers, or it may hedge transaction risk with foreign currency forward contracts. At March 31, 2024, the Company had 9 open foreign exchange forward contracts with various amounts maturing monthly through April 2024 with a notional value totaling approximately $279.9. At December 31, 2023, the Company had 9 open foreign exchange forward contracts with various amounts maturing monthly through January 2024 with a notional value totaling approximately $305.8.</w:t>
      </w:r>
    </w:p>
    <w:p>
      <w:pPr>
        <w:spacing w:after="0" w:line="105" w:lineRule="exact"/>
        <w:rPr>
          <w:sz w:val="20"/>
          <w:szCs w:val="20"/>
          <w:color w:val="auto"/>
        </w:rPr>
      </w:pPr>
    </w:p>
    <w:p>
      <w:pPr>
        <w:jc w:val="both"/>
        <w:ind w:firstLine="240"/>
        <w:spacing w:after="0" w:line="306" w:lineRule="auto"/>
        <w:rPr>
          <w:sz w:val="20"/>
          <w:szCs w:val="20"/>
          <w:color w:val="auto"/>
        </w:rPr>
      </w:pPr>
      <w:r>
        <w:rPr>
          <w:rFonts w:ascii="Times New Roman" w:cs="Times New Roman" w:eastAsia="Times New Roman" w:hAnsi="Times New Roman"/>
          <w:sz w:val="17"/>
          <w:szCs w:val="17"/>
          <w:color w:val="auto"/>
        </w:rPr>
        <w:t>The Company is party to USD to Swiss Franc cross-currency swap agreements with an aggregate notional amount of $600.0, $300.0 maturing in 2031 and $300.0 maturing in 2034, as a hedge against the impact of foreign exchange movements on its net investment in a Swiss Franc functional currency subsidiary.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128"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Some of the Company’s debt from time to time is subject to interest at variable rates. As a result, fluctuations in interest rates can affect the business. The Company attempts to manage interest rate risk and overall borrowing costs through an appropriate mix of fixed and variable rate debt including by the utilization of derivative financial instruments, primarily interest rate swaps.</w:t>
      </w:r>
    </w:p>
    <w:p>
      <w:pPr>
        <w:spacing w:after="0" w:line="98"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Borrowings under the Company’s term loan credit facility, now repaid, and revolving credit facility are subject to variable interest rates, unless fixed through interest rate swaps or other agreements.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In May 2021, to hedge against changes in the fair value portion of the Company’s long-term debt, the Company entered into fixed-to-variable interest rate swap agreements for the 2.70% senior notes due 2031 with an aggregate notional value of $500.0 and variable interest rates based on three-month SOFR plus 1.0706%.</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64" w:lineRule="exact"/>
        <w:rPr>
          <w:sz w:val="20"/>
          <w:szCs w:val="20"/>
          <w:color w:val="auto"/>
        </w:rPr>
      </w:pPr>
    </w:p>
    <w:p>
      <w:pPr>
        <w:jc w:val="both"/>
        <w:ind w:firstLine="280"/>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the Company carried out, under the supervision and with the participation of the Company’s management, including the Company’s principal executive officer and principal financial officer, an evaluation of the effectiveness of the design and operation of the Company’s disclosure controls and procedures (as defined in Rules13a-15 and 15d-15(e) under the Securities Exchange Act of 1934, as amended). Based upon this evaluation, the Company’s principal executive officer and principal financial officer concluded that the Company’s disclosure controls and procedures were effective as of March 31, 2024.</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64" w:lineRule="exact"/>
        <w:rPr>
          <w:sz w:val="20"/>
          <w:szCs w:val="20"/>
          <w:color w:val="auto"/>
        </w:rPr>
      </w:pPr>
    </w:p>
    <w:p>
      <w:pPr>
        <w:jc w:val="both"/>
        <w:ind w:firstLine="280"/>
        <w:spacing w:after="0" w:line="261"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Rules13a-15(f) and 15d-15(f) under the Securities Exchange Act of 1934, as amended) that occurred during the quarter ended March 31,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OTHER INFORMATION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5" w:lineRule="exact"/>
        <w:rPr>
          <w:sz w:val="20"/>
          <w:szCs w:val="20"/>
          <w:color w:val="auto"/>
        </w:rPr>
      </w:pPr>
    </w:p>
    <w:p>
      <w:pPr>
        <w:ind w:right="340" w:firstLine="240"/>
        <w:spacing w:after="0" w:line="276" w:lineRule="auto"/>
        <w:rPr>
          <w:sz w:val="20"/>
          <w:szCs w:val="20"/>
          <w:color w:val="auto"/>
        </w:rPr>
      </w:pPr>
      <w:r>
        <w:rPr>
          <w:rFonts w:ascii="Times New Roman" w:cs="Times New Roman" w:eastAsia="Times New Roman" w:hAnsi="Times New Roman"/>
          <w:sz w:val="18"/>
          <w:szCs w:val="18"/>
          <w:color w:val="auto"/>
        </w:rPr>
        <w:t>See Note 9 (Commitments and Contingencies) to the Company’s condensed consolidated financial statements, above, which is incorporated herein by reference.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8"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The risk factors set forth below revise and supplement the corresponding risk factors set forth in the Company's Annual Report on Form 10-K for the year ended December 31, 2023. With the exception of the following, there have been no material changes in the risk factors that appear in the Company's Annual Report on Form 10-K for the year ended December 31, 2023.</w:t>
      </w:r>
    </w:p>
    <w:p>
      <w:pPr>
        <w:spacing w:after="0" w:line="96"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8"/>
          <w:szCs w:val="18"/>
          <w:b w:val="1"/>
          <w:bCs w:val="1"/>
          <w:color w:val="auto"/>
        </w:rPr>
        <w:t>U.S. Food and Drug Administration (FDA) regulation of diagnostic products, increased FDA regulation of laboratory-developed tests (LDTs), and regulation by other countries of diagnostic tests and related products could result in increased costs and the imposition of fines or penalties, and could have a material adverse effect upon the Company’s business.</w:t>
      </w:r>
    </w:p>
    <w:p>
      <w:pPr>
        <w:spacing w:after="0" w:line="8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FDA has regulatory responsibility for instruments, test kits, reagents and other devices used by clinical laboratories. The FDA enforces laws and regulations that govern the development, testing, manufacturing, performance, labeling, advertising, marketing, distribution, and surveillance of diagnostic products, and it regularly inspects and reviews the manufacturing processes and product performance of diagnostic products. Dx’s point-of-care testing devices are subject to regulation by the FDA.</w:t>
      </w:r>
    </w:p>
    <w:p>
      <w:pPr>
        <w:spacing w:after="0" w:line="86"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8"/>
          <w:szCs w:val="18"/>
          <w:color w:val="auto"/>
        </w:rPr>
        <w:t>LDTs developed by high complexity clinical laboratories are currently generally offered as services to health care providers under the CLIA regulatory framework administered by CMS, without the requirement for FDA clearance or approval. However, since the 1990s, the FDA has asserted that it has authority to regulate LDTs as medical devices but has exercised enforcement discretion to refrain from systematic regulation of LDTs. In 2014, the FDA issued draft guidance describing how it intended to discontinue its enforcement discretion policy and begin regulating LDTs as medical devices; however, that draft guidance was not finalized, and the FDA instead continued its enforcement discretion policy and indicated that it intended to work with Congress to enact comprehensive legislative reform of diagnostics oversight. In February 2020, the FDA issued a statement with a table of pharmacogenetic associations setting forth certain gene-drug interactions that the agency determined are supported by the scientific literature to help ensure that claims being made for pharmacogenetic tests are grounded in sound science, thereby reducing the risk of enforcement actions with respect to LDTs offering claims consistent with the table. The FDA noted that it could take enforcement actions under the current medical device framework regarding diagnostic claims the agency determines not to be sufficiently supported. In addition, in 2021, the Verifying Accurate, Leading-edge, IVCT Development (VALID) Act was introduced in Congress and provided a framework to regulate in vitro diagnostics and LDTs as in vitro clinical tests. In 2022, the VALID Act was incorporated into the Senate user fee bill but was not included in the year-end Consolidated Appropriations Act of 2022. On March 29, 2023, the VALID Act was reintroduced and remains pending. On April 29, 2024, the FDA released a final rule purporting to clarify its authority to regulate LDTs as medical devices under the federal Food, Drug, and Cosmetic Act, under which it will phase out its general enforcement discretion approach for LDTs under a four-year period subject to certain continuing enforcement discretion policies. More specifically, among other policies, the final rule provides that the FDA will continue to exercise discretion not to enforce premarket review and most FDA quality system requirements for unmodified LDTs first marketed prior to issuance of the final rule; will continue to exercise discretion not to enforce premarket review requirements for LDTs approved by the State of New York; and will continue to exercise discretion not to enforce premarket review and most FDA quality system requirements for LDTs developed and performed by a laboratory integrated into a health system for unmet needs for patients under the care of the same health system, where no FDA cleared or approved test is available. The Company continues to evaluate the final rule, and it is likely there will be legal challenges that may change the final rule or delay or prevent its enforcement; however, issuance of the final rule presents an increased risk of FDA enforcement actions for laboratory tests offered by companies without FDA clearance or approval that do not fall within the ongoing enforcement discretion policies. However, the outcome and its ultimate impact on the Company’s business remain difficult to predict at this time.</w:t>
      </w:r>
    </w:p>
    <w:p>
      <w:pPr>
        <w:spacing w:after="0" w:line="11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Current FDA regulation of the Company’s diagnostic products and the potential for future increased regulation of the Company’s LDTs could result in increased costs and administrative and legal actions for noncompliance, including warning letters, fines, penalties, product suspensions, product recalls, injunctions, and other civil and criminal sanctions, and could impair the development and commercialization of new tests, which could have a material adverse effect upon the Company.</w:t>
      </w:r>
    </w:p>
    <w:p>
      <w:pPr>
        <w:spacing w:after="0" w:line="86"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Regulation of diagnostics products in jurisdictions outside the U.S. in which the Company operates may impact laboratory testing offered by the Company in both Dx and BLS. For example, the European Union In Vitro Diagnostics Regulation (Regulation (EU) 2017/746 (EU IVDR)) established a new legislative framework for in vitro diagnostic devices that are used in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certain circumstances, and includes a rule-based classification and quality and safety standards. The EU IVDR, where applicable to BLS's services, could impact BLS's ability to support trials, result in increased costs and administrative and legal actions, and have an adverse effect.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(dollars and shares in millions, except per share data)</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During the three months ended March 31, 2024, the Company did not repurchase any of its common stock.</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7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w w:val="97"/>
              </w:rPr>
              <w:t>Total Number of</w:t>
            </w: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3"/>
          </w:tcPr>
          <w:p>
            <w:pPr>
              <w:jc w:val="center"/>
              <w:ind w:right="151"/>
              <w:spacing w:after="0"/>
              <w:rPr>
                <w:sz w:val="20"/>
                <w:szCs w:val="20"/>
                <w:color w:val="auto"/>
              </w:rPr>
            </w:pPr>
            <w:r>
              <w:rPr>
                <w:rFonts w:ascii="Times New Roman" w:cs="Times New Roman" w:eastAsia="Times New Roman" w:hAnsi="Times New Roman"/>
                <w:sz w:val="18"/>
                <w:szCs w:val="18"/>
                <w:color w:val="auto"/>
                <w:w w:val="97"/>
              </w:rPr>
              <w:t>Total Number of Shares</w:t>
            </w:r>
          </w:p>
        </w:tc>
        <w:tc>
          <w:tcPr>
            <w:tcW w:w="214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7"/>
              </w:rPr>
              <w:t>Maximum Dollar Value of</w:t>
            </w:r>
          </w:p>
        </w:tc>
        <w:tc>
          <w:tcPr>
            <w:tcW w:w="0" w:type="dxa"/>
            <w:vAlign w:val="bottom"/>
          </w:tcPr>
          <w:p>
            <w:pPr>
              <w:spacing w:after="0"/>
              <w:rPr>
                <w:sz w:val="1"/>
                <w:szCs w:val="1"/>
                <w:color w:val="auto"/>
              </w:rPr>
            </w:pPr>
          </w:p>
        </w:tc>
      </w:tr>
      <w:tr>
        <w:trPr>
          <w:trHeight w:val="178"/>
        </w:trPr>
        <w:tc>
          <w:tcPr>
            <w:tcW w:w="390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Average Price</w:t>
            </w:r>
          </w:p>
        </w:tc>
        <w:tc>
          <w:tcPr>
            <w:tcW w:w="2220" w:type="dxa"/>
            <w:vAlign w:val="bottom"/>
            <w:gridSpan w:val="3"/>
          </w:tcPr>
          <w:p>
            <w:pPr>
              <w:jc w:val="center"/>
              <w:ind w:right="171"/>
              <w:spacing w:after="0" w:line="178" w:lineRule="exact"/>
              <w:rPr>
                <w:sz w:val="20"/>
                <w:szCs w:val="20"/>
                <w:color w:val="auto"/>
              </w:rPr>
            </w:pPr>
            <w:r>
              <w:rPr>
                <w:rFonts w:ascii="Times New Roman" w:cs="Times New Roman" w:eastAsia="Times New Roman" w:hAnsi="Times New Roman"/>
                <w:sz w:val="18"/>
                <w:szCs w:val="18"/>
                <w:color w:val="auto"/>
                <w:w w:val="99"/>
              </w:rPr>
              <w:t>Repurchased as Part of</w:t>
            </w:r>
          </w:p>
        </w:tc>
        <w:tc>
          <w:tcPr>
            <w:tcW w:w="2140" w:type="dxa"/>
            <w:vAlign w:val="bottom"/>
          </w:tcPr>
          <w:p>
            <w:pPr>
              <w:jc w:val="center"/>
              <w:ind w:right="51"/>
              <w:spacing w:after="0" w:line="178" w:lineRule="exact"/>
              <w:rPr>
                <w:sz w:val="20"/>
                <w:szCs w:val="20"/>
                <w:color w:val="auto"/>
              </w:rPr>
            </w:pPr>
            <w:r>
              <w:rPr>
                <w:rFonts w:ascii="Times New Roman" w:cs="Times New Roman" w:eastAsia="Times New Roman" w:hAnsi="Times New Roman"/>
                <w:sz w:val="18"/>
                <w:szCs w:val="18"/>
                <w:color w:val="auto"/>
                <w:w w:val="97"/>
              </w:rPr>
              <w:t>Shares that May Yet Be</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1780" w:type="dxa"/>
            <w:vAlign w:val="bottom"/>
            <w:gridSpan w:val="2"/>
          </w:tcPr>
          <w:p>
            <w:pPr>
              <w:jc w:val="center"/>
              <w:ind w:right="320"/>
              <w:spacing w:after="0" w:line="173" w:lineRule="exact"/>
              <w:rPr>
                <w:sz w:val="20"/>
                <w:szCs w:val="20"/>
                <w:color w:val="auto"/>
              </w:rPr>
            </w:pPr>
            <w:r>
              <w:rPr>
                <w:rFonts w:ascii="Times New Roman" w:cs="Times New Roman" w:eastAsia="Times New Roman" w:hAnsi="Times New Roman"/>
                <w:sz w:val="18"/>
                <w:szCs w:val="18"/>
                <w:color w:val="auto"/>
                <w:w w:val="95"/>
              </w:rPr>
              <w:t>Shares</w:t>
            </w:r>
          </w:p>
        </w:tc>
        <w:tc>
          <w:tcPr>
            <w:tcW w:w="1200" w:type="dxa"/>
            <w:vAlign w:val="bottom"/>
            <w:gridSpan w:val="3"/>
            <w:vMerge w:val="continue"/>
          </w:tcPr>
          <w:p>
            <w:pPr>
              <w:spacing w:after="0"/>
              <w:rPr>
                <w:sz w:val="15"/>
                <w:szCs w:val="15"/>
                <w:color w:val="auto"/>
              </w:rPr>
            </w:pPr>
          </w:p>
        </w:tc>
        <w:tc>
          <w:tcPr>
            <w:tcW w:w="2220" w:type="dxa"/>
            <w:vAlign w:val="bottom"/>
            <w:gridSpan w:val="3"/>
          </w:tcPr>
          <w:p>
            <w:pPr>
              <w:jc w:val="center"/>
              <w:ind w:right="151"/>
              <w:spacing w:after="0" w:line="173" w:lineRule="exact"/>
              <w:rPr>
                <w:sz w:val="20"/>
                <w:szCs w:val="20"/>
                <w:color w:val="auto"/>
              </w:rPr>
            </w:pPr>
            <w:r>
              <w:rPr>
                <w:rFonts w:ascii="Times New Roman" w:cs="Times New Roman" w:eastAsia="Times New Roman" w:hAnsi="Times New Roman"/>
                <w:sz w:val="18"/>
                <w:szCs w:val="18"/>
                <w:color w:val="auto"/>
                <w:w w:val="98"/>
              </w:rPr>
              <w:t>Publicly Announced</w:t>
            </w:r>
          </w:p>
        </w:tc>
        <w:tc>
          <w:tcPr>
            <w:tcW w:w="2140" w:type="dxa"/>
            <w:vAlign w:val="bottom"/>
          </w:tcPr>
          <w:p>
            <w:pPr>
              <w:jc w:val="center"/>
              <w:ind w:right="71"/>
              <w:spacing w:after="0" w:line="173" w:lineRule="exact"/>
              <w:rPr>
                <w:sz w:val="20"/>
                <w:szCs w:val="20"/>
                <w:color w:val="auto"/>
              </w:rPr>
            </w:pPr>
            <w:r>
              <w:rPr>
                <w:rFonts w:ascii="Times New Roman" w:cs="Times New Roman" w:eastAsia="Times New Roman" w:hAnsi="Times New Roman"/>
                <w:sz w:val="18"/>
                <w:szCs w:val="18"/>
                <w:color w:val="auto"/>
                <w:w w:val="98"/>
              </w:rPr>
              <w:t>Repurchased Under the</w:t>
            </w:r>
          </w:p>
        </w:tc>
        <w:tc>
          <w:tcPr>
            <w:tcW w:w="0" w:type="dxa"/>
            <w:vAlign w:val="bottom"/>
          </w:tcPr>
          <w:p>
            <w:pPr>
              <w:spacing w:after="0"/>
              <w:rPr>
                <w:sz w:val="1"/>
                <w:szCs w:val="1"/>
                <w:color w:val="auto"/>
              </w:rPr>
            </w:pPr>
          </w:p>
        </w:tc>
      </w:tr>
      <w:tr>
        <w:trPr>
          <w:trHeight w:val="227"/>
        </w:trPr>
        <w:tc>
          <w:tcPr>
            <w:tcW w:w="3900" w:type="dxa"/>
            <w:vAlign w:val="bottom"/>
          </w:tcPr>
          <w:p>
            <w:pPr>
              <w:spacing w:after="0"/>
              <w:rPr>
                <w:sz w:val="19"/>
                <w:szCs w:val="19"/>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Repurchased</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Paid Per Share</w:t>
            </w:r>
          </w:p>
        </w:tc>
        <w:tc>
          <w:tcPr>
            <w:tcW w:w="2220" w:type="dxa"/>
            <w:vAlign w:val="bottom"/>
            <w:gridSpan w:val="3"/>
          </w:tcPr>
          <w:p>
            <w:pPr>
              <w:jc w:val="center"/>
              <w:ind w:right="171"/>
              <w:spacing w:after="0"/>
              <w:rPr>
                <w:sz w:val="20"/>
                <w:szCs w:val="20"/>
                <w:color w:val="auto"/>
              </w:rPr>
            </w:pPr>
            <w:r>
              <w:rPr>
                <w:rFonts w:ascii="Times New Roman" w:cs="Times New Roman" w:eastAsia="Times New Roman" w:hAnsi="Times New Roman"/>
                <w:sz w:val="18"/>
                <w:szCs w:val="18"/>
                <w:color w:val="auto"/>
                <w:w w:val="96"/>
              </w:rPr>
              <w:t>Program</w:t>
            </w:r>
          </w:p>
        </w:tc>
        <w:tc>
          <w:tcPr>
            <w:tcW w:w="21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Program</w:t>
            </w:r>
          </w:p>
        </w:tc>
        <w:tc>
          <w:tcPr>
            <w:tcW w:w="0" w:type="dxa"/>
            <w:vAlign w:val="bottom"/>
          </w:tcPr>
          <w:p>
            <w:pPr>
              <w:spacing w:after="0"/>
              <w:rPr>
                <w:sz w:val="1"/>
                <w:szCs w:val="1"/>
                <w:color w:val="auto"/>
              </w:rPr>
            </w:pPr>
          </w:p>
        </w:tc>
      </w:tr>
      <w:tr>
        <w:trPr>
          <w:trHeight w:val="227"/>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January 31</w:t>
            </w:r>
          </w:p>
        </w:tc>
        <w:tc>
          <w:tcPr>
            <w:tcW w:w="17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3"/>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0" w:type="dxa"/>
            <w:vAlign w:val="bottom"/>
          </w:tcPr>
          <w:p>
            <w:pPr>
              <w:spacing w:after="0"/>
              <w:rPr>
                <w:sz w:val="1"/>
                <w:szCs w:val="1"/>
                <w:color w:val="auto"/>
              </w:rPr>
            </w:pPr>
          </w:p>
        </w:tc>
      </w:tr>
      <w:tr>
        <w:trPr>
          <w:trHeight w:val="22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1 -February 29</w:t>
            </w:r>
          </w:p>
        </w:tc>
        <w:tc>
          <w:tcPr>
            <w:tcW w:w="17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0" w:type="dxa"/>
            <w:vAlign w:val="bottom"/>
          </w:tcPr>
          <w:p>
            <w:pPr>
              <w:spacing w:after="0"/>
              <w:rPr>
                <w:sz w:val="1"/>
                <w:szCs w:val="1"/>
                <w:color w:val="auto"/>
              </w:rPr>
            </w:pPr>
          </w:p>
        </w:tc>
      </w:tr>
      <w:tr>
        <w:trPr>
          <w:trHeight w:val="23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March 31</w:t>
            </w:r>
          </w:p>
        </w:tc>
        <w:tc>
          <w:tcPr>
            <w:tcW w:w="17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3"/>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0" w:type="dxa"/>
            <w:vAlign w:val="bottom"/>
          </w:tcPr>
          <w:p>
            <w:pPr>
              <w:spacing w:after="0"/>
              <w:rPr>
                <w:sz w:val="1"/>
                <w:szCs w:val="1"/>
                <w:color w:val="auto"/>
              </w:rPr>
            </w:pPr>
          </w:p>
        </w:tc>
      </w:tr>
      <w:tr>
        <w:trPr>
          <w:trHeight w:val="219"/>
        </w:trPr>
        <w:tc>
          <w:tcPr>
            <w:tcW w:w="3900" w:type="dxa"/>
            <w:vAlign w:val="bottom"/>
            <w:tcBorders>
              <w:top w:val="single" w:sz="8" w:color="CCEEFF"/>
            </w:tcBorders>
          </w:tcPr>
          <w:p>
            <w:pPr>
              <w:spacing w:after="0"/>
              <w:rPr>
                <w:sz w:val="19"/>
                <w:szCs w:val="19"/>
                <w:color w:val="auto"/>
              </w:rPr>
            </w:pPr>
          </w:p>
        </w:tc>
        <w:tc>
          <w:tcPr>
            <w:tcW w:w="1460" w:type="dxa"/>
            <w:vAlign w:val="bottom"/>
            <w:tcBorders>
              <w:top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tcPr>
          <w:p>
            <w:pPr>
              <w:spacing w:after="0"/>
              <w:rPr>
                <w:sz w:val="19"/>
                <w:szCs w:val="19"/>
                <w:color w:val="auto"/>
              </w:rPr>
            </w:pPr>
          </w:p>
        </w:tc>
        <w:tc>
          <w:tcPr>
            <w:tcW w:w="48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As of March 31, 2024, the Company had outstanding authorization from the board of directors to purchase up to $531.5 of the Company's common stock.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repurchase authorization has no expiration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8"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During the three months ended March 31, 2024, no director or officer of the Company adopted or terminated a “Rule 10b5-1 trading arrangement” or “non-Rule 10b5-1 trading arrangement,” as each term is defined in Item 408(a) of Regulation S-K.</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The Reorganization</w:t>
      </w:r>
    </w:p>
    <w:p>
      <w:pPr>
        <w:spacing w:after="0" w:line="14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On April 25, 2024, the Company announced that it intends to implement a new holding company structure on May 17, 2024. The name of the new holding company will be Labcorp Holdings Inc. Labcorp Holdings Inc. will replace Laboratory Corporation of America Holdings as the publicly-traded entity and Laboratory Corporation of America Holdings will become a wholly owned subsidiary of Labcorp Holdings Inc. The name “Labcorp Holdings Inc.” is more closely aligned with our brand name, and the company will have a structure that is optimized to reflect our operations. Common stock will continue to trade on the NYSE on an uninterrupted basis under the existing symbol “LH” and Laboratory Corporation of America Holdings stockholders will automatically become stockholders of Labcorp Holdings Inc. on a one-for-one basis with all of the same rights.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8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41"/>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18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2"/>
        </w:trPr>
        <w:tc>
          <w:tcPr>
            <w:tcW w:w="158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10.1*+</w:t>
            </w:r>
          </w:p>
        </w:tc>
        <w:tc>
          <w:tcPr>
            <w:tcW w:w="9620" w:type="dxa"/>
            <w:vAlign w:val="bottom"/>
            <w:gridSpan w:val="6"/>
          </w:tcPr>
          <w:p>
            <w:pPr>
              <w:spacing w:after="0" w:line="192" w:lineRule="exact"/>
              <w:rPr>
                <w:sz w:val="20"/>
                <w:szCs w:val="20"/>
                <w:color w:val="auto"/>
              </w:rPr>
            </w:pPr>
            <w:r>
              <w:rPr>
                <w:rFonts w:ascii="Times New Roman" w:cs="Times New Roman" w:eastAsia="Times New Roman" w:hAnsi="Times New Roman"/>
                <w:sz w:val="18"/>
                <w:szCs w:val="18"/>
                <w:color w:val="0000FF"/>
              </w:rPr>
              <w:t>Amended and Restated Laboratory Corporation of America Holdings Master Senior Executive Severance Plan</w:t>
            </w:r>
          </w:p>
        </w:tc>
      </w:tr>
      <w:tr>
        <w:trPr>
          <w:trHeight w:val="207"/>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78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by the Chief Executive Officer pursuant to Rule 13a-14(a) or Rule 15d-14(a)</w:t>
            </w:r>
          </w:p>
        </w:tc>
        <w:tc>
          <w:tcPr>
            <w:tcW w:w="1760" w:type="dxa"/>
            <w:vAlign w:val="bottom"/>
            <w:gridSpan w:val="2"/>
          </w:tcPr>
          <w:p>
            <w:pPr>
              <w:spacing w:after="0"/>
              <w:rPr>
                <w:sz w:val="17"/>
                <w:szCs w:val="17"/>
                <w:color w:val="auto"/>
              </w:rPr>
            </w:pPr>
          </w:p>
        </w:tc>
      </w:tr>
      <w:tr>
        <w:trPr>
          <w:trHeight w:val="22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63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Certification by the Chief Financial Officer pursuant to Rule 13a-14(a) or Rule 15d-14(a)</w:t>
            </w:r>
          </w:p>
        </w:tc>
        <w:tc>
          <w:tcPr>
            <w:tcW w:w="40" w:type="dxa"/>
            <w:vAlign w:val="bottom"/>
            <w:tcBorders>
              <w:top w:val="single" w:sz="8" w:color="0000FF"/>
            </w:tcBorders>
          </w:tcPr>
          <w:p>
            <w:pPr>
              <w:spacing w:after="0"/>
              <w:rPr>
                <w:sz w:val="19"/>
                <w:szCs w:val="19"/>
                <w:color w:val="auto"/>
              </w:rPr>
            </w:pPr>
          </w:p>
        </w:tc>
        <w:tc>
          <w:tcPr>
            <w:tcW w:w="3220" w:type="dxa"/>
            <w:vAlign w:val="bottom"/>
            <w:gridSpan w:val="3"/>
          </w:tcPr>
          <w:p>
            <w:pPr>
              <w:spacing w:after="0"/>
              <w:rPr>
                <w:sz w:val="19"/>
                <w:szCs w:val="19"/>
                <w:color w:val="auto"/>
              </w:rPr>
            </w:pPr>
          </w:p>
        </w:tc>
      </w:tr>
      <w:tr>
        <w:trPr>
          <w:trHeight w:val="353"/>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Written Statement of Chief Executive Officer and Chief Financial Officer pursuant to Section 906 of the Sarbanes-Oxley Act of 2002</w:t>
            </w:r>
          </w:p>
        </w:tc>
      </w:tr>
      <w:tr>
        <w:trPr>
          <w:trHeight w:val="153"/>
        </w:trPr>
        <w:tc>
          <w:tcPr>
            <w:tcW w:w="1580" w:type="dxa"/>
            <w:vAlign w:val="bottom"/>
          </w:tcPr>
          <w:p>
            <w:pPr>
              <w:spacing w:after="0"/>
              <w:rPr>
                <w:sz w:val="13"/>
                <w:szCs w:val="13"/>
                <w:color w:val="auto"/>
              </w:rPr>
            </w:pPr>
          </w:p>
        </w:tc>
        <w:tc>
          <w:tcPr>
            <w:tcW w:w="1800" w:type="dxa"/>
            <w:vAlign w:val="bottom"/>
            <w:tcBorders>
              <w:top w:val="single" w:sz="8" w:color="0000FF"/>
              <w:bottom w:val="single" w:sz="8" w:color="0000FF"/>
            </w:tcBorders>
          </w:tcPr>
          <w:p>
            <w:pPr>
              <w:spacing w:after="0" w:line="154" w:lineRule="exact"/>
              <w:rPr>
                <w:sz w:val="20"/>
                <w:szCs w:val="20"/>
                <w:color w:val="auto"/>
              </w:rPr>
            </w:pPr>
            <w:r>
              <w:rPr>
                <w:rFonts w:ascii="Times New Roman" w:cs="Times New Roman" w:eastAsia="Times New Roman" w:hAnsi="Times New Roman"/>
                <w:sz w:val="17"/>
                <w:szCs w:val="17"/>
                <w:color w:val="0000FF"/>
              </w:rPr>
              <w:t>(18 U.S.C. Section 1350)</w:t>
            </w:r>
          </w:p>
        </w:tc>
        <w:tc>
          <w:tcPr>
            <w:tcW w:w="7680" w:type="dxa"/>
            <w:vAlign w:val="bottom"/>
            <w:tcBorders>
              <w:top w:val="single" w:sz="8" w:color="0000FF"/>
            </w:tcBorders>
            <w:gridSpan w:val="4"/>
          </w:tcPr>
          <w:p>
            <w:pPr>
              <w:spacing w:after="0"/>
              <w:rPr>
                <w:sz w:val="13"/>
                <w:szCs w:val="13"/>
                <w:color w:val="auto"/>
              </w:rPr>
            </w:pPr>
          </w:p>
        </w:tc>
        <w:tc>
          <w:tcPr>
            <w:tcW w:w="140" w:type="dxa"/>
            <w:vAlign w:val="bottom"/>
          </w:tcPr>
          <w:p>
            <w:pPr>
              <w:spacing w:after="0"/>
              <w:rPr>
                <w:sz w:val="13"/>
                <w:szCs w:val="13"/>
                <w:color w:val="auto"/>
              </w:rPr>
            </w:pPr>
          </w:p>
        </w:tc>
      </w:tr>
      <w:tr>
        <w:trPr>
          <w:trHeight w:val="207"/>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2"/>
        </w:trPr>
        <w:tc>
          <w:tcPr>
            <w:tcW w:w="1580" w:type="dxa"/>
            <w:vAlign w:val="bottom"/>
          </w:tcPr>
          <w:p>
            <w:pPr>
              <w:spacing w:after="0"/>
              <w:rPr>
                <w:sz w:val="20"/>
                <w:szCs w:val="20"/>
                <w:color w:val="auto"/>
              </w:rPr>
            </w:pP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29"/>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27"/>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27"/>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27"/>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27"/>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32"/>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tc>
      </w:tr>
    </w:tbl>
    <w:p>
      <w:pPr>
        <w:spacing w:after="0" w:line="101" w:lineRule="exact"/>
        <w:rPr>
          <w:sz w:val="20"/>
          <w:szCs w:val="20"/>
          <w:color w:val="auto"/>
        </w:rPr>
      </w:pPr>
    </w:p>
    <w:p>
      <w:pPr>
        <w:ind w:left="1120" w:hanging="1096"/>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5" w:lineRule="exact"/>
        <w:rPr>
          <w:sz w:val="20"/>
          <w:szCs w:val="20"/>
          <w:color w:val="auto"/>
        </w:rPr>
      </w:pPr>
    </w:p>
    <w:p>
      <w:pPr>
        <w:ind w:left="1120" w:hanging="1096"/>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p>
    <w:p>
      <w:pPr>
        <w:ind w:left="1120" w:hanging="1096"/>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or compensatory plans or arrangements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LABORATORY CORPORATION OF AMERICA HOLDINGS</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Registrant</w:t>
      </w:r>
    </w:p>
    <w:p>
      <w:pPr>
        <w:spacing w:after="0" w:line="252" w:lineRule="exact"/>
        <w:rPr>
          <w:sz w:val="20"/>
          <w:szCs w:val="20"/>
          <w:color w:val="auto"/>
        </w:rPr>
      </w:pPr>
    </w:p>
    <w:tbl>
      <w:tblPr>
        <w:tblLayout w:type="fixed"/>
        <w:tblInd w:w="5600" w:type="dxa"/>
        <w:tblCellMar>
          <w:top w:w="0" w:type="dxa"/>
          <w:left w:w="0" w:type="dxa"/>
          <w:bottom w:w="0" w:type="dxa"/>
          <w:right w:w="0" w:type="dxa"/>
        </w:tblCellMar>
      </w:tblPr>
      <w:tr>
        <w:trPr>
          <w:trHeight w:val="207"/>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Pr>
          <w:p>
            <w:pPr>
              <w:spacing w:after="0"/>
              <w:rPr>
                <w:sz w:val="17"/>
                <w:szCs w:val="17"/>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ADAM H. SCHECHTER</w:t>
            </w:r>
          </w:p>
        </w:tc>
      </w:tr>
      <w:tr>
        <w:trPr>
          <w:trHeight w:val="242"/>
        </w:trPr>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H. Schechter</w:t>
            </w:r>
          </w:p>
        </w:tc>
      </w:tr>
      <w:tr>
        <w:trPr>
          <w:trHeight w:val="232"/>
        </w:trPr>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9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GLENN A. EISENBERG</w:t>
            </w:r>
          </w:p>
        </w:tc>
        <w:tc>
          <w:tcPr>
            <w:tcW w:w="20" w:type="dxa"/>
            <w:vAlign w:val="bottom"/>
          </w:tcPr>
          <w:p>
            <w:pPr>
              <w:spacing w:after="0"/>
              <w:rPr>
                <w:sz w:val="24"/>
                <w:szCs w:val="24"/>
                <w:color w:val="auto"/>
              </w:rPr>
            </w:pPr>
          </w:p>
        </w:tc>
      </w:tr>
      <w:tr>
        <w:trPr>
          <w:trHeight w:val="242"/>
        </w:trPr>
        <w:tc>
          <w:tcPr>
            <w:tcW w:w="780" w:type="dxa"/>
            <w:vAlign w:val="bottom"/>
          </w:tcPr>
          <w:p>
            <w:pPr>
              <w:spacing w:after="0"/>
              <w:rPr>
                <w:sz w:val="21"/>
                <w:szCs w:val="21"/>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Glenn A. Eisenberg</w:t>
            </w:r>
          </w:p>
        </w:tc>
      </w:tr>
      <w:tr>
        <w:trPr>
          <w:trHeight w:val="227"/>
        </w:trPr>
        <w:tc>
          <w:tcPr>
            <w:tcW w:w="780" w:type="dxa"/>
            <w:vAlign w:val="bottom"/>
          </w:tcPr>
          <w:p>
            <w:pPr>
              <w:spacing w:after="0"/>
              <w:rPr>
                <w:sz w:val="19"/>
                <w:szCs w:val="19"/>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6"/>
              </w:rPr>
              <w:t>Executive Vice President and</w:t>
            </w:r>
          </w:p>
        </w:tc>
      </w:tr>
      <w:tr>
        <w:trPr>
          <w:trHeight w:val="232"/>
        </w:trPr>
        <w:tc>
          <w:tcPr>
            <w:tcW w:w="78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2024</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121" w:right="479" w:bottom="1440" w:gutter="0" w:footer="0" w:header="0"/>
        </w:sectPr>
      </w:pPr>
    </w:p>
    <w:bookmarkStart w:id="33" w:name="page34"/>
    <w:bookmarkEnd w:id="33"/>
    <w:p>
      <w:pPr>
        <w:spacing w:after="0" w:line="20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1"/>
          <w:szCs w:val="21"/>
          <w:b w:val="1"/>
          <w:bCs w:val="1"/>
          <w:color w:val="auto"/>
        </w:rPr>
        <w:t>AMENDED AND RESTATED</w:t>
      </w:r>
    </w:p>
    <w:p>
      <w:pPr>
        <w:spacing w:after="0" w:line="4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1"/>
          <w:szCs w:val="21"/>
          <w:b w:val="1"/>
          <w:bCs w:val="1"/>
          <w:color w:val="auto"/>
        </w:rPr>
        <w:t>LABORATORY CORPORATION OF AMERICA HOLDINGS</w:t>
      </w:r>
    </w:p>
    <w:p>
      <w:pPr>
        <w:spacing w:after="0" w:line="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MASTER SENIOR EXECUTIVE SEVERANCE PLAN</w:t>
      </w:r>
    </w:p>
    <w:p>
      <w:pPr>
        <w:spacing w:after="0" w:line="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(Effective March 1, 2024)</w:t>
      </w: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PURPOSE</w:t>
      </w:r>
    </w:p>
    <w:p>
      <w:pPr>
        <w:spacing w:after="0" w:line="242"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21"/>
          <w:szCs w:val="21"/>
          <w:color w:val="auto"/>
        </w:rPr>
        <w:t>The purpose of this Amended and Restated Laboratory Corporation of America Holdings Master Senior Executive Severance Plan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is to provide severance benefits for a select group of management employees of Laboratory Corporation of America Holdings. The Plan is intended to replace and consolidate the former Amended and Restated Laboratory Corporation of America Holdings Master Senior Executive Severance Plan and the Amended Laboratory Corporation of America Holdings Master Senior Executive Change in Control Severance Plan, both originally effective February 10, 2009 as well as the Amended and Restated Laboratory Corporation of America Holdings Master Senior Executive Severance Plan effective January 1, 2021. The Plan is not intended to duplicate severance benefits provided to certain employees who have entered into individual agreements relating to employment or the termination thereof.</w:t>
      </w:r>
    </w:p>
    <w:p>
      <w:pPr>
        <w:spacing w:after="0" w:line="1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ARTICLE I DEFINITIONS</w:t>
      </w:r>
    </w:p>
    <w:p>
      <w:pPr>
        <w:spacing w:after="0" w:line="229" w:lineRule="exact"/>
        <w:rPr>
          <w:sz w:val="20"/>
          <w:szCs w:val="20"/>
          <w:color w:val="auto"/>
        </w:rPr>
      </w:pPr>
    </w:p>
    <w:p>
      <w:pPr>
        <w:ind w:left="80" w:right="20" w:firstLine="560"/>
        <w:spacing w:after="0" w:line="301" w:lineRule="auto"/>
        <w:rPr>
          <w:sz w:val="20"/>
          <w:szCs w:val="20"/>
          <w:color w:val="auto"/>
        </w:rPr>
      </w:pPr>
      <w:r>
        <w:rPr>
          <w:rFonts w:ascii="Times New Roman" w:cs="Times New Roman" w:eastAsia="Times New Roman" w:hAnsi="Times New Roman"/>
          <w:sz w:val="21"/>
          <w:szCs w:val="21"/>
          <w:color w:val="auto"/>
        </w:rPr>
        <w:t>When used in this Plan and initially capitalized, the following words and phrases shall have the following meanings unless the context clearly requires otherwise:</w:t>
      </w:r>
    </w:p>
    <w:p>
      <w:pPr>
        <w:spacing w:after="0" w:line="123" w:lineRule="exact"/>
        <w:rPr>
          <w:sz w:val="20"/>
          <w:szCs w:val="20"/>
          <w:color w:val="auto"/>
        </w:rPr>
      </w:pPr>
    </w:p>
    <w:p>
      <w:pPr>
        <w:jc w:val="both"/>
        <w:ind w:firstLine="640"/>
        <w:spacing w:after="0" w:line="260"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b w:val="1"/>
          <w:bCs w:val="1"/>
          <w:color w:val="auto"/>
        </w:rPr>
        <w:t>“Base Salary”</w:t>
      </w:r>
      <w:r>
        <w:rPr>
          <w:rFonts w:ascii="Times New Roman" w:cs="Times New Roman" w:eastAsia="Times New Roman" w:hAnsi="Times New Roman"/>
          <w:sz w:val="21"/>
          <w:szCs w:val="21"/>
          <w:color w:val="auto"/>
        </w:rPr>
        <w:t xml:space="preserve"> shall mean, as to any Covered Employee, the greatest of (1) the Covered Employee’s annual base salary rate, as of the Covered Employees Qualifying Termination, (2) the Covered Employee’s annual base salary rate as of the date the Covered Employee gives notice of a valid Good Reason termination of employment, and (3) if the Covered Employee’s Qualifying Termination occurs within 36 months following a Change in Control, the Covered Employee’s annual base salary rate as of such Change in Control, in all cases, before reduction because of an election between benefits or cash provided under a plan of the Company maintained pursuant to Section 125 or 401(k) of the Internal Revenue Code of 1986, as amended, and before reduction for any other amounts contributed to any other employee benefit plan.</w:t>
      </w:r>
    </w:p>
    <w:p>
      <w:pPr>
        <w:spacing w:after="0" w:line="168" w:lineRule="exact"/>
        <w:rPr>
          <w:sz w:val="20"/>
          <w:szCs w:val="20"/>
          <w:color w:val="auto"/>
        </w:rPr>
      </w:pPr>
    </w:p>
    <w:p>
      <w:pPr>
        <w:ind w:left="640"/>
        <w:spacing w:after="0"/>
        <w:tabs>
          <w:tab w:leader="none" w:pos="134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shall mean, as to any Covered Employee, that such Covered Employee shall have committed prior to the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Covered Employee’s termination of employment with the Company any of the following acts:</w:t>
      </w:r>
    </w:p>
    <w:p>
      <w:pPr>
        <w:spacing w:after="0" w:line="214" w:lineRule="exact"/>
        <w:rPr>
          <w:sz w:val="20"/>
          <w:szCs w:val="20"/>
          <w:color w:val="auto"/>
        </w:rPr>
      </w:pPr>
    </w:p>
    <w:p>
      <w:pPr>
        <w:ind w:left="640" w:right="20" w:firstLine="646"/>
        <w:spacing w:after="0" w:line="287" w:lineRule="auto"/>
        <w:tabs>
          <w:tab w:leader="none" w:pos="1789"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intentional act of fraud, embezzlement, theft, or any other material violation of law in connection with his duties or in the course of his employment with the Company;</w:t>
      </w:r>
    </w:p>
    <w:p>
      <w:pPr>
        <w:spacing w:after="0" w:line="142" w:lineRule="exact"/>
        <w:rPr>
          <w:rFonts w:ascii="Times New Roman" w:cs="Times New Roman" w:eastAsia="Times New Roman" w:hAnsi="Times New Roman"/>
          <w:sz w:val="21"/>
          <w:szCs w:val="21"/>
          <w:color w:val="auto"/>
        </w:rPr>
      </w:pPr>
    </w:p>
    <w:p>
      <w:pPr>
        <w:ind w:left="1800" w:hanging="514"/>
        <w:spacing w:after="0"/>
        <w:tabs>
          <w:tab w:leader="none" w:pos="180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conviction of or entering of a plea of nolo contendere to a felony;</w:t>
      </w:r>
    </w:p>
    <w:p>
      <w:pPr>
        <w:spacing w:after="0" w:line="224" w:lineRule="exact"/>
        <w:rPr>
          <w:rFonts w:ascii="Times New Roman" w:cs="Times New Roman" w:eastAsia="Times New Roman" w:hAnsi="Times New Roman"/>
          <w:sz w:val="21"/>
          <w:szCs w:val="21"/>
          <w:color w:val="auto"/>
        </w:rPr>
      </w:pPr>
    </w:p>
    <w:p>
      <w:pPr>
        <w:ind w:left="1740" w:hanging="454"/>
        <w:spacing w:after="0"/>
        <w:tabs>
          <w:tab w:leader="none" w:pos="174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alcohol intoxication on the job or current illegal drug use;</w:t>
      </w:r>
    </w:p>
    <w:p>
      <w:pPr>
        <w:spacing w:after="0" w:line="224" w:lineRule="exact"/>
        <w:rPr>
          <w:rFonts w:ascii="Times New Roman" w:cs="Times New Roman" w:eastAsia="Times New Roman" w:hAnsi="Times New Roman"/>
          <w:sz w:val="21"/>
          <w:szCs w:val="21"/>
          <w:color w:val="auto"/>
        </w:rPr>
      </w:pPr>
    </w:p>
    <w:p>
      <w:pPr>
        <w:ind w:left="1740" w:hanging="454"/>
        <w:spacing w:after="0"/>
        <w:tabs>
          <w:tab w:leader="none" w:pos="174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intentional wrongful damage to tangible assets of the Company;</w:t>
      </w:r>
    </w:p>
    <w:p>
      <w:pPr>
        <w:sectPr>
          <w:pgSz w:w="11900" w:h="16838" w:orient="portrait"/>
          <w:cols w:equalWidth="0" w:num="1">
            <w:col w:w="11100"/>
          </w:cols>
          <w:pgMar w:left="320" w:top="1440" w:right="479" w:bottom="1440" w:gutter="0" w:footer="0" w:header="0"/>
        </w:sectPr>
      </w:pPr>
    </w:p>
    <w:bookmarkStart w:id="34" w:name="page35"/>
    <w:bookmarkEnd w:id="34"/>
    <w:p>
      <w:pPr>
        <w:jc w:val="both"/>
        <w:ind w:left="640" w:firstLine="646"/>
        <w:spacing w:after="0" w:line="269" w:lineRule="auto"/>
        <w:tabs>
          <w:tab w:leader="none" w:pos="190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intentional wrongful disclosure of material confidential information of the Company and/or materially breaching the noncompetition, non-solicitation or confidentiality provisions of any noncompetition, non-solicitation or confidentiality agreement, plan or policy covering the activities of such Covered Employee;</w:t>
      </w:r>
    </w:p>
    <w:p>
      <w:pPr>
        <w:spacing w:after="0" w:line="160" w:lineRule="exact"/>
        <w:rPr>
          <w:rFonts w:ascii="Times New Roman" w:cs="Times New Roman" w:eastAsia="Times New Roman" w:hAnsi="Times New Roman"/>
          <w:sz w:val="21"/>
          <w:szCs w:val="21"/>
          <w:color w:val="auto"/>
        </w:rPr>
      </w:pPr>
    </w:p>
    <w:p>
      <w:pPr>
        <w:ind w:left="1720" w:hanging="434"/>
        <w:spacing w:after="0"/>
        <w:tabs>
          <w:tab w:leader="none" w:pos="172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knowing and intentional breach of any employment policy of the Company;</w:t>
      </w:r>
    </w:p>
    <w:p>
      <w:pPr>
        <w:spacing w:after="0" w:line="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or</w:t>
      </w:r>
    </w:p>
    <w:p>
      <w:pPr>
        <w:spacing w:after="0" w:line="201" w:lineRule="exact"/>
        <w:rPr>
          <w:sz w:val="20"/>
          <w:szCs w:val="20"/>
          <w:color w:val="auto"/>
        </w:rPr>
      </w:pPr>
    </w:p>
    <w:p>
      <w:pPr>
        <w:ind w:left="1800" w:hanging="514"/>
        <w:spacing w:after="0"/>
        <w:tabs>
          <w:tab w:leader="none" w:pos="180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gross neglect or misconduct, disloyalty, dishonesty, or breach of trust in the</w:t>
      </w:r>
    </w:p>
    <w:p>
      <w:pPr>
        <w:spacing w:after="0" w:line="37" w:lineRule="exact"/>
        <w:rPr>
          <w:sz w:val="20"/>
          <w:szCs w:val="20"/>
          <w:color w:val="auto"/>
        </w:rPr>
      </w:pPr>
    </w:p>
    <w:p>
      <w:pPr>
        <w:ind w:left="740" w:right="160"/>
        <w:spacing w:after="0" w:line="276" w:lineRule="auto"/>
        <w:rPr>
          <w:sz w:val="20"/>
          <w:szCs w:val="20"/>
          <w:color w:val="auto"/>
        </w:rPr>
      </w:pPr>
      <w:r>
        <w:rPr>
          <w:rFonts w:ascii="Times New Roman" w:cs="Times New Roman" w:eastAsia="Times New Roman" w:hAnsi="Times New Roman"/>
          <w:sz w:val="21"/>
          <w:szCs w:val="21"/>
          <w:color w:val="auto"/>
        </w:rPr>
        <w:t>performance of the Covered Employee’s duties that is not corrected to the Company’s satisfaction within 30 days of the Covered Employee receiving notice thereof.</w:t>
      </w:r>
    </w:p>
    <w:p>
      <w:pPr>
        <w:spacing w:after="0" w:line="149" w:lineRule="exact"/>
        <w:rPr>
          <w:sz w:val="20"/>
          <w:szCs w:val="20"/>
          <w:color w:val="auto"/>
        </w:rPr>
      </w:pPr>
    </w:p>
    <w:p>
      <w:pPr>
        <w:ind w:right="20" w:firstLine="640"/>
        <w:spacing w:after="0" w:line="291" w:lineRule="auto"/>
        <w:rPr>
          <w:sz w:val="20"/>
          <w:szCs w:val="20"/>
          <w:color w:val="auto"/>
        </w:rPr>
      </w:pPr>
      <w:r>
        <w:rPr>
          <w:rFonts w:ascii="Times New Roman" w:cs="Times New Roman" w:eastAsia="Times New Roman" w:hAnsi="Times New Roman"/>
          <w:sz w:val="21"/>
          <w:szCs w:val="21"/>
          <w:color w:val="auto"/>
        </w:rPr>
        <w:t>1.3 “</w:t>
      </w: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shall have the meaning given such term in the Company’s 2016 Omnibus Incentive Plan, as it may be amended from time to time, or any successor thereto.</w:t>
      </w:r>
    </w:p>
    <w:p>
      <w:pPr>
        <w:spacing w:after="0" w:line="134"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21"/>
          <w:szCs w:val="21"/>
          <w:color w:val="auto"/>
        </w:rPr>
        <w:t>1.4</w:t>
        <w:tab/>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shall mean Laboratory Corporation of America Holdings and any successor corporation.</w:t>
      </w:r>
    </w:p>
    <w:p>
      <w:pPr>
        <w:spacing w:after="0" w:line="23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1"/>
          <w:szCs w:val="21"/>
          <w:color w:val="auto"/>
        </w:rPr>
        <w:t>1.5</w:t>
        <w:tab/>
        <w:t>“</w:t>
      </w:r>
      <w:r>
        <w:rPr>
          <w:rFonts w:ascii="Times New Roman" w:cs="Times New Roman" w:eastAsia="Times New Roman" w:hAnsi="Times New Roman"/>
          <w:sz w:val="21"/>
          <w:szCs w:val="21"/>
          <w:b w:val="1"/>
          <w:bCs w:val="1"/>
          <w:color w:val="auto"/>
        </w:rPr>
        <w:t>Covered Employee</w:t>
      </w:r>
      <w:r>
        <w:rPr>
          <w:rFonts w:ascii="Times New Roman" w:cs="Times New Roman" w:eastAsia="Times New Roman" w:hAnsi="Times New Roman"/>
          <w:sz w:val="21"/>
          <w:szCs w:val="21"/>
          <w:color w:val="auto"/>
        </w:rPr>
        <w:t>” shall mean an employee described in ARTICLE II of the</w:t>
      </w:r>
    </w:p>
    <w:p>
      <w:pPr>
        <w:spacing w:after="0" w:line="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Plan.</w:t>
      </w:r>
    </w:p>
    <w:p>
      <w:pPr>
        <w:spacing w:after="0" w:line="197" w:lineRule="exact"/>
        <w:rPr>
          <w:sz w:val="20"/>
          <w:szCs w:val="20"/>
          <w:color w:val="auto"/>
        </w:rPr>
      </w:pPr>
    </w:p>
    <w:p>
      <w:pPr>
        <w:ind w:left="100" w:right="2860" w:firstLine="560"/>
        <w:spacing w:after="0" w:line="291" w:lineRule="auto"/>
        <w:rPr>
          <w:sz w:val="20"/>
          <w:szCs w:val="20"/>
          <w:color w:val="auto"/>
        </w:rPr>
      </w:pPr>
      <w:r>
        <w:rPr>
          <w:rFonts w:ascii="Times New Roman" w:cs="Times New Roman" w:eastAsia="Times New Roman" w:hAnsi="Times New Roman"/>
          <w:sz w:val="21"/>
          <w:szCs w:val="21"/>
          <w:color w:val="auto"/>
        </w:rPr>
        <w:t>1.6 “</w:t>
      </w:r>
      <w:r>
        <w:rPr>
          <w:rFonts w:ascii="Times New Roman" w:cs="Times New Roman" w:eastAsia="Times New Roman" w:hAnsi="Times New Roman"/>
          <w:sz w:val="21"/>
          <w:szCs w:val="21"/>
          <w:b w:val="1"/>
          <w:bCs w:val="1"/>
          <w:color w:val="auto"/>
        </w:rPr>
        <w:t>Designated Group</w:t>
      </w:r>
      <w:r>
        <w:rPr>
          <w:rFonts w:ascii="Times New Roman" w:cs="Times New Roman" w:eastAsia="Times New Roman" w:hAnsi="Times New Roman"/>
          <w:sz w:val="21"/>
          <w:szCs w:val="21"/>
          <w:color w:val="auto"/>
        </w:rPr>
        <w:t>” shall mean any one of the groups of employees designated as such on Schedule 1 attached hereto.</w:t>
      </w:r>
    </w:p>
    <w:p>
      <w:pPr>
        <w:spacing w:after="0" w:line="13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1"/>
          <w:szCs w:val="21"/>
          <w:color w:val="auto"/>
        </w:rPr>
        <w:t>1.7</w:t>
        <w:tab/>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shall mean January 1, 2021.</w:t>
      </w:r>
    </w:p>
    <w:p>
      <w:pPr>
        <w:spacing w:after="0" w:line="23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1"/>
          <w:szCs w:val="21"/>
          <w:color w:val="auto"/>
        </w:rPr>
        <w:t>1.8</w:t>
        <w:tab/>
        <w:t>“</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shall mean:</w:t>
      </w:r>
    </w:p>
    <w:p>
      <w:pPr>
        <w:spacing w:after="0" w:line="229" w:lineRule="exact"/>
        <w:rPr>
          <w:sz w:val="20"/>
          <w:szCs w:val="20"/>
          <w:color w:val="auto"/>
        </w:rPr>
      </w:pPr>
    </w:p>
    <w:p>
      <w:pPr>
        <w:ind w:left="640" w:right="80" w:firstLine="726"/>
        <w:spacing w:after="0" w:line="287" w:lineRule="auto"/>
        <w:tabs>
          <w:tab w:leader="none" w:pos="1863"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reduction in the base salary or targeted bonus as a percent of a base salary without the consent of the Covered Employee;</w:t>
      </w:r>
    </w:p>
    <w:p>
      <w:pPr>
        <w:spacing w:after="0" w:line="142" w:lineRule="exact"/>
        <w:rPr>
          <w:rFonts w:ascii="Times New Roman" w:cs="Times New Roman" w:eastAsia="Times New Roman" w:hAnsi="Times New Roman"/>
          <w:sz w:val="21"/>
          <w:szCs w:val="21"/>
          <w:color w:val="auto"/>
        </w:rPr>
      </w:pPr>
    </w:p>
    <w:p>
      <w:pPr>
        <w:ind w:left="640" w:right="120" w:firstLine="726"/>
        <w:spacing w:after="0" w:line="287" w:lineRule="auto"/>
        <w:tabs>
          <w:tab w:leader="none" w:pos="1821"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relocation to an office location more than 75 miles from the Covered Employee’s current office without the consent of the Covered Employee; or</w:t>
      </w:r>
    </w:p>
    <w:p>
      <w:pPr>
        <w:spacing w:after="0" w:line="155" w:lineRule="exact"/>
        <w:rPr>
          <w:rFonts w:ascii="Times New Roman" w:cs="Times New Roman" w:eastAsia="Times New Roman" w:hAnsi="Times New Roman"/>
          <w:sz w:val="21"/>
          <w:szCs w:val="21"/>
          <w:color w:val="auto"/>
        </w:rPr>
      </w:pPr>
    </w:p>
    <w:p>
      <w:pPr>
        <w:ind w:left="640" w:right="260" w:firstLine="726"/>
        <w:spacing w:after="0" w:line="287" w:lineRule="auto"/>
        <w:tabs>
          <w:tab w:leader="none" w:pos="1863"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reduction in job responsibilities and duties or transfer to another job without the consent of the Covered Employee.</w:t>
      </w:r>
    </w:p>
    <w:p>
      <w:pPr>
        <w:spacing w:after="0" w:line="14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1"/>
          <w:szCs w:val="21"/>
          <w:color w:val="auto"/>
        </w:rPr>
        <w:t>Notwithstanding the foregoing, “Good Reason” shall not include a reduction in base salary or target bonus of the Covered Employee where such reduction is pursuant to a Company-wide reduction of base salaries and/or target bonuses.</w:t>
      </w:r>
    </w:p>
    <w:p>
      <w:pPr>
        <w:spacing w:after="0" w:line="138" w:lineRule="exact"/>
        <w:rPr>
          <w:sz w:val="20"/>
          <w:szCs w:val="20"/>
          <w:color w:val="auto"/>
        </w:rPr>
      </w:pPr>
    </w:p>
    <w:p>
      <w:pPr>
        <w:ind w:firstLine="640"/>
        <w:spacing w:after="0" w:line="305" w:lineRule="auto"/>
        <w:rPr>
          <w:sz w:val="20"/>
          <w:szCs w:val="20"/>
          <w:color w:val="auto"/>
        </w:rPr>
      </w:pPr>
      <w:r>
        <w:rPr>
          <w:rFonts w:ascii="Times New Roman" w:cs="Times New Roman" w:eastAsia="Times New Roman" w:hAnsi="Times New Roman"/>
          <w:sz w:val="21"/>
          <w:szCs w:val="21"/>
          <w:color w:val="auto"/>
        </w:rPr>
        <w:t>1.9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shall mean this Amended and Restated Laboratory Corporation of America Holdings Master Senior Executive Severance Plan, as the same may hereafter be amended from time to time.</w:t>
      </w:r>
    </w:p>
    <w:p>
      <w:pPr>
        <w:spacing w:after="0" w:line="11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color w:val="auto"/>
        </w:rPr>
        <w:t>1.10</w:t>
        <w:tab/>
        <w:t>“</w:t>
      </w:r>
      <w:r>
        <w:rPr>
          <w:rFonts w:ascii="Times New Roman" w:cs="Times New Roman" w:eastAsia="Times New Roman" w:hAnsi="Times New Roman"/>
          <w:sz w:val="21"/>
          <w:szCs w:val="21"/>
          <w:b w:val="1"/>
          <w:bCs w:val="1"/>
          <w:color w:val="auto"/>
        </w:rPr>
        <w:t>Qualifying Termination</w:t>
      </w:r>
      <w:r>
        <w:rPr>
          <w:rFonts w:ascii="Times New Roman" w:cs="Times New Roman" w:eastAsia="Times New Roman" w:hAnsi="Times New Roman"/>
          <w:sz w:val="21"/>
          <w:szCs w:val="21"/>
          <w:color w:val="auto"/>
        </w:rPr>
        <w:t>” shall mean:</w:t>
      </w:r>
    </w:p>
    <w:p>
      <w:pPr>
        <w:spacing w:after="0" w:line="229" w:lineRule="exact"/>
        <w:rPr>
          <w:sz w:val="20"/>
          <w:szCs w:val="20"/>
          <w:color w:val="auto"/>
        </w:rPr>
      </w:pPr>
    </w:p>
    <w:p>
      <w:pPr>
        <w:ind w:left="1280"/>
        <w:spacing w:after="0"/>
        <w:tabs>
          <w:tab w:leader="none" w:pos="1720" w:val="left"/>
        </w:tabs>
        <w:rPr>
          <w:sz w:val="20"/>
          <w:szCs w:val="20"/>
          <w:color w:val="auto"/>
        </w:rPr>
      </w:pPr>
      <w:r>
        <w:rPr>
          <w:rFonts w:ascii="Times New Roman" w:cs="Times New Roman" w:eastAsia="Times New Roman" w:hAnsi="Times New Roman"/>
          <w:sz w:val="21"/>
          <w:szCs w:val="21"/>
          <w:color w:val="auto"/>
        </w:rPr>
        <w:t>(a)</w:t>
        <w:tab/>
        <w:t>an involuntary Termination without Cause; or</w:t>
      </w:r>
    </w:p>
    <w:p>
      <w:pPr>
        <w:sectPr>
          <w:pgSz w:w="11900" w:h="16838" w:orient="portrait"/>
          <w:cols w:equalWidth="0" w:num="1">
            <w:col w:w="11100"/>
          </w:cols>
          <w:pgMar w:left="320" w:top="1405" w:right="479" w:bottom="1440" w:gutter="0" w:footer="0" w:header="0"/>
        </w:sectPr>
      </w:pPr>
    </w:p>
    <w:bookmarkStart w:id="35" w:name="page36"/>
    <w:bookmarkEnd w:id="35"/>
    <w:p>
      <w:pPr>
        <w:jc w:val="both"/>
        <w:ind w:left="720" w:firstLine="566"/>
        <w:spacing w:after="0" w:line="258" w:lineRule="auto"/>
        <w:tabs>
          <w:tab w:leader="none" w:pos="1789"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voluntary Termination with Good Reason; provided, however, that to constitute a Qualifying Termination for Good Reason, (1) the Covered Employee must provide written notice to the Company detailing the events that constitute Good Reason and the Covered Employee’s desire to terminate the Covered Employee’s employment with the Company no later than 30 days after the Covered Employee learns of the circumstances constituting Good Reason, (2) the Company must fail to cure such circumstances within 30 days after receipt of said notice (“</w:t>
      </w:r>
      <w:r>
        <w:rPr>
          <w:rFonts w:ascii="Times New Roman" w:cs="Times New Roman" w:eastAsia="Times New Roman" w:hAnsi="Times New Roman"/>
          <w:sz w:val="21"/>
          <w:szCs w:val="21"/>
          <w:b w:val="1"/>
          <w:bCs w:val="1"/>
          <w:color w:val="auto"/>
        </w:rPr>
        <w:t>Cure Period</w:t>
      </w:r>
      <w:r>
        <w:rPr>
          <w:rFonts w:ascii="Times New Roman" w:cs="Times New Roman" w:eastAsia="Times New Roman" w:hAnsi="Times New Roman"/>
          <w:sz w:val="21"/>
          <w:szCs w:val="21"/>
          <w:color w:val="auto"/>
        </w:rPr>
        <w:t>”), and (3) the Covered Employee must actually have a Termination within 30 days after the end of said Cure Period. If the preceding procedures are not followed, such Termination shall be considered a voluntary Termination without Good Reason and not a Qualifying Termination.</w:t>
      </w:r>
    </w:p>
    <w:p>
      <w:pPr>
        <w:spacing w:after="0" w:line="17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1"/>
          <w:szCs w:val="21"/>
          <w:color w:val="auto"/>
        </w:rPr>
        <w:t>Notwithstanding the foregoing, a “Qualifying Termination” shall not mean any Termination of a Covered Employee’s employment with the Company by reason of death, disability, or retirement of the Covered employee.</w:t>
      </w:r>
    </w:p>
    <w:p>
      <w:pPr>
        <w:spacing w:after="0" w:line="138" w:lineRule="exact"/>
        <w:rPr>
          <w:sz w:val="20"/>
          <w:szCs w:val="20"/>
          <w:color w:val="auto"/>
        </w:rPr>
      </w:pPr>
    </w:p>
    <w:p>
      <w:pPr>
        <w:ind w:left="640"/>
        <w:spacing w:after="0"/>
        <w:tabs>
          <w:tab w:leader="none" w:pos="1200" w:val="left"/>
        </w:tabs>
        <w:rPr>
          <w:sz w:val="20"/>
          <w:szCs w:val="20"/>
          <w:color w:val="auto"/>
        </w:rPr>
      </w:pPr>
      <w:r>
        <w:rPr>
          <w:rFonts w:ascii="Times New Roman" w:cs="Times New Roman" w:eastAsia="Times New Roman" w:hAnsi="Times New Roman"/>
          <w:sz w:val="21"/>
          <w:szCs w:val="21"/>
          <w:color w:val="auto"/>
        </w:rPr>
        <w:t>1.11</w:t>
        <w:tab/>
        <w:t>“</w:t>
      </w:r>
      <w:r>
        <w:rPr>
          <w:rFonts w:ascii="Times New Roman" w:cs="Times New Roman" w:eastAsia="Times New Roman" w:hAnsi="Times New Roman"/>
          <w:sz w:val="21"/>
          <w:szCs w:val="21"/>
          <w:b w:val="1"/>
          <w:bCs w:val="1"/>
          <w:color w:val="auto"/>
        </w:rPr>
        <w:t>Severance Pay</w:t>
      </w:r>
      <w:r>
        <w:rPr>
          <w:rFonts w:ascii="Times New Roman" w:cs="Times New Roman" w:eastAsia="Times New Roman" w:hAnsi="Times New Roman"/>
          <w:sz w:val="21"/>
          <w:szCs w:val="21"/>
          <w:color w:val="auto"/>
        </w:rPr>
        <w:t>” shall mean the sum payable as set forth in Section 3.1 of the Plan.</w:t>
      </w:r>
    </w:p>
    <w:p>
      <w:pPr>
        <w:spacing w:after="0" w:line="238" w:lineRule="exact"/>
        <w:rPr>
          <w:sz w:val="20"/>
          <w:szCs w:val="20"/>
          <w:color w:val="auto"/>
        </w:rPr>
      </w:pPr>
    </w:p>
    <w:p>
      <w:pPr>
        <w:jc w:val="both"/>
        <w:ind w:firstLine="640"/>
        <w:spacing w:after="0" w:line="259" w:lineRule="auto"/>
        <w:rPr>
          <w:sz w:val="20"/>
          <w:szCs w:val="20"/>
          <w:color w:val="auto"/>
        </w:rPr>
      </w:pPr>
      <w:r>
        <w:rPr>
          <w:rFonts w:ascii="Times New Roman" w:cs="Times New Roman" w:eastAsia="Times New Roman" w:hAnsi="Times New Roman"/>
          <w:sz w:val="21"/>
          <w:szCs w:val="21"/>
          <w:color w:val="auto"/>
        </w:rPr>
        <w:t>1.12 “</w:t>
      </w:r>
      <w:r>
        <w:rPr>
          <w:rFonts w:ascii="Times New Roman" w:cs="Times New Roman" w:eastAsia="Times New Roman" w:hAnsi="Times New Roman"/>
          <w:sz w:val="21"/>
          <w:szCs w:val="21"/>
          <w:b w:val="1"/>
          <w:bCs w:val="1"/>
          <w:color w:val="auto"/>
        </w:rPr>
        <w:t>MIB Average Bonus</w:t>
      </w:r>
      <w:r>
        <w:rPr>
          <w:rFonts w:ascii="Times New Roman" w:cs="Times New Roman" w:eastAsia="Times New Roman" w:hAnsi="Times New Roman"/>
          <w:sz w:val="21"/>
          <w:szCs w:val="21"/>
          <w:color w:val="auto"/>
        </w:rPr>
        <w:t>” shall mean the total dollar amount of the last three MIB Bonuses paid to the Covered Employee divided by (3) three. If, however, (i) the Covered Employee has received less than three MIB Bonuses during the term of the Covered Employee’s employment, then the MIB Average Bonus shall equal the total dollar amount of the MIB Bonuses paid to the Covered Employee divided by the number of MIB Bonuses received by the Covered Employee, and (ii) if the Covered Employee has not received any MIB Bonuses during the term of the Covered Employee’s employment, then the MIB Average Bonus shall equal the Covered Employee’s target MIB Bonus for the year of the Covered Employee’s Qualifying Termination. In all cases, the total dollar amount of an MIB Bonus paid to a Covered Employee who was employed for less than a full MIB Bonus measurement period, shall be annualized.</w:t>
      </w:r>
    </w:p>
    <w:p>
      <w:pPr>
        <w:spacing w:after="0" w:line="167" w:lineRule="exact"/>
        <w:rPr>
          <w:sz w:val="20"/>
          <w:szCs w:val="20"/>
          <w:color w:val="auto"/>
        </w:rPr>
      </w:pPr>
    </w:p>
    <w:p>
      <w:pPr>
        <w:jc w:val="both"/>
        <w:ind w:firstLine="640"/>
        <w:spacing w:after="0" w:line="291" w:lineRule="auto"/>
        <w:rPr>
          <w:sz w:val="20"/>
          <w:szCs w:val="20"/>
          <w:color w:val="auto"/>
        </w:rPr>
      </w:pPr>
      <w:r>
        <w:rPr>
          <w:rFonts w:ascii="Times New Roman" w:cs="Times New Roman" w:eastAsia="Times New Roman" w:hAnsi="Times New Roman"/>
          <w:sz w:val="21"/>
          <w:szCs w:val="21"/>
          <w:color w:val="auto"/>
        </w:rPr>
        <w:t>1.13 “</w:t>
      </w:r>
      <w:r>
        <w:rPr>
          <w:rFonts w:ascii="Times New Roman" w:cs="Times New Roman" w:eastAsia="Times New Roman" w:hAnsi="Times New Roman"/>
          <w:sz w:val="21"/>
          <w:szCs w:val="21"/>
          <w:b w:val="1"/>
          <w:bCs w:val="1"/>
          <w:color w:val="auto"/>
        </w:rPr>
        <w:t>MIB Bonus”</w:t>
      </w:r>
      <w:r>
        <w:rPr>
          <w:rFonts w:ascii="Times New Roman" w:cs="Times New Roman" w:eastAsia="Times New Roman" w:hAnsi="Times New Roman"/>
          <w:sz w:val="21"/>
          <w:szCs w:val="21"/>
          <w:color w:val="auto"/>
        </w:rPr>
        <w:t xml:space="preserve"> shall mean the annual cash incentive bonus paid to the Covered Employee under the applicable annual cash incentive performance plan or program of the Company.</w:t>
      </w:r>
    </w:p>
    <w:p>
      <w:pPr>
        <w:spacing w:after="0" w:line="147" w:lineRule="exact"/>
        <w:rPr>
          <w:sz w:val="20"/>
          <w:szCs w:val="20"/>
          <w:color w:val="auto"/>
        </w:rPr>
      </w:pPr>
    </w:p>
    <w:p>
      <w:pPr>
        <w:jc w:val="both"/>
        <w:ind w:firstLine="640"/>
        <w:spacing w:after="0" w:line="291" w:lineRule="auto"/>
        <w:rPr>
          <w:sz w:val="20"/>
          <w:szCs w:val="20"/>
          <w:color w:val="auto"/>
        </w:rPr>
      </w:pPr>
      <w:r>
        <w:rPr>
          <w:rFonts w:ascii="Times New Roman" w:cs="Times New Roman" w:eastAsia="Times New Roman" w:hAnsi="Times New Roman"/>
          <w:sz w:val="21"/>
          <w:szCs w:val="21"/>
          <w:color w:val="auto"/>
        </w:rPr>
        <w:t>1.14 “</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shall mean the period commencing on the Effective Date and ending at the time determined in accordance with Section 7.2.</w:t>
      </w:r>
    </w:p>
    <w:p>
      <w:pPr>
        <w:spacing w:after="0" w:line="134" w:lineRule="exact"/>
        <w:rPr>
          <w:sz w:val="20"/>
          <w:szCs w:val="20"/>
          <w:color w:val="auto"/>
        </w:rPr>
      </w:pPr>
    </w:p>
    <w:p>
      <w:pPr>
        <w:jc w:val="both"/>
        <w:ind w:firstLine="640"/>
        <w:spacing w:after="0" w:line="291" w:lineRule="auto"/>
        <w:rPr>
          <w:sz w:val="20"/>
          <w:szCs w:val="20"/>
          <w:color w:val="auto"/>
        </w:rPr>
      </w:pPr>
      <w:r>
        <w:rPr>
          <w:rFonts w:ascii="Times New Roman" w:cs="Times New Roman" w:eastAsia="Times New Roman" w:hAnsi="Times New Roman"/>
          <w:sz w:val="21"/>
          <w:szCs w:val="21"/>
          <w:color w:val="auto"/>
        </w:rPr>
        <w:t>1.15 “</w:t>
      </w:r>
      <w:r>
        <w:rPr>
          <w:rFonts w:ascii="Times New Roman" w:cs="Times New Roman" w:eastAsia="Times New Roman" w:hAnsi="Times New Roman"/>
          <w:sz w:val="21"/>
          <w:szCs w:val="21"/>
          <w:b w:val="1"/>
          <w:bCs w:val="1"/>
          <w:color w:val="auto"/>
        </w:rPr>
        <w:t>Termination</w:t>
      </w:r>
      <w:r>
        <w:rPr>
          <w:rFonts w:ascii="Times New Roman" w:cs="Times New Roman" w:eastAsia="Times New Roman" w:hAnsi="Times New Roman"/>
          <w:sz w:val="21"/>
          <w:szCs w:val="21"/>
          <w:color w:val="auto"/>
        </w:rPr>
        <w:t>” shall cover all terminations of employment referred to under this Plan and shall mean a “separation from service” as defined in Section 409A of the Internal Revenue Code of 1986, as amended (the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as amended.</w:t>
      </w:r>
    </w:p>
    <w:p>
      <w:pPr>
        <w:spacing w:after="0" w:line="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ARTICLE II</w:t>
      </w:r>
    </w:p>
    <w:p>
      <w:pPr>
        <w:spacing w:after="0" w:line="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COVERED EMPLOYEES</w:t>
      </w:r>
    </w:p>
    <w:p>
      <w:pPr>
        <w:spacing w:after="0" w:line="103" w:lineRule="exact"/>
        <w:rPr>
          <w:sz w:val="20"/>
          <w:szCs w:val="20"/>
          <w:color w:val="auto"/>
        </w:rPr>
      </w:pPr>
    </w:p>
    <w:p>
      <w:pPr>
        <w:jc w:val="both"/>
        <w:ind w:firstLine="640"/>
        <w:spacing w:after="0" w:line="265"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b w:val="1"/>
          <w:bCs w:val="1"/>
          <w:color w:val="auto"/>
        </w:rPr>
        <w:t>Status as a Covered Employee</w:t>
      </w:r>
      <w:r>
        <w:rPr>
          <w:rFonts w:ascii="Times New Roman" w:cs="Times New Roman" w:eastAsia="Times New Roman" w:hAnsi="Times New Roman"/>
          <w:sz w:val="21"/>
          <w:szCs w:val="21"/>
          <w:color w:val="auto"/>
        </w:rPr>
        <w:t>. Any management employee of the Company designated by the Board to participate in the Plan and who is at the time of a Qualifying Termination such a designated employee shall be eligible to receive the benefits described in the Plan. As of the Effective Date, those employees so designated by the Board are as set forth on the attached Schedule 1. No employee who is entitled to receive payments under an individual</w:t>
      </w:r>
    </w:p>
    <w:p>
      <w:pPr>
        <w:sectPr>
          <w:pgSz w:w="11900" w:h="16838" w:orient="portrait"/>
          <w:cols w:equalWidth="0" w:num="1">
            <w:col w:w="11100"/>
          </w:cols>
          <w:pgMar w:left="320" w:top="1405" w:right="479" w:bottom="1440" w:gutter="0" w:footer="0" w:header="0"/>
        </w:sectPr>
      </w:pPr>
    </w:p>
    <w:bookmarkStart w:id="36" w:name="page37"/>
    <w:bookmarkEnd w:id="36"/>
    <w:p>
      <w:pPr>
        <w:spacing w:after="0" w:line="205" w:lineRule="exact"/>
        <w:rPr>
          <w:sz w:val="20"/>
          <w:szCs w:val="20"/>
          <w:color w:val="auto"/>
        </w:rPr>
      </w:pPr>
    </w:p>
    <w:p>
      <w:pPr>
        <w:ind w:left="100" w:right="220"/>
        <w:spacing w:after="0" w:line="287" w:lineRule="auto"/>
        <w:rPr>
          <w:sz w:val="20"/>
          <w:szCs w:val="20"/>
          <w:color w:val="auto"/>
        </w:rPr>
      </w:pPr>
      <w:r>
        <w:rPr>
          <w:rFonts w:ascii="Times New Roman" w:cs="Times New Roman" w:eastAsia="Times New Roman" w:hAnsi="Times New Roman"/>
          <w:sz w:val="21"/>
          <w:szCs w:val="21"/>
          <w:color w:val="auto"/>
        </w:rPr>
        <w:t>agreement relating to benefits payable upon said employee’s termination of employment shall be a Covered Employee, even if the employee’s position is listed on Schedule 1.</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ARTICLE III</w:t>
      </w:r>
    </w:p>
    <w:p>
      <w:pPr>
        <w:spacing w:after="0" w:line="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SEVERANCE PAY</w:t>
      </w:r>
    </w:p>
    <w:p>
      <w:pPr>
        <w:spacing w:after="0" w:line="90" w:lineRule="exact"/>
        <w:rPr>
          <w:sz w:val="20"/>
          <w:szCs w:val="20"/>
          <w:color w:val="auto"/>
        </w:rPr>
      </w:pPr>
    </w:p>
    <w:p>
      <w:pPr>
        <w:jc w:val="both"/>
        <w:ind w:firstLine="640"/>
        <w:spacing w:after="0" w:line="260"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b w:val="1"/>
          <w:bCs w:val="1"/>
          <w:color w:val="auto"/>
        </w:rPr>
        <w:t>Amount of Severance.</w:t>
      </w:r>
      <w:r>
        <w:rPr>
          <w:rFonts w:ascii="Times New Roman" w:cs="Times New Roman" w:eastAsia="Times New Roman" w:hAnsi="Times New Roman"/>
          <w:sz w:val="21"/>
          <w:szCs w:val="21"/>
          <w:color w:val="auto"/>
        </w:rPr>
        <w:t xml:space="preserve"> Subject to Sections 3.2, 3.3, and 5.2, upon the occurrence of a Qualifying Termination and the execution by the Covered Employee of a Special Severance Agreement in substantially the form attached as Exhibit A (such agreement to be executed within 30 days of the Qualifying Termination or within 45 days of the Qualifying Termination if necessary to comply with the requirements of the Age Discrimination in Employment Act of 1967), which will contain, among other things, noncompetition, nonsolicitation, duty of loyalty, confidentiality, and release provisions that shall apply to each severance arrangement during, and in certain instances after, the time when any severance payments are being made to each Covered Employee, the Company shall pay</w:t>
      </w:r>
    </w:p>
    <w:p>
      <w:pPr>
        <w:spacing w:after="0" w:line="132" w:lineRule="exact"/>
        <w:rPr>
          <w:sz w:val="20"/>
          <w:szCs w:val="20"/>
          <w:color w:val="auto"/>
        </w:rPr>
      </w:pPr>
    </w:p>
    <w:p>
      <w:pPr>
        <w:jc w:val="both"/>
        <w:ind w:left="640" w:firstLine="646"/>
        <w:spacing w:after="0" w:line="269" w:lineRule="auto"/>
        <w:tabs>
          <w:tab w:leader="none" w:pos="1796"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Severance Pay to a Covered Employee in an amount equal to the mathematical product of multiplying the factor shown on Schedule 1 for the Designated Group to which the Covered Employee belongs at the time of termination, times the sum of the Covered Employee’s Base Salary plus MIB Average Bonus and</w:t>
      </w:r>
    </w:p>
    <w:p>
      <w:pPr>
        <w:spacing w:after="0" w:line="160" w:lineRule="exact"/>
        <w:rPr>
          <w:rFonts w:ascii="Times New Roman" w:cs="Times New Roman" w:eastAsia="Times New Roman" w:hAnsi="Times New Roman"/>
          <w:sz w:val="21"/>
          <w:szCs w:val="21"/>
          <w:color w:val="auto"/>
        </w:rPr>
      </w:pPr>
    </w:p>
    <w:p>
      <w:pPr>
        <w:jc w:val="both"/>
        <w:ind w:left="640" w:firstLine="646"/>
        <w:spacing w:after="0" w:line="268" w:lineRule="auto"/>
        <w:tabs>
          <w:tab w:leader="none" w:pos="1984"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lump sum Medical Coverage Stipend, less taxes and withholding, as well as reimbursement for Outplacement Services with the reimbursement for Outplacement Services capped at $3,000. For purposes of calculating the Medical Coverage Stipend, the Company will annually set the amount of the Medical Coverage Stipend based on the average annual cost of coverage under the Company’s medical plan on a per employee basis.</w:t>
      </w:r>
    </w:p>
    <w:p>
      <w:pPr>
        <w:spacing w:after="0" w:line="103"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21"/>
          <w:szCs w:val="21"/>
          <w:color w:val="auto"/>
        </w:rPr>
        <w:t>3.2</w:t>
      </w:r>
      <w:r>
        <w:rPr>
          <w:sz w:val="20"/>
          <w:szCs w:val="20"/>
          <w:color w:val="auto"/>
        </w:rPr>
        <w:tab/>
      </w:r>
      <w:r>
        <w:rPr>
          <w:rFonts w:ascii="Times New Roman" w:cs="Times New Roman" w:eastAsia="Times New Roman" w:hAnsi="Times New Roman"/>
          <w:sz w:val="21"/>
          <w:szCs w:val="21"/>
          <w:b w:val="1"/>
          <w:bCs w:val="1"/>
          <w:color w:val="auto"/>
        </w:rPr>
        <w:t>Effect on Other Benefit Programs.</w:t>
      </w:r>
    </w:p>
    <w:p>
      <w:pPr>
        <w:spacing w:after="0" w:line="176" w:lineRule="exact"/>
        <w:rPr>
          <w:sz w:val="20"/>
          <w:szCs w:val="20"/>
          <w:color w:val="auto"/>
        </w:rPr>
      </w:pPr>
    </w:p>
    <w:p>
      <w:pPr>
        <w:jc w:val="both"/>
        <w:ind w:left="640" w:firstLine="646"/>
        <w:spacing w:after="0" w:line="268" w:lineRule="auto"/>
        <w:tabs>
          <w:tab w:leader="none" w:pos="1806"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Severance Pay provided for hereunder is not intended to duplicate any payments to which a Covered Employee would otherwise be entitled under any individual agreement relating to employment (or the termination thereof) with the Company. Accordingly, no Severance Payment shall be payable under the Plan to any employee of the Company who is a party to such an agreement.</w:t>
      </w:r>
    </w:p>
    <w:p>
      <w:pPr>
        <w:spacing w:after="0" w:line="107" w:lineRule="exact"/>
        <w:rPr>
          <w:rFonts w:ascii="Times New Roman" w:cs="Times New Roman" w:eastAsia="Times New Roman" w:hAnsi="Times New Roman"/>
          <w:sz w:val="21"/>
          <w:szCs w:val="21"/>
          <w:color w:val="auto"/>
        </w:rPr>
      </w:pPr>
    </w:p>
    <w:p>
      <w:pPr>
        <w:jc w:val="both"/>
        <w:ind w:left="640" w:firstLine="646"/>
        <w:spacing w:after="0" w:line="269" w:lineRule="auto"/>
        <w:tabs>
          <w:tab w:leader="none" w:pos="1828"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the acceptance of any Severance Pay under the Plan, a Covered Employee shall be deemed to waive, release, and forever discharge any and all claims to the payment of any severance benefit under any employment contract, severance plan or program of the Company other than the Plan.</w:t>
      </w:r>
    </w:p>
    <w:p>
      <w:pPr>
        <w:spacing w:after="0" w:line="170" w:lineRule="exact"/>
        <w:rPr>
          <w:sz w:val="20"/>
          <w:szCs w:val="20"/>
          <w:color w:val="auto"/>
        </w:rPr>
      </w:pPr>
    </w:p>
    <w:p>
      <w:pPr>
        <w:jc w:val="both"/>
        <w:ind w:firstLine="640"/>
        <w:spacing w:after="0" w:line="271" w:lineRule="auto"/>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b w:val="1"/>
          <w:bCs w:val="1"/>
          <w:color w:val="auto"/>
        </w:rPr>
        <w:t>Limitation on Amount of Severance Pay.</w:t>
      </w:r>
      <w:r>
        <w:rPr>
          <w:rFonts w:ascii="Times New Roman" w:cs="Times New Roman" w:eastAsia="Times New Roman" w:hAnsi="Times New Roman"/>
          <w:sz w:val="21"/>
          <w:szCs w:val="21"/>
          <w:color w:val="auto"/>
        </w:rPr>
        <w:t xml:space="preserve"> Notwithstanding any other provision of this Plan, the total of payments under Section 3.1(a) shall not exceed an amount equal to 2.99 multiplied by the sum of the Covered Employee’s Base Pay plus Target Award under the Labcorp Bonus Plan.</w:t>
      </w:r>
    </w:p>
    <w:p>
      <w:pPr>
        <w:spacing w:after="0" w:line="102" w:lineRule="exact"/>
        <w:rPr>
          <w:sz w:val="20"/>
          <w:szCs w:val="20"/>
          <w:color w:val="auto"/>
        </w:rPr>
      </w:pPr>
    </w:p>
    <w:p>
      <w:pPr>
        <w:jc w:val="both"/>
        <w:ind w:firstLine="640"/>
        <w:spacing w:after="0" w:line="291" w:lineRule="auto"/>
        <w:rPr>
          <w:sz w:val="20"/>
          <w:szCs w:val="20"/>
          <w:color w:val="auto"/>
        </w:rPr>
      </w:pPr>
      <w:r>
        <w:rPr>
          <w:rFonts w:ascii="Times New Roman" w:cs="Times New Roman" w:eastAsia="Times New Roman" w:hAnsi="Times New Roman"/>
          <w:sz w:val="21"/>
          <w:szCs w:val="21"/>
          <w:color w:val="auto"/>
        </w:rPr>
        <w:t xml:space="preserve">3.4 </w:t>
      </w:r>
      <w:r>
        <w:rPr>
          <w:rFonts w:ascii="Times New Roman" w:cs="Times New Roman" w:eastAsia="Times New Roman" w:hAnsi="Times New Roman"/>
          <w:sz w:val="21"/>
          <w:szCs w:val="21"/>
          <w:b w:val="1"/>
          <w:bCs w:val="1"/>
          <w:color w:val="auto"/>
        </w:rPr>
        <w:t>No Duty to Mitigate.</w:t>
      </w:r>
      <w:r>
        <w:rPr>
          <w:rFonts w:ascii="Times New Roman" w:cs="Times New Roman" w:eastAsia="Times New Roman" w:hAnsi="Times New Roman"/>
          <w:sz w:val="21"/>
          <w:szCs w:val="21"/>
          <w:color w:val="auto"/>
        </w:rPr>
        <w:t xml:space="preserve"> A Covered Employee shall not be required by reason of the Plan to mitigate damages or the amount of the Covered Employee’s Severance Pay under the Plan</w:t>
      </w:r>
    </w:p>
    <w:p>
      <w:pPr>
        <w:sectPr>
          <w:pgSz w:w="11900" w:h="16838" w:orient="portrait"/>
          <w:cols w:equalWidth="0" w:num="1">
            <w:col w:w="11100"/>
          </w:cols>
          <w:pgMar w:left="320" w:top="1440" w:right="479" w:bottom="1440" w:gutter="0" w:footer="0" w:header="0"/>
        </w:sectPr>
      </w:pPr>
    </w:p>
    <w:bookmarkStart w:id="37" w:name="page38"/>
    <w:bookmarkEnd w:id="37"/>
    <w:p>
      <w:pPr>
        <w:spacing w:after="0" w:line="4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1"/>
          <w:szCs w:val="21"/>
          <w:color w:val="auto"/>
        </w:rPr>
        <w:t>by seeking other employment or otherwise, nor shall the amount of such payments be reduced or adjusted by compensation earned by the Covered Employee as a result of employment after the Covered Employee’s Qualifying Termination.</w:t>
      </w:r>
    </w:p>
    <w:p>
      <w:pPr>
        <w:spacing w:after="0" w:line="1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ARTICLE IV</w:t>
      </w:r>
    </w:p>
    <w:p>
      <w:pPr>
        <w:spacing w:after="0" w:line="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CESSATION OF BENEFITS</w:t>
      </w:r>
    </w:p>
    <w:p>
      <w:pPr>
        <w:spacing w:after="0" w:line="144" w:lineRule="exact"/>
        <w:rPr>
          <w:sz w:val="20"/>
          <w:szCs w:val="20"/>
          <w:color w:val="auto"/>
        </w:rPr>
      </w:pPr>
    </w:p>
    <w:p>
      <w:pPr>
        <w:jc w:val="both"/>
        <w:ind w:firstLine="640"/>
        <w:spacing w:after="0" w:line="282"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b w:val="1"/>
          <w:bCs w:val="1"/>
          <w:color w:val="auto"/>
        </w:rPr>
        <w:t>Reemployment with the Company.</w:t>
      </w:r>
      <w:r>
        <w:rPr>
          <w:rFonts w:ascii="Times New Roman" w:cs="Times New Roman" w:eastAsia="Times New Roman" w:hAnsi="Times New Roman"/>
          <w:sz w:val="21"/>
          <w:szCs w:val="21"/>
          <w:color w:val="auto"/>
        </w:rPr>
        <w:t xml:space="preserve"> A Covered Employee who recommences employment with the Company but who has already received benefits under the Plan, or a predecessor thereto, shall not be entitled to any further benefits under the Plan.</w:t>
      </w:r>
    </w:p>
    <w:p>
      <w:pPr>
        <w:spacing w:after="0" w:line="200" w:lineRule="exact"/>
        <w:rPr>
          <w:sz w:val="20"/>
          <w:szCs w:val="20"/>
          <w:color w:val="auto"/>
        </w:rPr>
      </w:pPr>
    </w:p>
    <w:p>
      <w:pPr>
        <w:spacing w:after="0" w:line="219" w:lineRule="exact"/>
        <w:rPr>
          <w:sz w:val="20"/>
          <w:szCs w:val="20"/>
          <w:color w:val="auto"/>
        </w:rPr>
      </w:pPr>
    </w:p>
    <w:p>
      <w:pPr>
        <w:jc w:val="both"/>
        <w:ind w:firstLine="640"/>
        <w:spacing w:after="0" w:line="265"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b w:val="1"/>
          <w:bCs w:val="1"/>
          <w:color w:val="auto"/>
        </w:rPr>
        <w:t>Breach of the Special Severance Agreement.</w:t>
      </w:r>
      <w:r>
        <w:rPr>
          <w:rFonts w:ascii="Times New Roman" w:cs="Times New Roman" w:eastAsia="Times New Roman" w:hAnsi="Times New Roman"/>
          <w:sz w:val="21"/>
          <w:szCs w:val="21"/>
          <w:color w:val="auto"/>
        </w:rPr>
        <w:t xml:space="preserve"> If a Covered Employee breaches any material term of the Special Severance Agreement, the Covered Employee shall be entitled to no further benefits under the Plan. For purposes of this section, any violation of the confidentiality, noncompetition, nonsolicitation, release, or duty of loyalty provisions of any plan, policy or agreement of the Company shall be considered “material.”</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ARTICLE V</w:t>
      </w:r>
    </w:p>
    <w:p>
      <w:pPr>
        <w:spacing w:after="0" w:line="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DISTRIBUTION OF CASH PAYMENTS</w:t>
      </w:r>
    </w:p>
    <w:p>
      <w:pPr>
        <w:spacing w:after="0" w:line="156"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b w:val="1"/>
          <w:bCs w:val="1"/>
          <w:color w:val="auto"/>
        </w:rPr>
        <w:t>Severance Pay.</w:t>
      </w:r>
      <w:r>
        <w:rPr>
          <w:rFonts w:ascii="Times New Roman" w:cs="Times New Roman" w:eastAsia="Times New Roman" w:hAnsi="Times New Roman"/>
          <w:sz w:val="21"/>
          <w:szCs w:val="21"/>
          <w:color w:val="auto"/>
        </w:rPr>
        <w:t xml:space="preserve"> The Company shall pay the Covered Employee the amount to which the Covered Employee is entitled under Section 3.1 as follows: (a) 50 percent of the total Severance Pay due, less statutory deductions, shall be paid within 30 days following the execution of a Special Severance Agreement, provided that if the calendar year in which the first installment of the Severance Pay could be paid could vary depending on the time within which the Covered Employee executes the Special Severance Agreement, payment will be made in the first payroll period in the year following termination but after the Special Severance Agreement has become irrevocable; and (b) the remaining 50 percent of Severance Pay, less statutory deductions, shall be paid within 30 days following the one-year anniversary of the execution of the Special Severance Agreement, but only if the Covered Employee has complied in all material respects with the terms and conditions of the Special Severance Agreement. Notwithstanding the foregoing, all payments due hereunder shall be completed within 24 months of the termination of the Covered Employee’s employment, but payments shall be due hereunder only if the Covered Employee has complied in all material respects with the terms and conditions of the Special Severance Agreement.</w:t>
      </w:r>
    </w:p>
    <w:p>
      <w:pPr>
        <w:spacing w:after="0" w:line="17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1"/>
          <w:szCs w:val="21"/>
          <w:color w:val="auto"/>
        </w:rPr>
        <w:t>Notwithstanding any provisions of this Plan to the contrary, if the Covered Employee is a “specified employee” (within the meaning of Section 409A of the Code and determined pursuant to procedures adopted by the Company) at the time of such Covered Employee’s Qualifying Termination and if any portion of the payments or benefits to be received by the Covered Employee upon a Qualifying Termination would be considered deferred compensation under Section 409A of the Code, amounts that would otherwise be payable pursuant to this Plan during the six-month period immediately following the Covered Employee’s Qualifying Termination (the “</w:t>
      </w:r>
      <w:r>
        <w:rPr>
          <w:rFonts w:ascii="Times New Roman" w:cs="Times New Roman" w:eastAsia="Times New Roman" w:hAnsi="Times New Roman"/>
          <w:sz w:val="21"/>
          <w:szCs w:val="21"/>
          <w:b w:val="1"/>
          <w:bCs w:val="1"/>
          <w:color w:val="auto"/>
        </w:rPr>
        <w:t>Delayed Payments</w:t>
      </w:r>
      <w:r>
        <w:rPr>
          <w:rFonts w:ascii="Times New Roman" w:cs="Times New Roman" w:eastAsia="Times New Roman" w:hAnsi="Times New Roman"/>
          <w:sz w:val="21"/>
          <w:szCs w:val="21"/>
          <w:color w:val="auto"/>
        </w:rPr>
        <w:t>”) and benefits that would otherwise be provided pursuant to this Plan (the “</w:t>
      </w:r>
      <w:r>
        <w:rPr>
          <w:rFonts w:ascii="Times New Roman" w:cs="Times New Roman" w:eastAsia="Times New Roman" w:hAnsi="Times New Roman"/>
          <w:sz w:val="21"/>
          <w:szCs w:val="21"/>
          <w:b w:val="1"/>
          <w:bCs w:val="1"/>
          <w:color w:val="auto"/>
        </w:rPr>
        <w:t>Delayed Benefits</w:t>
      </w:r>
      <w:r>
        <w:rPr>
          <w:rFonts w:ascii="Times New Roman" w:cs="Times New Roman" w:eastAsia="Times New Roman" w:hAnsi="Times New Roman"/>
          <w:sz w:val="21"/>
          <w:szCs w:val="21"/>
          <w:color w:val="auto"/>
        </w:rPr>
        <w:t>”) during the six-month period immediately following the Covered Employee’s Qualifying Termination (such period, the “</w:t>
      </w:r>
      <w:r>
        <w:rPr>
          <w:rFonts w:ascii="Times New Roman" w:cs="Times New Roman" w:eastAsia="Times New Roman" w:hAnsi="Times New Roman"/>
          <w:sz w:val="21"/>
          <w:szCs w:val="21"/>
          <w:b w:val="1"/>
          <w:bCs w:val="1"/>
          <w:color w:val="auto"/>
        </w:rPr>
        <w:t>Delay Period</w:t>
      </w:r>
      <w:r>
        <w:rPr>
          <w:rFonts w:ascii="Times New Roman" w:cs="Times New Roman" w:eastAsia="Times New Roman" w:hAnsi="Times New Roman"/>
          <w:sz w:val="21"/>
          <w:szCs w:val="21"/>
          <w:color w:val="auto"/>
        </w:rPr>
        <w:t>”) shall instead be paid or made available on the earlier of (i) the first business day of the seventh (7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month following the ate of the Covered Employee’s Qualifying Termination or (ii) the Covered Employee’s death (the applicable</w:t>
      </w:r>
    </w:p>
    <w:p>
      <w:pPr>
        <w:sectPr>
          <w:pgSz w:w="11900" w:h="16838" w:orient="portrait"/>
          <w:cols w:equalWidth="0" w:num="1">
            <w:col w:w="11100"/>
          </w:cols>
          <w:pgMar w:left="320" w:top="1440" w:right="479" w:bottom="1440" w:gutter="0" w:footer="0" w:header="0"/>
        </w:sectPr>
      </w:pPr>
    </w:p>
    <w:bookmarkStart w:id="38" w:name="page39"/>
    <w:bookmarkEnd w:id="38"/>
    <w:p>
      <w:pPr>
        <w:spacing w:after="0" w:line="9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1"/>
          <w:szCs w:val="21"/>
          <w:color w:val="auto"/>
        </w:rPr>
        <w:t>date, the “</w:t>
      </w:r>
      <w:r>
        <w:rPr>
          <w:rFonts w:ascii="Times New Roman" w:cs="Times New Roman" w:eastAsia="Times New Roman" w:hAnsi="Times New Roman"/>
          <w:sz w:val="21"/>
          <w:szCs w:val="21"/>
          <w:b w:val="1"/>
          <w:bCs w:val="1"/>
          <w:color w:val="auto"/>
        </w:rPr>
        <w:t>Permissible Payment Date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if</w:t>
      </w:r>
      <w:r>
        <w:rPr>
          <w:rFonts w:ascii="Times New Roman" w:cs="Times New Roman" w:eastAsia="Times New Roman" w:hAnsi="Times New Roman"/>
          <w:sz w:val="21"/>
          <w:szCs w:val="21"/>
          <w:color w:val="auto"/>
        </w:rPr>
        <w:t xml:space="preserve"> such a Delay Period is required to avoid the imposition of excise taxes under Section 409A of the Code. If such a Delay Period is required, the Company shall also reimburse the Covered Employee for the after-tax cost incurred by the Covered Employee in independently obtaining any Delayed Benefits (the “</w:t>
      </w:r>
      <w:r>
        <w:rPr>
          <w:rFonts w:ascii="Times New Roman" w:cs="Times New Roman" w:eastAsia="Times New Roman" w:hAnsi="Times New Roman"/>
          <w:sz w:val="21"/>
          <w:szCs w:val="21"/>
          <w:b w:val="1"/>
          <w:bCs w:val="1"/>
          <w:color w:val="auto"/>
        </w:rPr>
        <w:t>Additional Delayed Payments</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jc w:val="both"/>
        <w:ind w:firstLine="639"/>
        <w:spacing w:after="0" w:line="258" w:lineRule="auto"/>
        <w:rPr>
          <w:sz w:val="20"/>
          <w:szCs w:val="20"/>
          <w:color w:val="auto"/>
        </w:rPr>
      </w:pPr>
      <w:r>
        <w:rPr>
          <w:rFonts w:ascii="Times New Roman" w:cs="Times New Roman" w:eastAsia="Times New Roman" w:hAnsi="Times New Roman"/>
          <w:sz w:val="21"/>
          <w:szCs w:val="21"/>
          <w:color w:val="auto"/>
        </w:rPr>
        <w:t>With respect to any amount of expenses eligible for reimbursement under Section 3.1 and 5.1, such expenses shall be reimbursed by the Company within thirty (30) calendar days following the date on which the Company receives the applicable invoice from the Covered Employee but in no event later than December 31 of the year following the year in which the Covered Employee incurs the related expenses; provided, that with respect to reimbursement relating to the Additional Delayed Payments, such reimbursement shall be made on the Permissible Payment Date. In no event shall the reimbursements or in-kind benefits to be provided by the Company in one taxable year affect the amount of reimbursements or in-kind benefits to be provided in any other taxable year, nor shall the Covered Employee’s right to reimbursement or in-kind benefits be subject to liquidation or exchange for another benefit.</w:t>
      </w:r>
    </w:p>
    <w:p>
      <w:pPr>
        <w:spacing w:after="0" w:line="176" w:lineRule="exact"/>
        <w:rPr>
          <w:sz w:val="20"/>
          <w:szCs w:val="20"/>
          <w:color w:val="auto"/>
        </w:rPr>
      </w:pPr>
    </w:p>
    <w:p>
      <w:pPr>
        <w:jc w:val="both"/>
        <w:ind w:firstLine="639"/>
        <w:spacing w:after="0" w:line="268" w:lineRule="auto"/>
        <w:rPr>
          <w:sz w:val="20"/>
          <w:szCs w:val="20"/>
          <w:color w:val="auto"/>
        </w:rPr>
      </w:pPr>
      <w:r>
        <w:rPr>
          <w:rFonts w:ascii="Times New Roman" w:cs="Times New Roman" w:eastAsia="Times New Roman" w:hAnsi="Times New Roman"/>
          <w:sz w:val="21"/>
          <w:szCs w:val="21"/>
          <w:color w:val="auto"/>
        </w:rPr>
        <w:t>It is the intention of the parties that payments or benefits payable under this Plan not be subject to the additional tax imposed pursuant to Section 409A of the Code. To the extent such potential payments or benefits could become subject to such Section, the Company may amend this Plan with the goal of giving the Covered Employee the economic benefits described herein in a manner that does not result in such tax being imposed.</w:t>
      </w:r>
    </w:p>
    <w:p>
      <w:pPr>
        <w:spacing w:after="0" w:line="161" w:lineRule="exact"/>
        <w:rPr>
          <w:sz w:val="20"/>
          <w:szCs w:val="20"/>
          <w:color w:val="auto"/>
        </w:rPr>
      </w:pPr>
    </w:p>
    <w:p>
      <w:pPr>
        <w:jc w:val="both"/>
        <w:ind w:right="20" w:firstLine="639"/>
        <w:spacing w:after="0" w:line="287" w:lineRule="auto"/>
        <w:rPr>
          <w:sz w:val="20"/>
          <w:szCs w:val="20"/>
          <w:color w:val="auto"/>
        </w:rPr>
      </w:pPr>
      <w:r>
        <w:rPr>
          <w:rFonts w:ascii="Times New Roman" w:cs="Times New Roman" w:eastAsia="Times New Roman" w:hAnsi="Times New Roman"/>
          <w:sz w:val="21"/>
          <w:szCs w:val="21"/>
          <w:color w:val="auto"/>
        </w:rPr>
        <w:t>For purposes of Section 409A of the Code, a Covered Employee’s right to receive any “installment” payments pursuant to this Plan shall be treated as a right to receive a series of separate and distinct payments.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For purposes of this Section 5.1, “Separation from Service” has the meaning provided under Section 409A of the Code.</w:t>
      </w:r>
    </w:p>
    <w:p>
      <w:pPr>
        <w:spacing w:after="0" w:line="22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b w:val="1"/>
          <w:bCs w:val="1"/>
          <w:color w:val="auto"/>
        </w:rPr>
        <w:t>Section 280G of the Code.</w:t>
      </w:r>
      <w:r>
        <w:rPr>
          <w:rFonts w:ascii="Times New Roman" w:cs="Times New Roman" w:eastAsia="Times New Roman" w:hAnsi="Times New Roman"/>
          <w:sz w:val="21"/>
          <w:szCs w:val="21"/>
          <w:color w:val="auto"/>
        </w:rPr>
        <w:t xml:space="preserve"> Notwithstanding the application of the calculation of benefits hereunder, in the event that the payments or distributions to be made by the Company to or for the benefit of the Covered Employee (whether paid or payable or distributed or distributable pursuant to the terms of this Plan, under some other plan, agreement, or arrangement, or otherwise) (a “Payment”) constitute “parachute payments” within the meaning of Section 280G of the Code, then the Payment to the Covered Employee shall be subject to the terms of Section 17 (“Parachute Provisions”) of the Company’s 2016 Omnibus Incentive Plan, as it may be amended from time to time, or any successor thereto.</w:t>
      </w:r>
    </w:p>
    <w:p>
      <w:pPr>
        <w:spacing w:after="0" w:line="1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ARTICLE VI</w:t>
      </w:r>
    </w:p>
    <w:p>
      <w:pPr>
        <w:spacing w:after="0" w:line="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ADMINISTRATION OF PLAN</w:t>
      </w:r>
    </w:p>
    <w:p>
      <w:pPr>
        <w:spacing w:after="0" w:line="197" w:lineRule="exact"/>
        <w:rPr>
          <w:sz w:val="20"/>
          <w:szCs w:val="20"/>
          <w:color w:val="auto"/>
        </w:rPr>
      </w:pPr>
    </w:p>
    <w:p>
      <w:pPr>
        <w:jc w:val="both"/>
        <w:ind w:firstLine="640"/>
        <w:spacing w:after="0" w:line="269"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b w:val="1"/>
          <w:bCs w:val="1"/>
          <w:color w:val="auto"/>
        </w:rPr>
        <w:t>In General: Delegation.</w:t>
      </w:r>
      <w:r>
        <w:rPr>
          <w:rFonts w:ascii="Times New Roman" w:cs="Times New Roman" w:eastAsia="Times New Roman" w:hAnsi="Times New Roman"/>
          <w:sz w:val="21"/>
          <w:szCs w:val="21"/>
          <w:color w:val="auto"/>
        </w:rPr>
        <w:t xml:space="preserve"> The Plan shall be administered by the Board. The Board shall have sole and absolute discretion to interpret where necessary all provisions of the Plan (including, without limitation, by supplying omissions from, correcting deficiencies in, or resolving inconsistencies or ambiguities in, the language of the Plan), to determine the rights and status under the Plan of employees or other persons, to resolve questions or disputes arising under</w:t>
      </w:r>
    </w:p>
    <w:p>
      <w:pPr>
        <w:sectPr>
          <w:pgSz w:w="11900" w:h="16838" w:orient="portrait"/>
          <w:cols w:equalWidth="0" w:num="1">
            <w:col w:w="11100"/>
          </w:cols>
          <w:pgMar w:left="320" w:top="1440" w:right="479" w:bottom="1440" w:gutter="0" w:footer="0" w:header="0"/>
        </w:sectPr>
      </w:pPr>
    </w:p>
    <w:bookmarkStart w:id="39" w:name="page40"/>
    <w:bookmarkEnd w:id="39"/>
    <w:p>
      <w:pPr>
        <w:jc w:val="both"/>
        <w:ind w:left="100"/>
        <w:spacing w:after="0" w:line="263" w:lineRule="auto"/>
        <w:rPr>
          <w:sz w:val="20"/>
          <w:szCs w:val="20"/>
          <w:color w:val="auto"/>
        </w:rPr>
      </w:pPr>
      <w:r>
        <w:rPr>
          <w:rFonts w:ascii="Times New Roman" w:cs="Times New Roman" w:eastAsia="Times New Roman" w:hAnsi="Times New Roman"/>
          <w:sz w:val="21"/>
          <w:szCs w:val="21"/>
          <w:color w:val="auto"/>
        </w:rPr>
        <w:t>the Plan, and to make any determinations with respect to the benefits payable hereunder and the persons entitled thereto as may be necessary for the purposes of the Plan. Without limiting the generality of the foregoing, the Board is hereby granted the authority (i) to determine whether a particular termination of employment constitutes a “</w:t>
      </w:r>
      <w:r>
        <w:rPr>
          <w:rFonts w:ascii="Times New Roman" w:cs="Times New Roman" w:eastAsia="Times New Roman" w:hAnsi="Times New Roman"/>
          <w:sz w:val="21"/>
          <w:szCs w:val="21"/>
          <w:b w:val="1"/>
          <w:bCs w:val="1"/>
          <w:color w:val="auto"/>
        </w:rPr>
        <w:t>Qualifying Termination,</w:t>
      </w:r>
      <w:r>
        <w:rPr>
          <w:rFonts w:ascii="Times New Roman" w:cs="Times New Roman" w:eastAsia="Times New Roman" w:hAnsi="Times New Roman"/>
          <w:sz w:val="21"/>
          <w:szCs w:val="21"/>
          <w:color w:val="auto"/>
        </w:rPr>
        <w:t>” and (ii) to determine whether a particular employee is a “</w:t>
      </w:r>
      <w:r>
        <w:rPr>
          <w:rFonts w:ascii="Times New Roman" w:cs="Times New Roman" w:eastAsia="Times New Roman" w:hAnsi="Times New Roman"/>
          <w:sz w:val="21"/>
          <w:szCs w:val="21"/>
          <w:b w:val="1"/>
          <w:bCs w:val="1"/>
          <w:color w:val="auto"/>
        </w:rPr>
        <w:t>Covered Employee</w:t>
      </w:r>
      <w:r>
        <w:rPr>
          <w:rFonts w:ascii="Times New Roman" w:cs="Times New Roman" w:eastAsia="Times New Roman" w:hAnsi="Times New Roman"/>
          <w:sz w:val="21"/>
          <w:szCs w:val="21"/>
          <w:color w:val="auto"/>
        </w:rPr>
        <w:t>” under the Plan.</w:t>
      </w:r>
    </w:p>
    <w:p>
      <w:pPr>
        <w:spacing w:after="0" w:line="61" w:lineRule="exact"/>
        <w:rPr>
          <w:sz w:val="20"/>
          <w:szCs w:val="20"/>
          <w:color w:val="auto"/>
        </w:rPr>
      </w:pPr>
    </w:p>
    <w:p>
      <w:pPr>
        <w:jc w:val="both"/>
        <w:ind w:left="100" w:firstLine="639"/>
        <w:spacing w:after="0" w:line="276" w:lineRule="auto"/>
        <w:rPr>
          <w:sz w:val="20"/>
          <w:szCs w:val="20"/>
          <w:color w:val="auto"/>
        </w:rPr>
      </w:pPr>
      <w:r>
        <w:rPr>
          <w:rFonts w:ascii="Times New Roman" w:cs="Times New Roman" w:eastAsia="Times New Roman" w:hAnsi="Times New Roman"/>
          <w:sz w:val="21"/>
          <w:szCs w:val="21"/>
          <w:color w:val="auto"/>
        </w:rPr>
        <w:t>The Board may delegate any of its administrative duties, including, without limitation, duties with respect to the processing, review, investigation, approval, and payment of Severance Pay to a named administrator or administrators. The Board’s determination of the rights of any employee hereunder shall be final and binding on all persons.</w:t>
      </w:r>
    </w:p>
    <w:p>
      <w:pPr>
        <w:spacing w:after="0" w:line="96" w:lineRule="exact"/>
        <w:rPr>
          <w:sz w:val="20"/>
          <w:szCs w:val="20"/>
          <w:color w:val="auto"/>
        </w:rPr>
      </w:pPr>
    </w:p>
    <w:p>
      <w:pPr>
        <w:jc w:val="both"/>
        <w:ind w:firstLine="640"/>
        <w:spacing w:after="0" w:line="265"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b w:val="1"/>
          <w:bCs w:val="1"/>
          <w:color w:val="auto"/>
        </w:rPr>
        <w:t>Regulations.</w:t>
      </w:r>
      <w:r>
        <w:rPr>
          <w:rFonts w:ascii="Times New Roman" w:cs="Times New Roman" w:eastAsia="Times New Roman" w:hAnsi="Times New Roman"/>
          <w:sz w:val="21"/>
          <w:szCs w:val="21"/>
          <w:color w:val="auto"/>
        </w:rPr>
        <w:t xml:space="preserve"> The Board may promulgate any rules and regulations that it deems necessary to carry out the purposes of this Plan, or to interpret the terms and conditions of the Plan; provided, however, that no rule, regulation, or interpretation shall be contrary to the provisions of the Plan. The rules, regulations, and interpretations made by the Board, and any determination of entitlement to benefits hereunder, shall be final and binding on any employee or former employee of the Company.</w:t>
      </w:r>
    </w:p>
    <w:p>
      <w:pPr>
        <w:spacing w:after="0" w:line="120"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b w:val="1"/>
          <w:bCs w:val="1"/>
          <w:color w:val="auto"/>
        </w:rPr>
        <w:t>Claims for Benefits and Review of Denials.</w:t>
      </w:r>
      <w:r>
        <w:rPr>
          <w:rFonts w:ascii="Times New Roman" w:cs="Times New Roman" w:eastAsia="Times New Roman" w:hAnsi="Times New Roman"/>
          <w:sz w:val="21"/>
          <w:szCs w:val="21"/>
          <w:color w:val="auto"/>
        </w:rPr>
        <w:t xml:space="preserve"> A terminating Covered Employee will be considered for benefits under the Plan automatically. Any other employee of the Company who believes such employee is entitled to a benefit under the Plan may make a claim for such benefit by submitting a written statement to the Executive Vice President and Chief Human Resource Officer setting forth the benefit to which the claimant deems himself/herself entitled, and the factual basis for such employee’s claim.</w:t>
      </w:r>
    </w:p>
    <w:p>
      <w:pPr>
        <w:spacing w:after="0" w:line="73" w:lineRule="exact"/>
        <w:rPr>
          <w:sz w:val="20"/>
          <w:szCs w:val="20"/>
          <w:color w:val="auto"/>
        </w:rPr>
      </w:pPr>
    </w:p>
    <w:p>
      <w:pPr>
        <w:jc w:val="both"/>
        <w:ind w:firstLine="560"/>
        <w:spacing w:after="0" w:line="256" w:lineRule="auto"/>
        <w:rPr>
          <w:sz w:val="20"/>
          <w:szCs w:val="20"/>
          <w:color w:val="auto"/>
        </w:rPr>
      </w:pPr>
      <w:r>
        <w:rPr>
          <w:rFonts w:ascii="Times New Roman" w:cs="Times New Roman" w:eastAsia="Times New Roman" w:hAnsi="Times New Roman"/>
          <w:sz w:val="21"/>
          <w:szCs w:val="21"/>
          <w:color w:val="auto"/>
        </w:rPr>
        <w:t>The Board of Directors or its delegate (hereinafter “</w:t>
      </w:r>
      <w:r>
        <w:rPr>
          <w:rFonts w:ascii="Times New Roman" w:cs="Times New Roman" w:eastAsia="Times New Roman" w:hAnsi="Times New Roman"/>
          <w:sz w:val="21"/>
          <w:szCs w:val="21"/>
          <w:b w:val="1"/>
          <w:bCs w:val="1"/>
          <w:color w:val="auto"/>
        </w:rPr>
        <w:t>Board of Directors</w:t>
      </w:r>
      <w:r>
        <w:rPr>
          <w:rFonts w:ascii="Times New Roman" w:cs="Times New Roman" w:eastAsia="Times New Roman" w:hAnsi="Times New Roman"/>
          <w:sz w:val="21"/>
          <w:szCs w:val="21"/>
          <w:color w:val="auto"/>
        </w:rPr>
        <w:t>” for purposes of Section 6.3 only) will make a determination of whether an employee recognized by the Board of Directors as a Covered Employee is entitled to benefits under this Plan no later than the day prior to the date of such employee’s termination. The Board of Directors will act on any other application (including a claim of status as a Covered Employee made as part of a claim for benefits) or make any other determination it is requested to make under the Plan and will inform the employee of its decision within 30 days of the date the application or request is made, unless a longer time is required by special circumstances, in which event the claimant will be notified in writing of the special circumstances and of the expected decision date. The determination will be made no later than 90 days after the date the application or request is received. If the determination is a denial of a claim, the Board of Directors will notify the claimant in writing of the denial, setting forth the specific reasons for the denial and referring specifically to the Plan provisions on which the denial is based. The notice also will contain a description of any additional material or information necessary for the claimant to perfect the claim and an explanation of why such material is necessary. The notice will provide appropriate information to the claimant on steps to appeal the denial. The claimant will have 60 days from the date of the notice to request review of the decision by the Board of Directors and may review pertinent documents and submit any additional information along with the request for review that the employee deems pertinent. A decision on review will be made within 60 days of receipt of the request for review, except that the time for rendering the decision may be extended to 120 days when special circumstances make it necessary to do so, in which event the claimant will be notified in writing of the extension, informed of the special circumstances, and informed of an expected decision date. The decision on review, if it is a denial of the claim, will be in writing,</w:t>
      </w:r>
    </w:p>
    <w:p>
      <w:pPr>
        <w:sectPr>
          <w:pgSz w:w="11900" w:h="16838" w:orient="portrait"/>
          <w:cols w:equalWidth="0" w:num="1">
            <w:col w:w="11100"/>
          </w:cols>
          <w:pgMar w:left="320" w:top="140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1"/>
          <w:szCs w:val="21"/>
          <w:color w:val="auto"/>
        </w:rPr>
        <w:t>will specify the provisions of the Plan on which it is based, and will set forth specific reasons for the denial.</w:t>
      </w:r>
    </w:p>
    <w:p>
      <w:pPr>
        <w:spacing w:after="0" w:line="16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b w:val="1"/>
          <w:bCs w:val="1"/>
          <w:color w:val="auto"/>
        </w:rPr>
        <w:t>ARTICLE VII</w:t>
      </w:r>
    </w:p>
    <w:p>
      <w:pPr>
        <w:spacing w:after="0" w:line="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AMENDMENT OR TERMINATION OF PLAN</w:t>
      </w:r>
    </w:p>
    <w:p>
      <w:pPr>
        <w:spacing w:after="0" w:line="156" w:lineRule="exact"/>
        <w:rPr>
          <w:sz w:val="20"/>
          <w:szCs w:val="20"/>
          <w:color w:val="auto"/>
        </w:rPr>
      </w:pPr>
    </w:p>
    <w:p>
      <w:pPr>
        <w:jc w:val="both"/>
        <w:ind w:left="80" w:firstLine="560"/>
        <w:spacing w:after="0" w:line="258" w:lineRule="auto"/>
        <w:rPr>
          <w:sz w:val="20"/>
          <w:szCs w:val="20"/>
          <w:color w:val="auto"/>
        </w:rPr>
      </w:pPr>
      <w:r>
        <w:rPr>
          <w:rFonts w:ascii="Times New Roman" w:cs="Times New Roman" w:eastAsia="Times New Roman" w:hAnsi="Times New Roman"/>
          <w:sz w:val="21"/>
          <w:szCs w:val="21"/>
          <w:color w:val="auto"/>
        </w:rPr>
        <w:t xml:space="preserve">7.1 </w:t>
      </w:r>
      <w:r>
        <w:rPr>
          <w:rFonts w:ascii="Times New Roman" w:cs="Times New Roman" w:eastAsia="Times New Roman" w:hAnsi="Times New Roman"/>
          <w:sz w:val="21"/>
          <w:szCs w:val="21"/>
          <w:b w:val="1"/>
          <w:bCs w:val="1"/>
          <w:color w:val="auto"/>
        </w:rPr>
        <w:t>Right to Amend or Terminate.</w:t>
      </w:r>
      <w:r>
        <w:rPr>
          <w:rFonts w:ascii="Times New Roman" w:cs="Times New Roman" w:eastAsia="Times New Roman" w:hAnsi="Times New Roman"/>
          <w:sz w:val="21"/>
          <w:szCs w:val="21"/>
          <w:color w:val="auto"/>
        </w:rPr>
        <w:t xml:space="preserve"> The Company reserves the right to alter, amend, or terminate the Plan at any time. Any change in the terms of the Plan (including termination of the Plan) that results from the exercise of the Company’s right to alter, amend, or terminate the Plan may be applicable to active and/or former employees, including employees who separated from service prior to the date on which the Company exercises its power to alter, amend, or terminate the Plan, provided, however, that no such change in the terms of the Plan will affect the amount of any benefit that was paid prior to the date on which such change is adopted, or any benefit promised in a Special Severance Agreement that was fully executed prior to the date on which such change is adopted. Only the Board of Directors may exercise the Company’s reserved rights under this paragraph. No officer, employee, or representative of the Company has the authority to promise or represent that anyone’s coverage and/or benefit under the Plan is or will be exempt from the Company’s reserved right to alter, amend, or terminate the Plan at any time. Notwithstanding the foregoing, in the event of a Change in Control while the Plan is in effect, the Plan and a Covered Employee’s participation in the Plan shall not be terminated for 36 months following such Change in Control.</w:t>
      </w:r>
    </w:p>
    <w:p>
      <w:pPr>
        <w:spacing w:after="0" w:line="170" w:lineRule="exact"/>
        <w:rPr>
          <w:sz w:val="20"/>
          <w:szCs w:val="20"/>
          <w:color w:val="auto"/>
        </w:rPr>
      </w:pPr>
    </w:p>
    <w:p>
      <w:pPr>
        <w:jc w:val="both"/>
        <w:ind w:firstLine="640"/>
        <w:spacing w:after="0" w:line="291" w:lineRule="auto"/>
        <w:rPr>
          <w:sz w:val="20"/>
          <w:szCs w:val="20"/>
          <w:color w:val="auto"/>
        </w:rPr>
      </w:pPr>
      <w:r>
        <w:rPr>
          <w:rFonts w:ascii="Times New Roman" w:cs="Times New Roman" w:eastAsia="Times New Roman" w:hAnsi="Times New Roman"/>
          <w:sz w:val="21"/>
          <w:szCs w:val="21"/>
          <w:color w:val="auto"/>
        </w:rPr>
        <w:t xml:space="preserve">7.2 </w:t>
      </w:r>
      <w:r>
        <w:rPr>
          <w:rFonts w:ascii="Times New Roman" w:cs="Times New Roman" w:eastAsia="Times New Roman" w:hAnsi="Times New Roman"/>
          <w:sz w:val="21"/>
          <w:szCs w:val="21"/>
          <w:b w:val="1"/>
          <w:bCs w:val="1"/>
          <w:color w:val="auto"/>
        </w:rPr>
        <w:t>Termination.</w:t>
      </w:r>
      <w:r>
        <w:rPr>
          <w:rFonts w:ascii="Times New Roman" w:cs="Times New Roman" w:eastAsia="Times New Roman" w:hAnsi="Times New Roman"/>
          <w:sz w:val="21"/>
          <w:szCs w:val="21"/>
          <w:color w:val="auto"/>
        </w:rPr>
        <w:t xml:space="preserve"> This Plan shall continue in force until such time as the Board shall terminate the Plan, subject to the limitations set forth in Section 7.1.</w:t>
      </w:r>
    </w:p>
    <w:p>
      <w:pPr>
        <w:spacing w:after="0" w:line="1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ARTICLE VIII METHOD OF FUNDING</w:t>
      </w:r>
    </w:p>
    <w:p>
      <w:pPr>
        <w:spacing w:after="0" w:line="238" w:lineRule="exact"/>
        <w:rPr>
          <w:sz w:val="20"/>
          <w:szCs w:val="20"/>
          <w:color w:val="auto"/>
        </w:rPr>
      </w:pPr>
    </w:p>
    <w:p>
      <w:pPr>
        <w:jc w:val="both"/>
        <w:ind w:firstLine="640"/>
        <w:spacing w:after="0" w:line="265" w:lineRule="auto"/>
        <w:rPr>
          <w:sz w:val="20"/>
          <w:szCs w:val="20"/>
          <w:color w:val="auto"/>
        </w:rPr>
      </w:pPr>
      <w:r>
        <w:rPr>
          <w:rFonts w:ascii="Times New Roman" w:cs="Times New Roman" w:eastAsia="Times New Roman" w:hAnsi="Times New Roman"/>
          <w:sz w:val="21"/>
          <w:szCs w:val="21"/>
          <w:color w:val="auto"/>
        </w:rPr>
        <w:t xml:space="preserve">8.1 </w:t>
      </w:r>
      <w:r>
        <w:rPr>
          <w:rFonts w:ascii="Times New Roman" w:cs="Times New Roman" w:eastAsia="Times New Roman" w:hAnsi="Times New Roman"/>
          <w:sz w:val="21"/>
          <w:szCs w:val="21"/>
          <w:b w:val="1"/>
          <w:bCs w:val="1"/>
          <w:color w:val="auto"/>
        </w:rPr>
        <w:t>Plan is Not Funded.</w:t>
      </w:r>
      <w:r>
        <w:rPr>
          <w:rFonts w:ascii="Times New Roman" w:cs="Times New Roman" w:eastAsia="Times New Roman" w:hAnsi="Times New Roman"/>
          <w:sz w:val="21"/>
          <w:szCs w:val="21"/>
          <w:color w:val="auto"/>
        </w:rPr>
        <w:t xml:space="preserve"> The Company shall pay benefits under the Plan from current operating funds. No property of the Company is or shall be, by reason of this Plan, held in trust for any employee of the Company, nor shall any person have any interest in or any lien or prior claim upon any property of the Company by reason of this Plan or the Company’s obligations to make payments hereunder.</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ARTICLE IX MISCELLANEOUS</w:t>
      </w:r>
    </w:p>
    <w:p>
      <w:pPr>
        <w:spacing w:after="0" w:line="225" w:lineRule="exact"/>
        <w:rPr>
          <w:sz w:val="20"/>
          <w:szCs w:val="20"/>
          <w:color w:val="auto"/>
        </w:rPr>
      </w:pPr>
    </w:p>
    <w:p>
      <w:pPr>
        <w:jc w:val="both"/>
        <w:ind w:firstLine="640"/>
        <w:spacing w:after="0" w:line="278"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b w:val="1"/>
          <w:bCs w:val="1"/>
          <w:color w:val="auto"/>
        </w:rPr>
        <w:t>Limitation on Rights.</w:t>
      </w:r>
      <w:r>
        <w:rPr>
          <w:rFonts w:ascii="Times New Roman" w:cs="Times New Roman" w:eastAsia="Times New Roman" w:hAnsi="Times New Roman"/>
          <w:sz w:val="21"/>
          <w:szCs w:val="21"/>
          <w:color w:val="auto"/>
        </w:rPr>
        <w:t xml:space="preserve"> Neither the establishment of the Plan nor participation herein shall give any employee the right to be retained in the service of the Company or any rights to any benefits whatsoever, except to the extent specifically set forth herein.</w:t>
      </w:r>
    </w:p>
    <w:p>
      <w:pPr>
        <w:spacing w:after="0" w:line="147" w:lineRule="exact"/>
        <w:rPr>
          <w:sz w:val="20"/>
          <w:szCs w:val="20"/>
          <w:color w:val="auto"/>
        </w:rPr>
      </w:pPr>
    </w:p>
    <w:p>
      <w:pPr>
        <w:jc w:val="both"/>
        <w:ind w:firstLine="640"/>
        <w:spacing w:after="0" w:line="291" w:lineRule="auto"/>
        <w:rPr>
          <w:sz w:val="20"/>
          <w:szCs w:val="20"/>
          <w:color w:val="auto"/>
        </w:rPr>
      </w:pPr>
      <w:r>
        <w:rPr>
          <w:rFonts w:ascii="Times New Roman" w:cs="Times New Roman" w:eastAsia="Times New Roman" w:hAnsi="Times New Roman"/>
          <w:sz w:val="21"/>
          <w:szCs w:val="21"/>
          <w:color w:val="auto"/>
        </w:rPr>
        <w:t xml:space="preserve">9.2 </w:t>
      </w:r>
      <w:r>
        <w:rPr>
          <w:rFonts w:ascii="Times New Roman" w:cs="Times New Roman" w:eastAsia="Times New Roman" w:hAnsi="Times New Roman"/>
          <w:sz w:val="21"/>
          <w:szCs w:val="21"/>
          <w:b w:val="1"/>
          <w:bCs w:val="1"/>
          <w:color w:val="auto"/>
        </w:rPr>
        <w:t>Headings.</w:t>
      </w:r>
      <w:r>
        <w:rPr>
          <w:rFonts w:ascii="Times New Roman" w:cs="Times New Roman" w:eastAsia="Times New Roman" w:hAnsi="Times New Roman"/>
          <w:sz w:val="21"/>
          <w:szCs w:val="21"/>
          <w:color w:val="auto"/>
        </w:rPr>
        <w:t xml:space="preserve"> Headings of Articles and Sections in this instrument are for convenience only and do not constitute any party of the Plan.</w:t>
      </w:r>
    </w:p>
    <w:p>
      <w:pPr>
        <w:spacing w:after="0" w:line="134" w:lineRule="exact"/>
        <w:rPr>
          <w:sz w:val="20"/>
          <w:szCs w:val="20"/>
          <w:color w:val="auto"/>
        </w:rPr>
      </w:pPr>
    </w:p>
    <w:p>
      <w:pPr>
        <w:jc w:val="both"/>
        <w:ind w:right="20" w:firstLine="640"/>
        <w:spacing w:after="0" w:line="305" w:lineRule="auto"/>
        <w:rPr>
          <w:sz w:val="20"/>
          <w:szCs w:val="20"/>
          <w:color w:val="auto"/>
        </w:rPr>
      </w:pPr>
      <w:r>
        <w:rPr>
          <w:rFonts w:ascii="Times New Roman" w:cs="Times New Roman" w:eastAsia="Times New Roman" w:hAnsi="Times New Roman"/>
          <w:sz w:val="21"/>
          <w:szCs w:val="21"/>
          <w:color w:val="auto"/>
        </w:rPr>
        <w:t xml:space="preserve">9.3 </w:t>
      </w:r>
      <w:r>
        <w:rPr>
          <w:rFonts w:ascii="Times New Roman" w:cs="Times New Roman" w:eastAsia="Times New Roman" w:hAnsi="Times New Roman"/>
          <w:sz w:val="21"/>
          <w:szCs w:val="21"/>
          <w:b w:val="1"/>
          <w:bCs w:val="1"/>
          <w:color w:val="auto"/>
        </w:rPr>
        <w:t>Tax Withholding.</w:t>
      </w:r>
      <w:r>
        <w:rPr>
          <w:rFonts w:ascii="Times New Roman" w:cs="Times New Roman" w:eastAsia="Times New Roman" w:hAnsi="Times New Roman"/>
          <w:sz w:val="21"/>
          <w:szCs w:val="21"/>
          <w:color w:val="auto"/>
        </w:rPr>
        <w:t xml:space="preserve"> The Company may withhold from any amounts payable under this Plan all federal, state, city, or other taxes as shall be required to be withheld pursuant to any law or governmental regulation or ruling.</w:t>
      </w:r>
    </w:p>
    <w:p>
      <w:pPr>
        <w:sectPr>
          <w:pgSz w:w="11900" w:h="16838" w:orient="portrait"/>
          <w:cols w:equalWidth="0" w:num="1">
            <w:col w:w="11100"/>
          </w:cols>
          <w:pgMar w:left="320" w:top="1432" w:right="479" w:bottom="1440" w:gutter="0" w:footer="0" w:header="0"/>
        </w:sectPr>
      </w:pPr>
    </w:p>
    <w:bookmarkStart w:id="41" w:name="page42"/>
    <w:bookmarkEnd w:id="41"/>
    <w:p>
      <w:pPr>
        <w:spacing w:after="0" w:line="201" w:lineRule="exact"/>
        <w:rPr>
          <w:sz w:val="20"/>
          <w:szCs w:val="20"/>
          <w:color w:val="auto"/>
        </w:rPr>
      </w:pPr>
    </w:p>
    <w:p>
      <w:pPr>
        <w:ind w:firstLine="640"/>
        <w:spacing w:after="0" w:line="291" w:lineRule="auto"/>
        <w:rPr>
          <w:sz w:val="20"/>
          <w:szCs w:val="20"/>
          <w:color w:val="auto"/>
        </w:rPr>
      </w:pPr>
      <w:r>
        <w:rPr>
          <w:rFonts w:ascii="Times New Roman" w:cs="Times New Roman" w:eastAsia="Times New Roman" w:hAnsi="Times New Roman"/>
          <w:sz w:val="21"/>
          <w:szCs w:val="21"/>
          <w:b w:val="1"/>
          <w:bCs w:val="1"/>
          <w:color w:val="auto"/>
        </w:rPr>
        <w:t xml:space="preserve">Governing Law. </w:t>
      </w:r>
      <w:r>
        <w:rPr>
          <w:rFonts w:ascii="Times New Roman" w:cs="Times New Roman" w:eastAsia="Times New Roman" w:hAnsi="Times New Roman"/>
          <w:sz w:val="21"/>
          <w:szCs w:val="21"/>
          <w:color w:val="auto"/>
        </w:rPr>
        <w:t>The Plan shall be construed and governed in all respects in accordance with the internal substantive laws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State of Delaware.</w:t>
      </w:r>
    </w:p>
    <w:p>
      <w:pPr>
        <w:spacing w:after="0" w:line="3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The undersigned authorized officer of the Company has executed this document on the 31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day of December, 2020.</w:t>
      </w:r>
    </w:p>
    <w:p>
      <w:pPr>
        <w:spacing w:after="0" w:line="16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color w:val="auto"/>
        </w:rPr>
        <w:t>LABORATORY CORPORATION OF AMERICA HOLDINGS</w:t>
      </w:r>
    </w:p>
    <w:p>
      <w:pPr>
        <w:spacing w:after="0" w:line="200" w:lineRule="exact"/>
        <w:rPr>
          <w:sz w:val="20"/>
          <w:szCs w:val="20"/>
          <w:color w:val="auto"/>
        </w:rPr>
      </w:pPr>
    </w:p>
    <w:p>
      <w:pPr>
        <w:spacing w:after="0" w:line="292" w:lineRule="exact"/>
        <w:rPr>
          <w:sz w:val="20"/>
          <w:szCs w:val="20"/>
          <w:color w:val="auto"/>
        </w:rPr>
      </w:pPr>
    </w:p>
    <w:p>
      <w:pPr>
        <w:ind w:left="4260"/>
        <w:spacing w:after="0"/>
        <w:tabs>
          <w:tab w:leader="none" w:pos="4760" w:val="left"/>
        </w:tabs>
        <w:rPr>
          <w:sz w:val="20"/>
          <w:szCs w:val="20"/>
          <w:color w:val="auto"/>
        </w:rPr>
      </w:pPr>
      <w:r>
        <w:rPr>
          <w:rFonts w:ascii="Times New Roman" w:cs="Times New Roman" w:eastAsia="Times New Roman" w:hAnsi="Times New Roman"/>
          <w:sz w:val="21"/>
          <w:szCs w:val="21"/>
          <w:color w:val="auto"/>
        </w:rPr>
        <w:t>By:</w:t>
        <w:tab/>
        <w:t>/s/ Sandra D. van der Vaart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2896870</wp:posOffset>
            </wp:positionH>
            <wp:positionV relativeFrom="paragraph">
              <wp:posOffset>-8255</wp:posOffset>
            </wp:positionV>
            <wp:extent cx="15944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Sandra D. van der Vaart</w:t>
      </w:r>
    </w:p>
    <w:p>
      <w:pPr>
        <w:spacing w:after="0" w:line="1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1"/>
          <w:szCs w:val="21"/>
          <w:color w:val="auto"/>
        </w:rPr>
        <w:t>Executive Vice President and Chief Legal Officer</w:t>
      </w:r>
    </w:p>
    <w:p>
      <w:pPr>
        <w:sectPr>
          <w:pgSz w:w="11900" w:h="16838" w:orient="portrait"/>
          <w:cols w:equalWidth="0" w:num="1">
            <w:col w:w="11100"/>
          </w:cols>
          <w:pgMar w:left="320" w:top="1440" w:right="479" w:bottom="1440" w:gutter="0" w:footer="0" w:header="0"/>
        </w:sectPr>
      </w:pPr>
    </w:p>
    <w:bookmarkStart w:id="42" w:name="page43"/>
    <w:bookmarkEnd w:id="42"/>
    <w:p>
      <w:pPr>
        <w:jc w:val="center"/>
        <w:ind w:right="440"/>
        <w:spacing w:after="0"/>
        <w:rPr>
          <w:sz w:val="20"/>
          <w:szCs w:val="20"/>
          <w:color w:val="auto"/>
        </w:rPr>
      </w:pPr>
      <w:r>
        <w:rPr>
          <w:rFonts w:ascii="Times New Roman" w:cs="Times New Roman" w:eastAsia="Times New Roman" w:hAnsi="Times New Roman"/>
          <w:sz w:val="21"/>
          <w:szCs w:val="21"/>
          <w:b w:val="1"/>
          <w:bCs w:val="1"/>
          <w:color w:val="auto"/>
        </w:rPr>
        <w:t>Schedule 1 to</w:t>
      </w:r>
    </w:p>
    <w:p>
      <w:pPr>
        <w:spacing w:after="0" w:line="4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1"/>
          <w:szCs w:val="21"/>
          <w:b w:val="1"/>
          <w:bCs w:val="1"/>
          <w:color w:val="auto"/>
        </w:rPr>
        <w:t>Amended and Restated Master Senior Executive Severance Plan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1"/>
          <w:szCs w:val="21"/>
          <w:b w:val="1"/>
          <w:bCs w:val="1"/>
          <w:color w:val="auto"/>
        </w:rPr>
        <w:t>Designated Groups, Covered Employees, and Benefit Levels</w:t>
      </w:r>
    </w:p>
    <w:p>
      <w:pPr>
        <w:spacing w:after="0" w:line="345" w:lineRule="exact"/>
        <w:rPr>
          <w:sz w:val="20"/>
          <w:szCs w:val="20"/>
          <w:color w:val="auto"/>
        </w:rPr>
      </w:pPr>
    </w:p>
    <w:tbl>
      <w:tblPr>
        <w:tblLayout w:type="fixed"/>
        <w:tblInd w:w="160" w:type="dxa"/>
        <w:tblCellMar>
          <w:top w:w="0" w:type="dxa"/>
          <w:left w:w="0" w:type="dxa"/>
          <w:bottom w:w="0" w:type="dxa"/>
          <w:right w:w="0" w:type="dxa"/>
        </w:tblCellMar>
      </w:tblPr>
      <w:tr>
        <w:trPr>
          <w:trHeight w:val="253"/>
        </w:trPr>
        <w:tc>
          <w:tcPr>
            <w:tcW w:w="2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rPr>
              <w:t>Severance Benefit as a</w:t>
            </w:r>
          </w:p>
        </w:tc>
        <w:tc>
          <w:tcPr>
            <w:tcW w:w="0" w:type="dxa"/>
            <w:vAlign w:val="bottom"/>
          </w:tcPr>
          <w:p>
            <w:pPr>
              <w:spacing w:after="0"/>
              <w:rPr>
                <w:sz w:val="1"/>
                <w:szCs w:val="1"/>
                <w:color w:val="auto"/>
              </w:rPr>
            </w:pPr>
          </w:p>
        </w:tc>
      </w:tr>
      <w:tr>
        <w:trPr>
          <w:trHeight w:val="253"/>
        </w:trPr>
        <w:tc>
          <w:tcPr>
            <w:tcW w:w="2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21"/>
                <w:szCs w:val="21"/>
                <w:b w:val="1"/>
                <w:bCs w:val="1"/>
                <w:color w:val="auto"/>
              </w:rPr>
              <w:t>Covered</w:t>
            </w:r>
          </w:p>
        </w:tc>
        <w:tc>
          <w:tcPr>
            <w:tcW w:w="270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rPr>
              <w:t>Multiple of Base Salary</w:t>
            </w:r>
          </w:p>
        </w:tc>
        <w:tc>
          <w:tcPr>
            <w:tcW w:w="0" w:type="dxa"/>
            <w:vAlign w:val="bottom"/>
          </w:tcPr>
          <w:p>
            <w:pPr>
              <w:spacing w:after="0"/>
              <w:rPr>
                <w:sz w:val="1"/>
                <w:szCs w:val="1"/>
                <w:color w:val="auto"/>
              </w:rPr>
            </w:pPr>
          </w:p>
        </w:tc>
      </w:tr>
      <w:tr>
        <w:trPr>
          <w:trHeight w:val="240"/>
        </w:trPr>
        <w:tc>
          <w:tcPr>
            <w:tcW w:w="2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2"/>
            <w:vMerge w:val="continue"/>
          </w:tcPr>
          <w:p>
            <w:pPr>
              <w:spacing w:after="0"/>
              <w:rPr>
                <w:sz w:val="20"/>
                <w:szCs w:val="20"/>
                <w:color w:val="auto"/>
              </w:rPr>
            </w:pPr>
          </w:p>
        </w:tc>
        <w:tc>
          <w:tcPr>
            <w:tcW w:w="2700" w:type="dxa"/>
            <w:vAlign w:val="bottom"/>
          </w:tcPr>
          <w:p>
            <w:pPr>
              <w:jc w:val="center"/>
              <w:spacing w:after="0" w:line="240" w:lineRule="exact"/>
              <w:rPr>
                <w:sz w:val="20"/>
                <w:szCs w:val="20"/>
                <w:color w:val="auto"/>
              </w:rPr>
            </w:pPr>
            <w:r>
              <w:rPr>
                <w:rFonts w:ascii="Times New Roman" w:cs="Times New Roman" w:eastAsia="Times New Roman" w:hAnsi="Times New Roman"/>
                <w:sz w:val="21"/>
                <w:szCs w:val="21"/>
                <w:b w:val="1"/>
                <w:bCs w:val="1"/>
                <w:color w:val="auto"/>
              </w:rPr>
              <w:t>Plus MIB</w:t>
            </w:r>
          </w:p>
        </w:tc>
        <w:tc>
          <w:tcPr>
            <w:tcW w:w="0" w:type="dxa"/>
            <w:vAlign w:val="bottom"/>
          </w:tcPr>
          <w:p>
            <w:pPr>
              <w:spacing w:after="0"/>
              <w:rPr>
                <w:sz w:val="1"/>
                <w:szCs w:val="1"/>
                <w:color w:val="auto"/>
              </w:rPr>
            </w:pPr>
          </w:p>
        </w:tc>
      </w:tr>
      <w:tr>
        <w:trPr>
          <w:trHeight w:val="318"/>
        </w:trPr>
        <w:tc>
          <w:tcPr>
            <w:tcW w:w="2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1"/>
                <w:szCs w:val="21"/>
                <w:b w:val="1"/>
                <w:bCs w:val="1"/>
                <w:color w:val="auto"/>
              </w:rPr>
              <w:t>Designated Group</w:t>
            </w:r>
          </w:p>
        </w:tc>
        <w:tc>
          <w:tcPr>
            <w:tcW w:w="20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Employees</w:t>
            </w:r>
          </w:p>
        </w:tc>
        <w:tc>
          <w:tcPr>
            <w:tcW w:w="200" w:type="dxa"/>
            <w:vAlign w:val="bottom"/>
          </w:tcPr>
          <w:p>
            <w:pPr>
              <w:spacing w:after="0"/>
              <w:rPr>
                <w:sz w:val="24"/>
                <w:szCs w:val="24"/>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Average Bonus</w:t>
            </w:r>
          </w:p>
        </w:tc>
        <w:tc>
          <w:tcPr>
            <w:tcW w:w="0" w:type="dxa"/>
            <w:vAlign w:val="bottom"/>
          </w:tcPr>
          <w:p>
            <w:pPr>
              <w:spacing w:after="0"/>
              <w:rPr>
                <w:sz w:val="1"/>
                <w:szCs w:val="1"/>
                <w:color w:val="auto"/>
              </w:rPr>
            </w:pPr>
          </w:p>
        </w:tc>
      </w:tr>
      <w:tr>
        <w:trPr>
          <w:trHeight w:val="479"/>
        </w:trPr>
        <w:tc>
          <w:tcPr>
            <w:tcW w:w="226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Chief Executive</w:t>
            </w: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2X</w:t>
            </w:r>
          </w:p>
        </w:tc>
        <w:tc>
          <w:tcPr>
            <w:tcW w:w="0" w:type="dxa"/>
            <w:vAlign w:val="bottom"/>
          </w:tcPr>
          <w:p>
            <w:pPr>
              <w:spacing w:after="0"/>
              <w:rPr>
                <w:sz w:val="1"/>
                <w:szCs w:val="1"/>
                <w:color w:val="auto"/>
              </w:rPr>
            </w:pPr>
          </w:p>
        </w:tc>
      </w:tr>
      <w:tr>
        <w:trPr>
          <w:trHeight w:val="278"/>
        </w:trPr>
        <w:tc>
          <w:tcPr>
            <w:tcW w:w="226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Officer*</w:t>
            </w: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226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Executive Vice</w:t>
            </w: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All Executive Vice</w:t>
            </w:r>
          </w:p>
        </w:tc>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21"/>
                <w:szCs w:val="21"/>
                <w:color w:val="auto"/>
              </w:rPr>
              <w:t>2X</w:t>
            </w:r>
          </w:p>
        </w:tc>
        <w:tc>
          <w:tcPr>
            <w:tcW w:w="0" w:type="dxa"/>
            <w:vAlign w:val="bottom"/>
          </w:tcPr>
          <w:p>
            <w:pPr>
              <w:spacing w:after="0"/>
              <w:rPr>
                <w:sz w:val="1"/>
                <w:szCs w:val="1"/>
                <w:color w:val="auto"/>
              </w:rPr>
            </w:pPr>
          </w:p>
        </w:tc>
      </w:tr>
      <w:tr>
        <w:trPr>
          <w:trHeight w:val="278"/>
        </w:trPr>
        <w:tc>
          <w:tcPr>
            <w:tcW w:w="226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President</w:t>
            </w: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Presidents</w:t>
            </w:r>
          </w:p>
        </w:tc>
        <w:tc>
          <w:tcPr>
            <w:tcW w:w="2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80"/>
        <w:spacing w:after="0" w:line="287" w:lineRule="auto"/>
        <w:rPr>
          <w:sz w:val="20"/>
          <w:szCs w:val="20"/>
          <w:color w:val="auto"/>
        </w:rPr>
      </w:pPr>
      <w:r>
        <w:rPr>
          <w:rFonts w:ascii="Times New Roman" w:cs="Times New Roman" w:eastAsia="Times New Roman" w:hAnsi="Times New Roman"/>
          <w:sz w:val="21"/>
          <w:szCs w:val="21"/>
          <w:color w:val="auto"/>
        </w:rPr>
        <w:t>A Chief Executive Officer who has an employment agreement that sets forth a contractual right to severance payments in the event of a separation of employment shall not be a participant in this Plan.</w:t>
      </w:r>
    </w:p>
    <w:p>
      <w:pPr>
        <w:sectPr>
          <w:pgSz w:w="11900" w:h="16838" w:orient="portrait"/>
          <w:cols w:equalWidth="0" w:num="1">
            <w:col w:w="9440"/>
          </w:cols>
          <w:pgMar w:left="1440" w:top="1401" w:right="1019" w:bottom="1440" w:gutter="0" w:footer="0" w:header="0"/>
        </w:sectPr>
      </w:pPr>
    </w:p>
    <w:bookmarkStart w:id="43" w:name="page44"/>
    <w:bookmarkEnd w:id="43"/>
    <w:p>
      <w:pPr>
        <w:spacing w:after="0" w:line="13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1"/>
          <w:szCs w:val="21"/>
          <w:b w:val="1"/>
          <w:bCs w:val="1"/>
          <w:color w:val="auto"/>
        </w:rPr>
        <w:t>A</w:t>
      </w:r>
    </w:p>
    <w:p>
      <w:pPr>
        <w:spacing w:after="0" w:line="26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1"/>
          <w:szCs w:val="21"/>
          <w:b w:val="1"/>
          <w:bCs w:val="1"/>
          <w:color w:val="auto"/>
        </w:rPr>
        <w:t>Special Severance Agreement</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b w:val="1"/>
          <w:bCs w:val="1"/>
          <w:color w:val="auto"/>
        </w:rPr>
        <w:t>Re:</w:t>
        <w:tab/>
        <w:t>Employment Separation Agreement and General Release</w:t>
      </w:r>
    </w:p>
    <w:p>
      <w:pPr>
        <w:spacing w:after="0" w:line="256" w:lineRule="exact"/>
        <w:rPr>
          <w:sz w:val="20"/>
          <w:szCs w:val="20"/>
          <w:color w:val="auto"/>
        </w:rPr>
      </w:pPr>
    </w:p>
    <w:p>
      <w:pPr>
        <w:ind w:left="100"/>
        <w:spacing w:after="0"/>
        <w:tabs>
          <w:tab w:leader="none" w:pos="760" w:val="left"/>
        </w:tabs>
        <w:rPr>
          <w:sz w:val="20"/>
          <w:szCs w:val="20"/>
          <w:color w:val="auto"/>
        </w:rPr>
      </w:pPr>
      <w:r>
        <w:rPr>
          <w:rFonts w:ascii="Times New Roman" w:cs="Times New Roman" w:eastAsia="Times New Roman" w:hAnsi="Times New Roman"/>
          <w:sz w:val="21"/>
          <w:szCs w:val="21"/>
          <w:color w:val="auto"/>
        </w:rPr>
        <w:t>Dear</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-8255</wp:posOffset>
            </wp:positionV>
            <wp:extent cx="135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5255" cy="8255"/>
                    </a:xfrm>
                    <a:prstGeom prst="rect">
                      <a:avLst/>
                    </a:prstGeom>
                    <a:noFill/>
                  </pic:spPr>
                </pic:pic>
              </a:graphicData>
            </a:graphic>
          </wp:anchor>
        </w:drawing>
      </w:r>
    </w:p>
    <w:p>
      <w:pPr>
        <w:spacing w:after="0" w:line="205" w:lineRule="exact"/>
        <w:rPr>
          <w:sz w:val="20"/>
          <w:szCs w:val="20"/>
          <w:color w:val="auto"/>
        </w:rPr>
      </w:pPr>
    </w:p>
    <w:p>
      <w:pPr>
        <w:ind w:left="100" w:right="40" w:firstLine="639"/>
        <w:spacing w:after="0" w:line="287" w:lineRule="auto"/>
        <w:rPr>
          <w:sz w:val="20"/>
          <w:szCs w:val="20"/>
          <w:color w:val="auto"/>
        </w:rPr>
      </w:pPr>
      <w:r>
        <w:rPr>
          <w:rFonts w:ascii="Times New Roman" w:cs="Times New Roman" w:eastAsia="Times New Roman" w:hAnsi="Times New Roman"/>
          <w:sz w:val="21"/>
          <w:szCs w:val="21"/>
          <w:color w:val="auto"/>
        </w:rPr>
        <w:t>On behalf of Laboratory Corporation of America Holdings (the “Company”), I write to offer you (the “Employee”) the following Employment Separation Agreement and General Release (the “Agreement”).</w:t>
      </w:r>
    </w:p>
    <w:p>
      <w:pPr>
        <w:spacing w:after="0" w:line="151"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21"/>
          <w:szCs w:val="21"/>
          <w:b w:val="1"/>
          <w:bCs w:val="1"/>
          <w:color w:val="auto"/>
        </w:rPr>
        <w:t>1.0</w:t>
      </w:r>
      <w:r>
        <w:rPr>
          <w:sz w:val="20"/>
          <w:szCs w:val="20"/>
          <w:color w:val="auto"/>
        </w:rPr>
        <w:tab/>
      </w:r>
      <w:r>
        <w:rPr>
          <w:rFonts w:ascii="Times New Roman" w:cs="Times New Roman" w:eastAsia="Times New Roman" w:hAnsi="Times New Roman"/>
          <w:sz w:val="21"/>
          <w:szCs w:val="21"/>
          <w:b w:val="1"/>
          <w:bCs w:val="1"/>
          <w:u w:val="single" w:color="auto"/>
          <w:color w:val="auto"/>
        </w:rPr>
        <w:t>Termination of Employment</w:t>
      </w:r>
    </w:p>
    <w:p>
      <w:pPr>
        <w:spacing w:after="0" w:line="225" w:lineRule="exact"/>
        <w:rPr>
          <w:sz w:val="20"/>
          <w:szCs w:val="20"/>
          <w:color w:val="auto"/>
        </w:rPr>
      </w:pPr>
    </w:p>
    <w:p>
      <w:pPr>
        <w:jc w:val="both"/>
        <w:ind w:left="640" w:right="40" w:firstLine="640"/>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1.1 </w:t>
      </w:r>
      <w:r>
        <w:rPr>
          <w:rFonts w:ascii="Times New Roman" w:cs="Times New Roman" w:eastAsia="Times New Roman" w:hAnsi="Times New Roman"/>
          <w:sz w:val="21"/>
          <w:szCs w:val="21"/>
          <w:color w:val="auto"/>
        </w:rPr>
        <w:t>Effective (the “Termination Date”), Employee’s employment with the Company was terminated; he/she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perform no further services for the Company and his/her status as an employee and Officer of the Company shall cease on that date. Employee and the Company further agree that the relationship created by this Agreement is purely contractual and that no employer-employee relationship is intended, nor shall such be inferred from the performance of obligations under this Agreement. Employee further agrees that any payments and/or benefits payable pursuant to this Agreement are contingent upon Employee’s execution and fulfillment of his/her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1691005</wp:posOffset>
            </wp:positionH>
            <wp:positionV relativeFrom="paragraph">
              <wp:posOffset>-856615</wp:posOffset>
            </wp:positionV>
            <wp:extent cx="1695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9545" cy="8255"/>
                    </a:xfrm>
                    <a:prstGeom prst="rect">
                      <a:avLst/>
                    </a:prstGeom>
                    <a:noFill/>
                  </pic:spPr>
                </pic:pic>
              </a:graphicData>
            </a:graphic>
          </wp:anchor>
        </w:drawing>
      </w:r>
    </w:p>
    <w:p>
      <w:pPr>
        <w:spacing w:after="0" w:line="144"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21"/>
          <w:szCs w:val="21"/>
          <w:b w:val="1"/>
          <w:bCs w:val="1"/>
          <w:color w:val="auto"/>
        </w:rPr>
        <w:t>2.0</w:t>
      </w:r>
      <w:r>
        <w:rPr>
          <w:sz w:val="20"/>
          <w:szCs w:val="20"/>
          <w:color w:val="auto"/>
        </w:rPr>
        <w:tab/>
      </w:r>
      <w:r>
        <w:rPr>
          <w:rFonts w:ascii="Times New Roman" w:cs="Times New Roman" w:eastAsia="Times New Roman" w:hAnsi="Times New Roman"/>
          <w:sz w:val="21"/>
          <w:szCs w:val="21"/>
          <w:b w:val="1"/>
          <w:bCs w:val="1"/>
          <w:u w:val="single" w:color="auto"/>
          <w:color w:val="auto"/>
        </w:rPr>
        <w:t>Separation Pay</w:t>
      </w:r>
    </w:p>
    <w:p>
      <w:pPr>
        <w:spacing w:after="0" w:line="225" w:lineRule="exact"/>
        <w:rPr>
          <w:sz w:val="20"/>
          <w:szCs w:val="20"/>
          <w:color w:val="auto"/>
        </w:rPr>
      </w:pPr>
    </w:p>
    <w:p>
      <w:pPr>
        <w:ind w:left="640" w:firstLine="640"/>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2.1 </w:t>
      </w:r>
      <w:r>
        <w:rPr>
          <w:rFonts w:ascii="Times New Roman" w:cs="Times New Roman" w:eastAsia="Times New Roman" w:hAnsi="Times New Roman"/>
          <w:sz w:val="21"/>
          <w:szCs w:val="21"/>
          <w:color w:val="auto"/>
        </w:rPr>
        <w:t>In consideration for the covenants, promises and agreements herein and in particular Employee’s release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claims as well as covenants not to solicit, not to compete and not to disclose confidential information, the Company will</w:t>
      </w:r>
    </w:p>
    <w:tbl>
      <w:tblPr>
        <w:tblLayout w:type="fixed"/>
        <w:tblInd w:w="640" w:type="dxa"/>
        <w:tblCellMar>
          <w:top w:w="0" w:type="dxa"/>
          <w:left w:w="0" w:type="dxa"/>
          <w:bottom w:w="0" w:type="dxa"/>
          <w:right w:w="0" w:type="dxa"/>
        </w:tblCellMar>
      </w:tblPr>
      <w:tr>
        <w:trPr>
          <w:trHeight w:val="218"/>
        </w:trPr>
        <w:tc>
          <w:tcPr>
            <w:tcW w:w="4420" w:type="dxa"/>
            <w:vAlign w:val="bottom"/>
            <w:gridSpan w:val="3"/>
          </w:tcPr>
          <w:p>
            <w:pPr>
              <w:spacing w:after="0" w:line="218" w:lineRule="exact"/>
              <w:rPr>
                <w:sz w:val="20"/>
                <w:szCs w:val="20"/>
                <w:color w:val="auto"/>
              </w:rPr>
            </w:pPr>
            <w:r>
              <w:rPr>
                <w:rFonts w:ascii="Times New Roman" w:cs="Times New Roman" w:eastAsia="Times New Roman" w:hAnsi="Times New Roman"/>
                <w:sz w:val="21"/>
                <w:szCs w:val="21"/>
                <w:color w:val="auto"/>
              </w:rPr>
              <w:t>pay Employee a severance in the total amount of $</w:t>
            </w:r>
          </w:p>
        </w:tc>
        <w:tc>
          <w:tcPr>
            <w:tcW w:w="520" w:type="dxa"/>
            <w:vAlign w:val="bottom"/>
            <w:tcBorders>
              <w:bottom w:val="single" w:sz="8" w:color="auto"/>
            </w:tcBorders>
          </w:tcPr>
          <w:p>
            <w:pPr>
              <w:spacing w:after="0"/>
              <w:rPr>
                <w:sz w:val="18"/>
                <w:szCs w:val="18"/>
                <w:color w:val="auto"/>
              </w:rPr>
            </w:pPr>
          </w:p>
        </w:tc>
        <w:tc>
          <w:tcPr>
            <w:tcW w:w="5560" w:type="dxa"/>
            <w:vAlign w:val="bottom"/>
            <w:gridSpan w:val="5"/>
          </w:tcPr>
          <w:p>
            <w:pPr>
              <w:jc w:val="right"/>
              <w:spacing w:after="0" w:line="218" w:lineRule="exact"/>
              <w:rPr>
                <w:sz w:val="20"/>
                <w:szCs w:val="20"/>
                <w:color w:val="auto"/>
              </w:rPr>
            </w:pPr>
            <w:r>
              <w:rPr>
                <w:rFonts w:ascii="Times New Roman" w:cs="Times New Roman" w:eastAsia="Times New Roman" w:hAnsi="Times New Roman"/>
                <w:sz w:val="21"/>
                <w:szCs w:val="21"/>
                <w:color w:val="auto"/>
              </w:rPr>
              <w:t>, less applicable taxes and withholdings (hereafter referred to as</w:t>
            </w:r>
          </w:p>
        </w:tc>
      </w:tr>
      <w:tr>
        <w:trPr>
          <w:trHeight w:val="233"/>
        </w:trPr>
        <w:tc>
          <w:tcPr>
            <w:tcW w:w="5700" w:type="dxa"/>
            <w:vAlign w:val="bottom"/>
            <w:gridSpan w:val="5"/>
          </w:tcPr>
          <w:p>
            <w:pPr>
              <w:spacing w:after="0" w:line="233" w:lineRule="exact"/>
              <w:rPr>
                <w:sz w:val="20"/>
                <w:szCs w:val="20"/>
                <w:color w:val="auto"/>
              </w:rPr>
            </w:pPr>
            <w:r>
              <w:rPr>
                <w:rFonts w:ascii="Times New Roman" w:cs="Times New Roman" w:eastAsia="Times New Roman" w:hAnsi="Times New Roman"/>
                <w:sz w:val="21"/>
                <w:szCs w:val="21"/>
                <w:color w:val="auto"/>
              </w:rPr>
              <w:t>“Severance Pay”), which equals the Employee’s Base Salary of $</w:t>
            </w:r>
          </w:p>
        </w:tc>
        <w:tc>
          <w:tcPr>
            <w:tcW w:w="260" w:type="dxa"/>
            <w:vAlign w:val="bottom"/>
            <w:tcBorders>
              <w:bottom w:val="single" w:sz="8" w:color="auto"/>
            </w:tcBorders>
          </w:tcPr>
          <w:p>
            <w:pPr>
              <w:spacing w:after="0"/>
              <w:rPr>
                <w:sz w:val="20"/>
                <w:szCs w:val="20"/>
                <w:color w:val="auto"/>
              </w:rPr>
            </w:pPr>
          </w:p>
        </w:tc>
        <w:tc>
          <w:tcPr>
            <w:tcW w:w="4540" w:type="dxa"/>
            <w:vAlign w:val="bottom"/>
            <w:gridSpan w:val="3"/>
          </w:tcPr>
          <w:p>
            <w:pPr>
              <w:jc w:val="right"/>
              <w:spacing w:after="0" w:line="233" w:lineRule="exact"/>
              <w:rPr>
                <w:sz w:val="20"/>
                <w:szCs w:val="20"/>
                <w:color w:val="auto"/>
              </w:rPr>
            </w:pPr>
            <w:r>
              <w:rPr>
                <w:rFonts w:ascii="Times New Roman" w:cs="Times New Roman" w:eastAsia="Times New Roman" w:hAnsi="Times New Roman"/>
                <w:sz w:val="21"/>
                <w:szCs w:val="21"/>
                <w:color w:val="auto"/>
              </w:rPr>
              <w:t>plus Employee’s MIB Average Bonus as defined in</w:t>
            </w:r>
          </w:p>
        </w:tc>
      </w:tr>
      <w:tr>
        <w:trPr>
          <w:trHeight w:val="233"/>
        </w:trPr>
        <w:tc>
          <w:tcPr>
            <w:tcW w:w="1180" w:type="dxa"/>
            <w:vAlign w:val="bottom"/>
          </w:tcPr>
          <w:p>
            <w:pPr>
              <w:spacing w:after="0" w:line="233" w:lineRule="exact"/>
              <w:rPr>
                <w:sz w:val="20"/>
                <w:szCs w:val="20"/>
                <w:color w:val="auto"/>
              </w:rPr>
            </w:pPr>
            <w:r>
              <w:rPr>
                <w:rFonts w:ascii="Times New Roman" w:cs="Times New Roman" w:eastAsia="Times New Roman" w:hAnsi="Times New Roman"/>
                <w:sz w:val="21"/>
                <w:szCs w:val="21"/>
                <w:color w:val="auto"/>
              </w:rPr>
              <w:t>the Plan of $</w:t>
            </w:r>
          </w:p>
        </w:tc>
        <w:tc>
          <w:tcPr>
            <w:tcW w:w="340" w:type="dxa"/>
            <w:vAlign w:val="bottom"/>
            <w:tcBorders>
              <w:bottom w:val="single" w:sz="8" w:color="auto"/>
            </w:tcBorders>
          </w:tcPr>
          <w:p>
            <w:pPr>
              <w:spacing w:after="0"/>
              <w:rPr>
                <w:sz w:val="20"/>
                <w:szCs w:val="20"/>
                <w:color w:val="auto"/>
              </w:rPr>
            </w:pPr>
          </w:p>
        </w:tc>
        <w:tc>
          <w:tcPr>
            <w:tcW w:w="7180" w:type="dxa"/>
            <w:vAlign w:val="bottom"/>
            <w:gridSpan w:val="5"/>
          </w:tcPr>
          <w:p>
            <w:pPr>
              <w:spacing w:after="0" w:line="233" w:lineRule="exact"/>
              <w:rPr>
                <w:sz w:val="20"/>
                <w:szCs w:val="20"/>
                <w:color w:val="auto"/>
              </w:rPr>
            </w:pPr>
            <w:r>
              <w:rPr>
                <w:rFonts w:ascii="Times New Roman" w:cs="Times New Roman" w:eastAsia="Times New Roman" w:hAnsi="Times New Roman"/>
                <w:sz w:val="21"/>
                <w:szCs w:val="21"/>
                <w:color w:val="auto"/>
              </w:rPr>
              <w:t>. The severance shall be paid in two installments, with the first installment of $</w:t>
            </w:r>
          </w:p>
        </w:tc>
        <w:tc>
          <w:tcPr>
            <w:tcW w:w="420" w:type="dxa"/>
            <w:vAlign w:val="bottom"/>
            <w:tcBorders>
              <w:bottom w:val="single" w:sz="8" w:color="auto"/>
            </w:tcBorders>
          </w:tcPr>
          <w:p>
            <w:pPr>
              <w:spacing w:after="0"/>
              <w:rPr>
                <w:sz w:val="20"/>
                <w:szCs w:val="20"/>
                <w:color w:val="auto"/>
              </w:rPr>
            </w:pPr>
          </w:p>
        </w:tc>
        <w:tc>
          <w:tcPr>
            <w:tcW w:w="1380" w:type="dxa"/>
            <w:vAlign w:val="bottom"/>
          </w:tcPr>
          <w:p>
            <w:pPr>
              <w:jc w:val="right"/>
              <w:spacing w:after="0" w:line="233" w:lineRule="exact"/>
              <w:rPr>
                <w:sz w:val="20"/>
                <w:szCs w:val="20"/>
                <w:color w:val="auto"/>
              </w:rPr>
            </w:pPr>
            <w:r>
              <w:rPr>
                <w:rFonts w:ascii="Times New Roman" w:cs="Times New Roman" w:eastAsia="Times New Roman" w:hAnsi="Times New Roman"/>
                <w:sz w:val="21"/>
                <w:szCs w:val="21"/>
                <w:color w:val="auto"/>
              </w:rPr>
              <w:t>, less taxes and</w:t>
            </w:r>
          </w:p>
        </w:tc>
      </w:tr>
    </w:tbl>
    <w:p>
      <w:pPr>
        <w:spacing w:after="0" w:line="13"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1"/>
          <w:szCs w:val="21"/>
          <w:color w:val="auto"/>
        </w:rPr>
        <w:t>withholding, made payable within 30 days following the Termination Date and the second installment of $ , less taxes and withholding, made payable within 30 days following the one-year anniversary of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6303645</wp:posOffset>
            </wp:positionH>
            <wp:positionV relativeFrom="paragraph">
              <wp:posOffset>-221615</wp:posOffset>
            </wp:positionV>
            <wp:extent cx="1695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9545" cy="8255"/>
                    </a:xfrm>
                    <a:prstGeom prst="rect">
                      <a:avLst/>
                    </a:prstGeom>
                    <a:noFill/>
                  </pic:spPr>
                </pic:pic>
              </a:graphicData>
            </a:graphic>
          </wp:anchor>
        </w:drawing>
      </w:r>
    </w:p>
    <w:p>
      <w:pPr>
        <w:spacing w:after="0" w:line="131" w:lineRule="exact"/>
        <w:rPr>
          <w:sz w:val="20"/>
          <w:szCs w:val="20"/>
          <w:color w:val="auto"/>
        </w:rPr>
      </w:pPr>
    </w:p>
    <w:p>
      <w:pPr>
        <w:jc w:val="both"/>
        <w:ind w:left="640" w:right="60" w:firstLine="640"/>
        <w:spacing w:after="0" w:line="291" w:lineRule="auto"/>
        <w:rPr>
          <w:sz w:val="20"/>
          <w:szCs w:val="20"/>
          <w:color w:val="auto"/>
        </w:rPr>
      </w:pPr>
      <w:r>
        <w:rPr>
          <w:rFonts w:ascii="Times New Roman" w:cs="Times New Roman" w:eastAsia="Times New Roman" w:hAnsi="Times New Roman"/>
          <w:sz w:val="21"/>
          <w:szCs w:val="21"/>
          <w:b w:val="1"/>
          <w:bCs w:val="1"/>
          <w:color w:val="auto"/>
        </w:rPr>
        <w:t xml:space="preserve">2.2 </w:t>
      </w:r>
      <w:r>
        <w:rPr>
          <w:rFonts w:ascii="Times New Roman" w:cs="Times New Roman" w:eastAsia="Times New Roman" w:hAnsi="Times New Roman"/>
          <w:sz w:val="21"/>
          <w:szCs w:val="21"/>
          <w:color w:val="auto"/>
        </w:rPr>
        <w:t>The Company shall not be responsible for making any payment under this Section 2.0 and its sub-parts if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 has not complied in all material respects with the terms and conditions of this Agreement.</w:t>
      </w:r>
    </w:p>
    <w:p>
      <w:pPr>
        <w:spacing w:after="0" w:line="13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1"/>
          <w:szCs w:val="21"/>
          <w:b w:val="1"/>
          <w:bCs w:val="1"/>
          <w:color w:val="auto"/>
        </w:rPr>
        <w:t>3.0</w:t>
      </w:r>
      <w:r>
        <w:rPr>
          <w:sz w:val="20"/>
          <w:szCs w:val="20"/>
          <w:color w:val="auto"/>
        </w:rPr>
        <w:tab/>
      </w:r>
      <w:r>
        <w:rPr>
          <w:rFonts w:ascii="Times New Roman" w:cs="Times New Roman" w:eastAsia="Times New Roman" w:hAnsi="Times New Roman"/>
          <w:sz w:val="21"/>
          <w:szCs w:val="21"/>
          <w:b w:val="1"/>
          <w:bCs w:val="1"/>
          <w:u w:val="single" w:color="auto"/>
          <w:color w:val="auto"/>
        </w:rPr>
        <w:t>Benefits</w:t>
      </w:r>
    </w:p>
    <w:p>
      <w:pPr>
        <w:spacing w:after="0" w:line="225" w:lineRule="exact"/>
        <w:rPr>
          <w:sz w:val="20"/>
          <w:szCs w:val="20"/>
          <w:color w:val="auto"/>
        </w:rPr>
      </w:pPr>
    </w:p>
    <w:p>
      <w:pPr>
        <w:jc w:val="both"/>
        <w:ind w:left="640" w:right="40" w:firstLine="640"/>
        <w:spacing w:after="0" w:line="278" w:lineRule="auto"/>
        <w:rPr>
          <w:sz w:val="20"/>
          <w:szCs w:val="20"/>
          <w:color w:val="auto"/>
        </w:rPr>
      </w:pPr>
      <w:r>
        <w:rPr>
          <w:rFonts w:ascii="Times New Roman" w:cs="Times New Roman" w:eastAsia="Times New Roman" w:hAnsi="Times New Roman"/>
          <w:sz w:val="21"/>
          <w:szCs w:val="21"/>
          <w:b w:val="1"/>
          <w:bCs w:val="1"/>
          <w:color w:val="auto"/>
        </w:rPr>
        <w:t xml:space="preserve">3.1 </w:t>
      </w:r>
      <w:r>
        <w:rPr>
          <w:rFonts w:ascii="Times New Roman" w:cs="Times New Roman" w:eastAsia="Times New Roman" w:hAnsi="Times New Roman"/>
          <w:sz w:val="21"/>
          <w:szCs w:val="21"/>
          <w:color w:val="auto"/>
        </w:rPr>
        <w:t>Employee, his/her spouse, and his/her other dependent(s) may be eligible to elect continued health care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coverage under the welfare plans sponsored by the Company, as provided in the applicable provisions of the Consolidated Omnibus Budget</w:t>
      </w:r>
    </w:p>
    <w:p>
      <w:pPr>
        <w:sectPr>
          <w:pgSz w:w="11900" w:h="16838" w:orient="portrait"/>
          <w:cols w:equalWidth="0" w:num="1">
            <w:col w:w="11140"/>
          </w:cols>
          <w:pgMar w:left="320" w:top="1440" w:right="439" w:bottom="1440" w:gutter="0" w:footer="0" w:header="0"/>
        </w:sectPr>
      </w:pPr>
    </w:p>
    <w:bookmarkStart w:id="44" w:name="page45"/>
    <w:bookmarkEnd w:id="44"/>
    <w:p>
      <w:pPr>
        <w:spacing w:after="0" w:line="263" w:lineRule="auto"/>
        <w:rPr>
          <w:sz w:val="20"/>
          <w:szCs w:val="20"/>
          <w:color w:val="auto"/>
        </w:rPr>
      </w:pPr>
      <w:r>
        <w:rPr>
          <w:rFonts w:ascii="Times New Roman" w:cs="Times New Roman" w:eastAsia="Times New Roman" w:hAnsi="Times New Roman"/>
          <w:sz w:val="21"/>
          <w:szCs w:val="21"/>
          <w:color w:val="auto"/>
        </w:rPr>
        <w:t>Reconciliation Act of 1985, as amended (“COBRA”), which provides generally that certain employees and their dependents may elect to continue coverage under employer- sponsored group health plans for a period of at least eighteen</w:t>
      </w:r>
    </w:p>
    <w:p>
      <w:pPr>
        <w:spacing w:after="0" w:line="1" w:lineRule="exact"/>
        <w:rPr>
          <w:sz w:val="20"/>
          <w:szCs w:val="20"/>
          <w:color w:val="auto"/>
        </w:rPr>
      </w:pPr>
    </w:p>
    <w:p>
      <w:pPr>
        <w:ind w:left="420" w:hanging="414"/>
        <w:spacing w:after="0"/>
        <w:tabs>
          <w:tab w:leader="none" w:pos="42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months under certain conditions, including payment by Employee of the “Applicable Premium” as defined in Section</w:t>
      </w:r>
    </w:p>
    <w:p>
      <w:pPr>
        <w:spacing w:after="0" w:line="11" w:lineRule="exact"/>
        <w:rPr>
          <w:rFonts w:ascii="Times New Roman" w:cs="Times New Roman" w:eastAsia="Times New Roman" w:hAnsi="Times New Roman"/>
          <w:sz w:val="21"/>
          <w:szCs w:val="21"/>
          <w:color w:val="auto"/>
        </w:rPr>
      </w:pPr>
    </w:p>
    <w:p>
      <w:pPr>
        <w:jc w:val="both"/>
        <w:spacing w:after="0" w:line="25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604 of the Employee Retirement Income Security Act of 1974, as amended, 29U.S.C. §§ 1001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(“ERISA”). In the event Employee elects continuation of coverage under COBRA for himself/herself and his/her spouse and dependents, the Company will pay the Applicable Premium for such coverage (medical, dental, optical and prescription coverage for spouse and dependents) for 12 months, thereof. To be clear, the COBRA reimbursement will not include the Applicable Premium for any Section 125, health flexible spending, dependent care and health savings account and similar plans. Employee shall be responsible for, and will be required to pay, the Applicable Premium for any COBRA coverage beyond the 12 month period.</w:t>
      </w:r>
    </w:p>
    <w:p>
      <w:pPr>
        <w:spacing w:after="0" w:line="175"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3.2 </w:t>
      </w:r>
      <w:r>
        <w:rPr>
          <w:rFonts w:ascii="Times New Roman" w:cs="Times New Roman" w:eastAsia="Times New Roman" w:hAnsi="Times New Roman"/>
          <w:sz w:val="21"/>
          <w:szCs w:val="21"/>
          <w:color w:val="auto"/>
        </w:rPr>
        <w:t>Employee shall be eligible for such benefits under the Company’s existing qualified plans as are 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the circumstances (taking into account termination of employment as of the Termination Date) pursuant to the terms of the plan documents governing each of these plans. Except as otherwise provided herein or in the terms of any documents governing any employee benefit plan maintained by the Company, Employee will cease to be a participant in and will no longer have any coverage or entitlement to benefits, accruals, or contributions under any of the Company’s employee benefit plans effective upon the termination of his/her employment. Employee agrees that the payments made to him/her by the Company pursuant to this Agreement do not constitute compensation for purposes of calculating the amount of benefits that Employee may be entitled to under the terms of any pension plan or for the purposes of accruing any benefit, receiving any allocation of any contribution, or having the right to defer any income in any profit-sharing or other employee pension benefit plan, including any cash or deferred arrangement.</w:t>
      </w:r>
    </w:p>
    <w:p>
      <w:pPr>
        <w:spacing w:after="0" w:line="166"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1"/>
          <w:szCs w:val="21"/>
          <w:b w:val="1"/>
          <w:bCs w:val="1"/>
          <w:color w:val="auto"/>
        </w:rPr>
        <w:t xml:space="preserve">3.3 </w:t>
      </w:r>
      <w:r>
        <w:rPr>
          <w:rFonts w:ascii="Times New Roman" w:cs="Times New Roman" w:eastAsia="Times New Roman" w:hAnsi="Times New Roman"/>
          <w:sz w:val="21"/>
          <w:szCs w:val="21"/>
          <w:color w:val="auto"/>
        </w:rPr>
        <w:t>Employee also understands that his/her equity awards are governed by the terms and conditions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Company’s 2016 Incentive Stock Plan and Omnibus Incentive Plan or predecessor plans and individual equity award agreements. Nothing in this Agreement alters, changes, or amends the terms and conditions of said equity awards and award agreements.</w:t>
      </w:r>
    </w:p>
    <w:p>
      <w:pPr>
        <w:spacing w:after="0" w:line="157" w:lineRule="exact"/>
        <w:rPr>
          <w:sz w:val="20"/>
          <w:szCs w:val="20"/>
          <w:color w:val="auto"/>
        </w:rPr>
      </w:pPr>
    </w:p>
    <w:p>
      <w:pPr>
        <w:jc w:val="both"/>
        <w:ind w:left="80" w:firstLine="640"/>
        <w:spacing w:after="0" w:line="269" w:lineRule="auto"/>
        <w:rPr>
          <w:sz w:val="20"/>
          <w:szCs w:val="20"/>
          <w:color w:val="auto"/>
        </w:rPr>
      </w:pPr>
      <w:r>
        <w:rPr>
          <w:rFonts w:ascii="Times New Roman" w:cs="Times New Roman" w:eastAsia="Times New Roman" w:hAnsi="Times New Roman"/>
          <w:sz w:val="21"/>
          <w:szCs w:val="21"/>
          <w:b w:val="1"/>
          <w:bCs w:val="1"/>
          <w:color w:val="auto"/>
        </w:rPr>
        <w:t xml:space="preserve">3.4 </w:t>
      </w:r>
      <w:r>
        <w:rPr>
          <w:rFonts w:ascii="Times New Roman" w:cs="Times New Roman" w:eastAsia="Times New Roman" w:hAnsi="Times New Roman"/>
          <w:sz w:val="21"/>
          <w:szCs w:val="21"/>
          <w:color w:val="auto"/>
        </w:rPr>
        <w:t>Employee shall submit for reimbursement any and all unpaid business expenses to the Company within 30</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days of the Termination Date. The Company will reimburse said expenses provided that they are consistent with, and reimbursable under, the Company’s travel and entertainment expense policy. The Company will not be responsible for reimbursing the Employee for any business expenses submitted after said 30 day period.</w:t>
      </w:r>
    </w:p>
    <w:p>
      <w:pPr>
        <w:spacing w:after="0" w:line="157" w:lineRule="exact"/>
        <w:rPr>
          <w:sz w:val="20"/>
          <w:szCs w:val="20"/>
          <w:color w:val="auto"/>
        </w:rPr>
      </w:pPr>
    </w:p>
    <w:p>
      <w:pPr>
        <w:jc w:val="both"/>
        <w:ind w:left="80" w:firstLine="640"/>
        <w:spacing w:after="0" w:line="271" w:lineRule="auto"/>
        <w:rPr>
          <w:sz w:val="20"/>
          <w:szCs w:val="20"/>
          <w:color w:val="auto"/>
        </w:rPr>
      </w:pPr>
      <w:r>
        <w:rPr>
          <w:rFonts w:ascii="Times New Roman" w:cs="Times New Roman" w:eastAsia="Times New Roman" w:hAnsi="Times New Roman"/>
          <w:sz w:val="21"/>
          <w:szCs w:val="21"/>
          <w:b w:val="1"/>
          <w:bCs w:val="1"/>
          <w:color w:val="auto"/>
        </w:rPr>
        <w:t xml:space="preserve">3.5 </w:t>
      </w:r>
      <w:r>
        <w:rPr>
          <w:rFonts w:ascii="Times New Roman" w:cs="Times New Roman" w:eastAsia="Times New Roman" w:hAnsi="Times New Roman"/>
          <w:sz w:val="21"/>
          <w:szCs w:val="21"/>
          <w:color w:val="auto"/>
        </w:rPr>
        <w:t>This Agreement shall never be construed as an admission by the Company of any liability, wrongdoing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responsibility on its part or on the part of any other person or entity described in Section 4.1 of this Agreement. The Company expressly denies any such liability, wrongdoing or responsibility.</w:t>
      </w:r>
    </w:p>
    <w:p>
      <w:pPr>
        <w:sectPr>
          <w:pgSz w:w="11900" w:h="16838" w:orient="portrait"/>
          <w:cols w:equalWidth="0" w:num="1">
            <w:col w:w="10540"/>
          </w:cols>
          <w:pgMar w:left="880" w:top="1405" w:right="479" w:bottom="1440" w:gutter="0" w:footer="0" w:header="0"/>
        </w:sectPr>
      </w:pPr>
    </w:p>
    <w:bookmarkStart w:id="45" w:name="page46"/>
    <w:bookmarkEnd w:id="45"/>
    <w:p>
      <w:pPr>
        <w:spacing w:after="0"/>
        <w:tabs>
          <w:tab w:leader="none" w:pos="680" w:val="left"/>
        </w:tabs>
        <w:rPr>
          <w:sz w:val="20"/>
          <w:szCs w:val="20"/>
          <w:color w:val="auto"/>
        </w:rPr>
      </w:pPr>
      <w:r>
        <w:rPr>
          <w:rFonts w:ascii="Times New Roman" w:cs="Times New Roman" w:eastAsia="Times New Roman" w:hAnsi="Times New Roman"/>
          <w:sz w:val="21"/>
          <w:szCs w:val="21"/>
          <w:b w:val="1"/>
          <w:bCs w:val="1"/>
          <w:color w:val="auto"/>
        </w:rPr>
        <w:t>4.0</w:t>
      </w:r>
      <w:r>
        <w:rPr>
          <w:sz w:val="20"/>
          <w:szCs w:val="20"/>
          <w:color w:val="auto"/>
        </w:rPr>
        <w:tab/>
      </w:r>
      <w:r>
        <w:rPr>
          <w:rFonts w:ascii="Times New Roman" w:cs="Times New Roman" w:eastAsia="Times New Roman" w:hAnsi="Times New Roman"/>
          <w:sz w:val="21"/>
          <w:szCs w:val="21"/>
          <w:b w:val="1"/>
          <w:bCs w:val="1"/>
          <w:u w:val="single" w:color="auto"/>
          <w:color w:val="auto"/>
        </w:rPr>
        <w:t>Release</w:t>
      </w:r>
    </w:p>
    <w:p>
      <w:pPr>
        <w:spacing w:after="0" w:line="225" w:lineRule="exact"/>
        <w:rPr>
          <w:sz w:val="20"/>
          <w:szCs w:val="20"/>
          <w:color w:val="auto"/>
        </w:rPr>
      </w:pPr>
    </w:p>
    <w:p>
      <w:pPr>
        <w:jc w:val="both"/>
        <w:ind w:left="640" w:firstLine="640"/>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4.1 </w:t>
      </w:r>
      <w:r>
        <w:rPr>
          <w:rFonts w:ascii="Times New Roman" w:cs="Times New Roman" w:eastAsia="Times New Roman" w:hAnsi="Times New Roman"/>
          <w:sz w:val="21"/>
          <w:szCs w:val="21"/>
          <w:color w:val="auto"/>
        </w:rPr>
        <w:t>Employee, on behalf of himself/herself and his/her heirs, assigns, transferees and representatives, hereby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releases and forever discharges the Company, and its predecessors, successors, parents, subsidiaries, affiliates, assigns, representatives and agents, as well as all of their present and former directors, officers, employees, agents, shareholders, representatives, attorneys and insurers (collectively, the “Releasees”), from any and all claims, causes of actions, demands, damages or liability of any nature whatsoever, known or unknown, which Employee has or may have which arise out of his/her employment or cessation of employment with the Company, or which concern or relate in any way to any acts or omissions done or occurring prior to and including the date of this Agreement, including, but not limited to, claims arising under the Fair Labor Standards Act; the Equal Pay Act; Title VII of the Civil Rights Act of 1964; 42 U.S.C.§ 1981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the Americans with Disabilities Act; the Family and Medical Leave Act; the Employee Retirement Income Security Act of 1974; the Worker Adjustment and Retraining Notification Act, the Age Discrimination in Employment Act; the Genetic Information Nondiscrimination Act of 2008 (GINA), any and all claims for discrimination, wrongful termination and/or retaliation; claims for breach of contract, express or implied; claims for breach of the covenant of good faith and fair dealing; claims for compensation, including but not limited to wages, bonuses, or commissions except as otherwise contained herein; claims for benefits or fringe benefits, including, but not limited to, claims for severance pay and/or termination pay, except as otherwise contained herein; claims for, or relating to stock or stock options (except that nothing in this Agreement shall prohibit Employee from exercising any vested stock options or affect Employee’s claims to vested benefits in the Company’s Employees’ Retirement Savings Plan, Deferred Compensation Plan, Employee Stock Purchase Plan, or Cash Balance Retirement Plan, in accordance with the terms of the applicable stock option agreement(s) and applicable plan documents); claims for unaccrued vacation pay; claims arising in tort, including, but not limited to, claims for invasion of privacy, negligent or intentional infliction of emotional distress, fraud, negligent or intentional misrepresentation, and defamation; claims for quantum meruit and/or unjust enrichment; and any and all other claims arising under any other federal, state, local or foreign laws, as well as any and all other common law legal or equitable claims.</w:t>
      </w:r>
    </w:p>
    <w:p>
      <w:pPr>
        <w:spacing w:after="0" w:line="200" w:lineRule="exact"/>
        <w:rPr>
          <w:sz w:val="20"/>
          <w:szCs w:val="20"/>
          <w:color w:val="auto"/>
        </w:rPr>
      </w:pPr>
    </w:p>
    <w:p>
      <w:pPr>
        <w:spacing w:after="0" w:line="299" w:lineRule="exact"/>
        <w:rPr>
          <w:sz w:val="20"/>
          <w:szCs w:val="20"/>
          <w:color w:val="auto"/>
        </w:rPr>
      </w:pPr>
    </w:p>
    <w:p>
      <w:pPr>
        <w:jc w:val="both"/>
        <w:ind w:left="640" w:right="140" w:firstLine="640"/>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4.2 </w:t>
      </w:r>
      <w:r>
        <w:rPr>
          <w:rFonts w:ascii="Times New Roman" w:cs="Times New Roman" w:eastAsia="Times New Roman" w:hAnsi="Times New Roman"/>
          <w:sz w:val="21"/>
          <w:szCs w:val="21"/>
          <w:color w:val="auto"/>
        </w:rPr>
        <w:t>Employee represents that he/she has not initiated any action or charge against any of the Releasees with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Federal, State or local court or administrative agency. Employee knowingly and intentionally waives any rights to any additional recovery that might be sought on his/her behalf by any other person, entity, local, state or federal government or agency thereof, including specifically and without limitation, the United States Department of Labor, the Equal Employment Opportunity Commission and comparable State agencies.</w:t>
      </w:r>
    </w:p>
    <w:p>
      <w:pPr>
        <w:spacing w:after="0" w:line="213" w:lineRule="exact"/>
        <w:rPr>
          <w:sz w:val="20"/>
          <w:szCs w:val="20"/>
          <w:color w:val="auto"/>
        </w:rPr>
      </w:pPr>
    </w:p>
    <w:p>
      <w:pPr>
        <w:jc w:val="both"/>
        <w:ind w:left="640" w:right="140" w:firstLine="640"/>
        <w:spacing w:after="0" w:line="269" w:lineRule="auto"/>
        <w:rPr>
          <w:sz w:val="20"/>
          <w:szCs w:val="20"/>
          <w:color w:val="auto"/>
        </w:rPr>
      </w:pPr>
      <w:r>
        <w:rPr>
          <w:rFonts w:ascii="Times New Roman" w:cs="Times New Roman" w:eastAsia="Times New Roman" w:hAnsi="Times New Roman"/>
          <w:sz w:val="21"/>
          <w:szCs w:val="21"/>
          <w:b w:val="1"/>
          <w:bCs w:val="1"/>
          <w:color w:val="auto"/>
        </w:rPr>
        <w:t xml:space="preserve">4.3 </w:t>
      </w:r>
      <w:r>
        <w:rPr>
          <w:rFonts w:ascii="Times New Roman" w:cs="Times New Roman" w:eastAsia="Times New Roman" w:hAnsi="Times New Roman"/>
          <w:sz w:val="21"/>
          <w:szCs w:val="21"/>
          <w:color w:val="auto"/>
        </w:rPr>
        <w:t>Employee is hereby advised that: (i) he/she should consult with an attorney (at his/her own expense) prior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executing this Agreement; (ii) he/she is waiving, among other things, any age discrimination claims under the Age Discrimination in Employment Act, provided, however, he/she is not waiving any claims that may arise after the date this Agreement is executed; (iii) he/she has twenty-one (21) days within which to consider the</w:t>
      </w:r>
    </w:p>
    <w:p>
      <w:pPr>
        <w:sectPr>
          <w:pgSz w:w="11900" w:h="16838" w:orient="portrait"/>
          <w:cols w:equalWidth="0" w:num="1">
            <w:col w:w="11240"/>
          </w:cols>
          <w:pgMar w:left="320" w:top="1401" w:right="339" w:bottom="1440" w:gutter="0" w:footer="0" w:header="0"/>
        </w:sectPr>
      </w:pPr>
    </w:p>
    <w:bookmarkStart w:id="46" w:name="page47"/>
    <w:bookmarkEnd w:id="46"/>
    <w:p>
      <w:pPr>
        <w:spacing w:after="0" w:line="152" w:lineRule="exact"/>
        <w:rPr>
          <w:sz w:val="20"/>
          <w:szCs w:val="20"/>
          <w:color w:val="auto"/>
        </w:rPr>
      </w:pPr>
    </w:p>
    <w:p>
      <w:pPr>
        <w:jc w:val="both"/>
        <w:ind w:left="640"/>
        <w:spacing w:after="0" w:line="276" w:lineRule="auto"/>
        <w:rPr>
          <w:sz w:val="20"/>
          <w:szCs w:val="20"/>
          <w:color w:val="auto"/>
        </w:rPr>
      </w:pPr>
      <w:r>
        <w:rPr>
          <w:rFonts w:ascii="Times New Roman" w:cs="Times New Roman" w:eastAsia="Times New Roman" w:hAnsi="Times New Roman"/>
          <w:sz w:val="21"/>
          <w:szCs w:val="21"/>
          <w:color w:val="auto"/>
        </w:rPr>
        <w:t>execution of this Agreement, before signing it; and (iv) for a period of seven (7) days following the execution of this Agreement, he/she may revoke this Agreement by delivering written notice (by the close of business on the seventh day) to the Company in accordance with Section 10.7 herein.</w:t>
      </w:r>
    </w:p>
    <w:p>
      <w:pPr>
        <w:spacing w:after="0" w:line="149" w:lineRule="exact"/>
        <w:rPr>
          <w:sz w:val="20"/>
          <w:szCs w:val="20"/>
          <w:color w:val="auto"/>
        </w:rPr>
      </w:pPr>
    </w:p>
    <w:p>
      <w:pPr>
        <w:jc w:val="both"/>
        <w:ind w:left="640" w:right="20" w:firstLine="640"/>
        <w:spacing w:after="0" w:line="291" w:lineRule="auto"/>
        <w:rPr>
          <w:sz w:val="20"/>
          <w:szCs w:val="20"/>
          <w:color w:val="auto"/>
        </w:rPr>
      </w:pPr>
      <w:r>
        <w:rPr>
          <w:rFonts w:ascii="Times New Roman" w:cs="Times New Roman" w:eastAsia="Times New Roman" w:hAnsi="Times New Roman"/>
          <w:sz w:val="21"/>
          <w:szCs w:val="21"/>
          <w:b w:val="1"/>
          <w:bCs w:val="1"/>
          <w:color w:val="auto"/>
        </w:rPr>
        <w:t xml:space="preserve">4.4 </w:t>
      </w:r>
      <w:r>
        <w:rPr>
          <w:rFonts w:ascii="Times New Roman" w:cs="Times New Roman" w:eastAsia="Times New Roman" w:hAnsi="Times New Roman"/>
          <w:sz w:val="21"/>
          <w:szCs w:val="21"/>
          <w:color w:val="auto"/>
        </w:rPr>
        <w:t>Notwithstanding the provisions of Section 4.1, said release does not apply to any and all statutory or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claims that are prohibited from waiver by Federal, State or local law.</w:t>
      </w:r>
    </w:p>
    <w:p>
      <w:pPr>
        <w:spacing w:after="0" w:line="134" w:lineRule="exact"/>
        <w:rPr>
          <w:sz w:val="20"/>
          <w:szCs w:val="20"/>
          <w:color w:val="auto"/>
        </w:rPr>
      </w:pPr>
    </w:p>
    <w:p>
      <w:pPr>
        <w:jc w:val="both"/>
        <w:ind w:left="640" w:firstLine="640"/>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4.5 </w:t>
      </w:r>
      <w:r>
        <w:rPr>
          <w:rFonts w:ascii="Times New Roman" w:cs="Times New Roman" w:eastAsia="Times New Roman" w:hAnsi="Times New Roman"/>
          <w:sz w:val="21"/>
          <w:szCs w:val="21"/>
          <w:color w:val="auto"/>
        </w:rPr>
        <w:t>The parties agree that the Company has no prior legal obligation to make the additional payments set forth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above in Sections 2.0 and 3.0 (including the sub-parts thereto) and that it has been exchanged for the promises of Employee stated in this Agreement. It is specifically understood and agreed that the additional payments, and each of them, are good and adequate consideration to support the waivers, releases and obligations contained herein, including, without limitation, Sections 4.0, 5.0, 6.0, 7.0, and 8.0, and their respective sub-parts, and that all of the payments set forth Sections 2.0 and3.0 (including the sub-parts thereto) are of value in addition to anything to which Employee already was entitled prior to the execution of this Agreement.</w:t>
      </w:r>
    </w:p>
    <w:p>
      <w:pPr>
        <w:spacing w:after="0" w:line="18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1"/>
          <w:szCs w:val="21"/>
          <w:b w:val="1"/>
          <w:bCs w:val="1"/>
          <w:color w:val="auto"/>
        </w:rPr>
        <w:t>5.0</w:t>
      </w:r>
      <w:r>
        <w:rPr>
          <w:sz w:val="20"/>
          <w:szCs w:val="20"/>
          <w:color w:val="auto"/>
        </w:rPr>
        <w:tab/>
      </w:r>
      <w:r>
        <w:rPr>
          <w:rFonts w:ascii="Times New Roman" w:cs="Times New Roman" w:eastAsia="Times New Roman" w:hAnsi="Times New Roman"/>
          <w:sz w:val="21"/>
          <w:szCs w:val="21"/>
          <w:b w:val="1"/>
          <w:bCs w:val="1"/>
          <w:u w:val="single" w:color="auto"/>
          <w:color w:val="auto"/>
        </w:rPr>
        <w:t>Confidentiality</w:t>
      </w:r>
    </w:p>
    <w:p>
      <w:pPr>
        <w:spacing w:after="0" w:line="225" w:lineRule="exact"/>
        <w:rPr>
          <w:sz w:val="20"/>
          <w:szCs w:val="20"/>
          <w:color w:val="auto"/>
        </w:rPr>
      </w:pPr>
    </w:p>
    <w:p>
      <w:pPr>
        <w:jc w:val="both"/>
        <w:ind w:left="640" w:firstLine="640"/>
        <w:spacing w:after="0" w:line="271" w:lineRule="auto"/>
        <w:rPr>
          <w:sz w:val="20"/>
          <w:szCs w:val="20"/>
          <w:color w:val="auto"/>
        </w:rPr>
      </w:pPr>
      <w:r>
        <w:rPr>
          <w:rFonts w:ascii="Times New Roman" w:cs="Times New Roman" w:eastAsia="Times New Roman" w:hAnsi="Times New Roman"/>
          <w:sz w:val="21"/>
          <w:szCs w:val="21"/>
          <w:b w:val="1"/>
          <w:bCs w:val="1"/>
          <w:color w:val="auto"/>
        </w:rPr>
        <w:t xml:space="preserve">5.1 </w:t>
      </w:r>
      <w:r>
        <w:rPr>
          <w:rFonts w:ascii="Times New Roman" w:cs="Times New Roman" w:eastAsia="Times New Roman" w:hAnsi="Times New Roman"/>
          <w:sz w:val="21"/>
          <w:szCs w:val="21"/>
          <w:color w:val="auto"/>
        </w:rPr>
        <w:t>Employee understands and agrees that all discussions, negotiations and correspondence relating to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as well as the terms of this Agreement are strictly confidential and agrees not to disclose to anyone (other than counsel, accountants, immediate family members) such information except as otherwise permitted under Section 5.7.</w:t>
      </w:r>
    </w:p>
    <w:p>
      <w:pPr>
        <w:spacing w:after="0" w:line="155"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5.2 </w:t>
      </w:r>
      <w:r>
        <w:rPr>
          <w:rFonts w:ascii="Times New Roman" w:cs="Times New Roman" w:eastAsia="Times New Roman" w:hAnsi="Times New Roman"/>
          <w:sz w:val="21"/>
          <w:szCs w:val="21"/>
          <w:color w:val="auto"/>
        </w:rPr>
        <w:t>The parties acknowledge that during the course of Employee’s employment with the Company, he/she was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given access, on a confidential basis, to Confidential Information which the Company has for years collected, developed, and/or discovered through a significant amount of effort and at great expense. The parties acknowledge that the Confidential Information of the Company is not generally known or easily obtained in the Company’s trade, industry, business, or otherwise and that maintaining the secrecy of the Confidential Information is extremely important to the Company’s ability to compete with its competitors.</w:t>
      </w:r>
    </w:p>
    <w:p>
      <w:pPr>
        <w:spacing w:after="0" w:line="164"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5.3 </w:t>
      </w:r>
      <w:r>
        <w:rPr>
          <w:rFonts w:ascii="Times New Roman" w:cs="Times New Roman" w:eastAsia="Times New Roman" w:hAnsi="Times New Roman"/>
          <w:sz w:val="21"/>
          <w:szCs w:val="21"/>
          <w:color w:val="auto"/>
        </w:rPr>
        <w:t>Employee agrees that for a period of seven (7) years from the date of this Agreement, Employee shall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without the prior written consent of the Company, divulge to any third party or use for his/her own benefit, or for any purpose other than the exclusive benefit of the Company, any Confidential Information of the Company; provided however, that nothing herein contained shall restrict Employee’s ability to make such disclosures as such disclosures may be required by law; and further providing that nothing herein contained shall restrict Employee from divulging information that is readily available to the general public as long as such information did not become available to the general public as a direct or indirect result of Employee’s breach of this section of this Agreement.</w:t>
      </w:r>
    </w:p>
    <w:p>
      <w:pPr>
        <w:sectPr>
          <w:pgSz w:w="11900" w:h="16838" w:orient="portrait"/>
          <w:cols w:equalWidth="0" w:num="1">
            <w:col w:w="11100"/>
          </w:cols>
          <w:pgMar w:left="320" w:top="1440" w:right="479" w:bottom="1440" w:gutter="0" w:footer="0" w:header="0"/>
        </w:sectPr>
      </w:pPr>
    </w:p>
    <w:bookmarkStart w:id="47" w:name="page48"/>
    <w:bookmarkEnd w:id="47"/>
    <w:p>
      <w:pPr>
        <w:jc w:val="both"/>
        <w:ind w:left="640" w:right="140" w:firstLine="640"/>
        <w:spacing w:after="0" w:line="257" w:lineRule="auto"/>
        <w:rPr>
          <w:sz w:val="20"/>
          <w:szCs w:val="20"/>
          <w:color w:val="auto"/>
        </w:rPr>
      </w:pPr>
      <w:r>
        <w:rPr>
          <w:rFonts w:ascii="Times New Roman" w:cs="Times New Roman" w:eastAsia="Times New Roman" w:hAnsi="Times New Roman"/>
          <w:sz w:val="21"/>
          <w:szCs w:val="21"/>
          <w:b w:val="1"/>
          <w:bCs w:val="1"/>
          <w:color w:val="auto"/>
        </w:rPr>
        <w:t xml:space="preserve">5.4 </w:t>
      </w:r>
      <w:r>
        <w:rPr>
          <w:rFonts w:ascii="Times New Roman" w:cs="Times New Roman" w:eastAsia="Times New Roman" w:hAnsi="Times New Roman"/>
          <w:sz w:val="21"/>
          <w:szCs w:val="21"/>
          <w:color w:val="auto"/>
        </w:rPr>
        <w:t>The term “Confidential Information” in this Agreement shall mean information that is not readily and easily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available to the public or to persons in the same business, trade, or industry of the Company, and that concerns the Company’s prices, pricing methods, costs, profits, profit margins, suppliers, methods, procedures, processes or combinations or applications thereof developed in, by, or for the Company’s business, research and development projects, data, business strategies, marketing strategies, sales techniques, customer lists, customer information, or any other information concerning the Company or its business that is not readily and easily available to the public or to those persons in the same business, trade, or industry of the Company. The term “customer information” as used in this Agreement shall mean information that is not readily and easily available to the public or to those persons in the same business, trade, or industry and that concerns the course of dealing between the Company and its customers or potential customers solicited by the Company, customer preferences, particular contracts or locations of customers, negotiations with customers, and any other information concerning customers obtained by the Company that is not readily and easily available to the public or to those in the business, trade, or industry of the Company.</w:t>
      </w:r>
    </w:p>
    <w:p>
      <w:pPr>
        <w:spacing w:after="0" w:line="175" w:lineRule="exact"/>
        <w:rPr>
          <w:sz w:val="20"/>
          <w:szCs w:val="20"/>
          <w:color w:val="auto"/>
        </w:rPr>
      </w:pPr>
    </w:p>
    <w:p>
      <w:pPr>
        <w:jc w:val="both"/>
        <w:ind w:left="640" w:right="140" w:firstLine="640"/>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5.5 </w:t>
      </w:r>
      <w:r>
        <w:rPr>
          <w:rFonts w:ascii="Times New Roman" w:cs="Times New Roman" w:eastAsia="Times New Roman" w:hAnsi="Times New Roman"/>
          <w:sz w:val="21"/>
          <w:szCs w:val="21"/>
          <w:color w:val="auto"/>
        </w:rPr>
        <w:t>Employee acknowledges that all information, the disclosure of which is prohibited hereby, is of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confidential and proprietary character and of great value to the Company, and upon the execution of this Agreement (or as soon thereafter as is reasonably practicable), Employee shall forthwith deliver up to the Company all records, memoranda, data, and documents of any description that refer to or relate in any way to such information and shall return to the Company any of its equipment and property which may then be in Employee’s possession or under Employee’s personal control.</w:t>
      </w:r>
    </w:p>
    <w:p>
      <w:pPr>
        <w:spacing w:after="0" w:line="200" w:lineRule="exact"/>
        <w:rPr>
          <w:sz w:val="20"/>
          <w:szCs w:val="20"/>
          <w:color w:val="auto"/>
        </w:rPr>
      </w:pPr>
    </w:p>
    <w:p>
      <w:pPr>
        <w:spacing w:after="0" w:line="223" w:lineRule="exact"/>
        <w:rPr>
          <w:sz w:val="20"/>
          <w:szCs w:val="20"/>
          <w:color w:val="auto"/>
        </w:rPr>
      </w:pPr>
    </w:p>
    <w:p>
      <w:pPr>
        <w:jc w:val="both"/>
        <w:ind w:left="640" w:right="140" w:firstLine="640"/>
        <w:spacing w:after="0" w:line="271" w:lineRule="auto"/>
        <w:rPr>
          <w:sz w:val="20"/>
          <w:szCs w:val="20"/>
          <w:color w:val="auto"/>
        </w:rPr>
      </w:pPr>
      <w:r>
        <w:rPr>
          <w:rFonts w:ascii="Times New Roman" w:cs="Times New Roman" w:eastAsia="Times New Roman" w:hAnsi="Times New Roman"/>
          <w:sz w:val="21"/>
          <w:szCs w:val="21"/>
          <w:b w:val="1"/>
          <w:bCs w:val="1"/>
          <w:color w:val="auto"/>
        </w:rPr>
        <w:t xml:space="preserve">5.6 </w:t>
      </w:r>
      <w:r>
        <w:rPr>
          <w:rFonts w:ascii="Times New Roman" w:cs="Times New Roman" w:eastAsia="Times New Roman" w:hAnsi="Times New Roman"/>
          <w:sz w:val="21"/>
          <w:szCs w:val="21"/>
          <w:color w:val="auto"/>
        </w:rPr>
        <w:t>Employee hereby agrees that any failure to fully and completely comply with this provision shall entitle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to seek damages for a demonstrated breach of the confidentiality provision, to include recoupment of monies paid hereunder.</w:t>
      </w:r>
    </w:p>
    <w:p>
      <w:pPr>
        <w:spacing w:after="0" w:line="168" w:lineRule="exact"/>
        <w:rPr>
          <w:sz w:val="20"/>
          <w:szCs w:val="20"/>
          <w:color w:val="auto"/>
        </w:rPr>
      </w:pPr>
    </w:p>
    <w:p>
      <w:pPr>
        <w:jc w:val="both"/>
        <w:ind w:left="640" w:right="140" w:firstLine="640"/>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5.7 </w:t>
      </w:r>
      <w:r>
        <w:rPr>
          <w:rFonts w:ascii="Times New Roman" w:cs="Times New Roman" w:eastAsia="Times New Roman" w:hAnsi="Times New Roman"/>
          <w:sz w:val="21"/>
          <w:szCs w:val="21"/>
          <w:color w:val="auto"/>
        </w:rPr>
        <w:t>Notwithstanding the restrictions set forth in Section 5.0 and its subparts, Employee may disclose information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protected under Section 5.0 and its subparts if and only if such is (i) lawfully required by any government agency; (ii) otherwise required to be disclosed by law (including legally required financial reporting) and/or by court order;(iii) necessary in any legal proceeding in order to enforce any provision of this Agreement or (iv) made to the Securities Exchange Commission regarding security law issues or other government agency regarding a regulatory matter. Employee further agrees that he/she will notify the Company in writing within five (5) calendar days of the receipt of any subpoena, court order, administrative order or other legal process requiring disclosure of information subject to Section 5.0 and sub-parts thereto. Employee may also disclose the contents of Section 6.0 and its sub-parts and only those contents to any subsequent employer.</w:t>
      </w:r>
    </w:p>
    <w:p>
      <w:pPr>
        <w:spacing w:after="0" w:line="16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1"/>
          <w:szCs w:val="21"/>
          <w:b w:val="1"/>
          <w:bCs w:val="1"/>
          <w:color w:val="auto"/>
        </w:rPr>
        <w:t>6.0</w:t>
      </w:r>
      <w:r>
        <w:rPr>
          <w:sz w:val="20"/>
          <w:szCs w:val="20"/>
          <w:color w:val="auto"/>
        </w:rPr>
        <w:tab/>
      </w:r>
      <w:r>
        <w:rPr>
          <w:rFonts w:ascii="Times New Roman" w:cs="Times New Roman" w:eastAsia="Times New Roman" w:hAnsi="Times New Roman"/>
          <w:sz w:val="21"/>
          <w:szCs w:val="21"/>
          <w:b w:val="1"/>
          <w:bCs w:val="1"/>
          <w:u w:val="single" w:color="auto"/>
          <w:color w:val="auto"/>
        </w:rPr>
        <w:t>Non-Solicitation/Non-Compete</w:t>
      </w:r>
    </w:p>
    <w:p>
      <w:pPr>
        <w:spacing w:after="0" w:line="185" w:lineRule="exact"/>
        <w:rPr>
          <w:sz w:val="20"/>
          <w:szCs w:val="20"/>
          <w:color w:val="auto"/>
        </w:rPr>
      </w:pPr>
    </w:p>
    <w:p>
      <w:pPr>
        <w:jc w:val="both"/>
        <w:ind w:left="640" w:firstLine="640"/>
        <w:spacing w:after="0" w:line="271" w:lineRule="auto"/>
        <w:rPr>
          <w:sz w:val="20"/>
          <w:szCs w:val="20"/>
          <w:color w:val="auto"/>
        </w:rPr>
      </w:pPr>
      <w:r>
        <w:rPr>
          <w:rFonts w:ascii="Times New Roman" w:cs="Times New Roman" w:eastAsia="Times New Roman" w:hAnsi="Times New Roman"/>
          <w:sz w:val="21"/>
          <w:szCs w:val="21"/>
          <w:b w:val="1"/>
          <w:bCs w:val="1"/>
          <w:color w:val="auto"/>
        </w:rPr>
        <w:t xml:space="preserve">6.1 </w:t>
      </w:r>
      <w:r>
        <w:rPr>
          <w:rFonts w:ascii="Times New Roman" w:cs="Times New Roman" w:eastAsia="Times New Roman" w:hAnsi="Times New Roman"/>
          <w:sz w:val="21"/>
          <w:szCs w:val="21"/>
          <w:color w:val="auto"/>
        </w:rPr>
        <w:t>For a period of twelve (12) months the Termination Date, Employee shall not become an owner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shareholder with more than a 2% equity interest in, investor in, or an employee, contractor, consultant, advisor, representative, officer, director, or agent of, a</w:t>
      </w:r>
    </w:p>
    <w:p>
      <w:pPr>
        <w:sectPr>
          <w:pgSz w:w="11900" w:h="16838" w:orient="portrait"/>
          <w:cols w:equalWidth="0" w:num="1">
            <w:col w:w="11240"/>
          </w:cols>
          <w:pgMar w:left="320" w:top="1401" w:right="339" w:bottom="1440" w:gutter="0" w:footer="0" w:header="0"/>
        </w:sectPr>
      </w:pPr>
    </w:p>
    <w:bookmarkStart w:id="48" w:name="page49"/>
    <w:bookmarkEnd w:id="48"/>
    <w:p>
      <w:pPr>
        <w:spacing w:after="0" w:line="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trade or business that offers products and services that are the same or substantially similar to the products and services provided by the Employer Company in any geographic market in which the Employer Company conducts business (“Competitor”);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duties and responsibilities of said employment or engagement as an owner in, shareholder with more than 2% equity interest in, investor in, contractor, consultant, advisor, representative, officer, director or agent are (i) the same, similar, or substantially related to current duties and responsibilities or duties or responsibilities performed by Employee while employed by the Company at any time during a six (6) month period prior to Termination Date and (ii) related to or concerning the Competitor’s business activities in the Restricted Territory. The parties agree and affirm that their intention with respect to Section 6.1 is that Employee’s activities shall be limited only for the twelve (12) month period after the separation of employment for any reason. The provisions calling for a "look back" of six (6) calendar months prior to the separation of employment are intended solely as a means of identifying the duties and responsibilities that will define the restricted activities covered by Section 6.1 and are not intended to nor shall they, under any circumstances, be construed to define the length or term of any such restriction. For purposes of Section 6.1, the term “Restricted Territory” means the geographic area that was part of Employee’s duties and responsibilities within a period of six (6) month period prior to the date of your termination of employment. If a court of competent jurisdiction determines that the Restricted Territory as defined herein is too restrictive, then the parties agree that </w:t>
      </w:r>
      <w:r>
        <w:rPr>
          <w:rFonts w:ascii="Times New Roman" w:cs="Times New Roman" w:eastAsia="Times New Roman" w:hAnsi="Times New Roman"/>
          <w:sz w:val="21"/>
          <w:szCs w:val="21"/>
          <w:color w:val="auto"/>
          <w:strike w:val="1"/>
        </w:rPr>
        <w:t>said</w:t>
      </w:r>
      <w:r>
        <w:rPr>
          <w:rFonts w:ascii="Times New Roman" w:cs="Times New Roman" w:eastAsia="Times New Roman" w:hAnsi="Times New Roman"/>
          <w:sz w:val="21"/>
          <w:szCs w:val="21"/>
          <w:color w:val="auto"/>
        </w:rPr>
        <w:t xml:space="preserve"> court may reduce or limit the Restricted Territory to the largest acceptable area so as to enable the enforcement of Section 6.1.</w:t>
      </w:r>
    </w:p>
    <w:p>
      <w:pPr>
        <w:spacing w:after="0" w:line="179" w:lineRule="exact"/>
        <w:rPr>
          <w:sz w:val="20"/>
          <w:szCs w:val="20"/>
          <w:color w:val="auto"/>
        </w:rPr>
      </w:pPr>
    </w:p>
    <w:p>
      <w:pPr>
        <w:jc w:val="both"/>
        <w:ind w:right="140" w:firstLine="640"/>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6.2 </w:t>
      </w:r>
      <w:r>
        <w:rPr>
          <w:rFonts w:ascii="Times New Roman" w:cs="Times New Roman" w:eastAsia="Times New Roman" w:hAnsi="Times New Roman"/>
          <w:sz w:val="21"/>
          <w:szCs w:val="21"/>
          <w:color w:val="auto"/>
        </w:rPr>
        <w:t>For a period of twelve (12) months following the Termination Date, Employee will not, either directly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indirectly, or on behalf of any person, business, partnership, or other entity, call upon, contact, or solicit any customer or customer prospect of the Company, or any representative of the same, with a view toward the sale or providing of any service or product competitive with the Company’s Business; provided, however, the restrictions set forth in this Section shall apply only to customers or prospects of the Company, or representatives of the same, with which during the past 12 month period the Employee had contact or who were known by Employee to be customers or prospects, or representatives of the same, of the Company. The parties agree and affirm that their intention with respect to Section 6.2 of this Agreement is that Employee's activities be limited only for a twelve (12) month period after the Termination Date for any reason. The provisions calling for a "look back" of 12 calendar months prior to the Termination Date are intended solely as a means of identifying the clients to which such restrictions apply and are not intended to nor shall they, under any circumstances, be construed to define the length or term of any such restriction.</w:t>
      </w:r>
    </w:p>
    <w:p>
      <w:pPr>
        <w:spacing w:after="0" w:line="170" w:lineRule="exact"/>
        <w:rPr>
          <w:sz w:val="20"/>
          <w:szCs w:val="20"/>
          <w:color w:val="auto"/>
        </w:rPr>
      </w:pPr>
    </w:p>
    <w:p>
      <w:pPr>
        <w:jc w:val="both"/>
        <w:ind w:right="140" w:firstLine="640"/>
        <w:spacing w:after="0" w:line="269" w:lineRule="auto"/>
        <w:rPr>
          <w:sz w:val="20"/>
          <w:szCs w:val="20"/>
          <w:color w:val="auto"/>
        </w:rPr>
      </w:pPr>
      <w:r>
        <w:rPr>
          <w:rFonts w:ascii="Times New Roman" w:cs="Times New Roman" w:eastAsia="Times New Roman" w:hAnsi="Times New Roman"/>
          <w:sz w:val="21"/>
          <w:szCs w:val="21"/>
          <w:b w:val="1"/>
          <w:bCs w:val="1"/>
          <w:color w:val="auto"/>
        </w:rPr>
        <w:t xml:space="preserve">6.3 </w:t>
      </w:r>
      <w:r>
        <w:rPr>
          <w:rFonts w:ascii="Times New Roman" w:cs="Times New Roman" w:eastAsia="Times New Roman" w:hAnsi="Times New Roman"/>
          <w:sz w:val="21"/>
          <w:szCs w:val="21"/>
          <w:color w:val="auto"/>
        </w:rPr>
        <w:t>For a period of twelve 12 months following the Termination Date, Employee shall not directly or indirectly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through a subordinate, co-worker, peer, or any other person or entity contact, solicit, encourage or induce any officer, director or employee of the Company or its subsidiary companies to work for or provide services to Employee and/or any other person or entity.</w:t>
      </w:r>
    </w:p>
    <w:p>
      <w:pPr>
        <w:spacing w:after="0" w:line="157" w:lineRule="exact"/>
        <w:rPr>
          <w:sz w:val="20"/>
          <w:szCs w:val="20"/>
          <w:color w:val="auto"/>
        </w:rPr>
      </w:pPr>
    </w:p>
    <w:p>
      <w:pPr>
        <w:jc w:val="both"/>
        <w:ind w:right="140" w:firstLine="640"/>
        <w:spacing w:after="0" w:line="291" w:lineRule="auto"/>
        <w:rPr>
          <w:sz w:val="20"/>
          <w:szCs w:val="20"/>
          <w:color w:val="auto"/>
        </w:rPr>
      </w:pPr>
      <w:r>
        <w:rPr>
          <w:rFonts w:ascii="Times New Roman" w:cs="Times New Roman" w:eastAsia="Times New Roman" w:hAnsi="Times New Roman"/>
          <w:sz w:val="21"/>
          <w:szCs w:val="21"/>
          <w:b w:val="1"/>
          <w:bCs w:val="1"/>
          <w:color w:val="auto"/>
        </w:rPr>
        <w:t xml:space="preserve">6.4 </w:t>
      </w:r>
      <w:r>
        <w:rPr>
          <w:rFonts w:ascii="Times New Roman" w:cs="Times New Roman" w:eastAsia="Times New Roman" w:hAnsi="Times New Roman"/>
          <w:sz w:val="21"/>
          <w:szCs w:val="21"/>
          <w:color w:val="auto"/>
        </w:rPr>
        <w:t>Employee acknowledges and agrees that the foregoing restrictions are necessary for the reasonable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proper protection of the Company; are reasonable in</w:t>
      </w:r>
    </w:p>
    <w:p>
      <w:pPr>
        <w:sectPr>
          <w:pgSz w:w="11900" w:h="16838" w:orient="portrait"/>
          <w:cols w:equalWidth="0" w:num="1">
            <w:col w:w="10600"/>
          </w:cols>
          <w:pgMar w:left="960" w:top="1440" w:right="339" w:bottom="1440" w:gutter="0" w:footer="0" w:header="0"/>
        </w:sectPr>
      </w:pPr>
    </w:p>
    <w:bookmarkStart w:id="49" w:name="page50"/>
    <w:bookmarkEnd w:id="49"/>
    <w:p>
      <w:pPr>
        <w:jc w:val="both"/>
        <w:ind w:left="640" w:firstLine="640"/>
        <w:spacing w:after="0" w:line="258" w:lineRule="auto"/>
        <w:rPr>
          <w:sz w:val="20"/>
          <w:szCs w:val="20"/>
          <w:color w:val="auto"/>
        </w:rPr>
      </w:pPr>
      <w:r>
        <w:rPr>
          <w:rFonts w:ascii="Times New Roman" w:cs="Times New Roman" w:eastAsia="Times New Roman" w:hAnsi="Times New Roman"/>
          <w:sz w:val="21"/>
          <w:szCs w:val="21"/>
          <w:color w:val="auto"/>
        </w:rPr>
        <w:t>respect to subject matter, length of time, geographic scope, customer scope, and scope of activity to be restrained; and are not unduly harsh and oppressive so as to deprive Employee of his/her livelihood or to unduly restrict Employee’s opportunity to earn a living after termination of Employee’s employment with the Company. Employee further acknowledges and agrees that if any restrictions set forth in this Section are found by any court of competent jurisdiction to be unenforceable or otherwise against public policy, the restriction shall be interpreted to extend only over the maximum period of time or other restriction as to which it would otherwise be enforceable.</w:t>
      </w:r>
    </w:p>
    <w:p>
      <w:pPr>
        <w:spacing w:after="0" w:line="184" w:lineRule="exact"/>
        <w:rPr>
          <w:sz w:val="20"/>
          <w:szCs w:val="20"/>
          <w:color w:val="auto"/>
        </w:rPr>
      </w:pPr>
    </w:p>
    <w:p>
      <w:pPr>
        <w:jc w:val="both"/>
        <w:ind w:left="640" w:firstLine="640"/>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6.5 </w:t>
      </w:r>
      <w:r>
        <w:rPr>
          <w:rFonts w:ascii="Times New Roman" w:cs="Times New Roman" w:eastAsia="Times New Roman" w:hAnsi="Times New Roman"/>
          <w:sz w:val="21"/>
          <w:szCs w:val="21"/>
          <w:color w:val="auto"/>
        </w:rPr>
        <w:t>Employee acknowledges and agrees that because the violation, breach, or threatened breach of this Section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its sub-parts would result in immediate and irreparable injury to the Company, the Company shall be entitled, without limitation of remedy, to (a) temporary and permanent injunctive and other equitable relief restraining Employee from activities constituting a violation, breach or threatened breach of this Section and its sub-parts to the fullest extent allowed by law; (b) all such other remedies available at law or in equity, including without limitation the recovery of damages, reasonable attorneys’ fees and costs; and (c) withhold any further rights, payments or benefits under this Agreement which become due and owing after the occurrence of said violation, breach, or threatened breach, including, without limitation, any rights or claims under Sections 2.0 and 3.0 and the sub-parts thereto.</w:t>
      </w:r>
    </w:p>
    <w:p>
      <w:pPr>
        <w:spacing w:after="0" w:line="16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1"/>
          <w:szCs w:val="21"/>
          <w:b w:val="1"/>
          <w:bCs w:val="1"/>
          <w:color w:val="auto"/>
        </w:rPr>
        <w:t>7.0</w:t>
      </w:r>
      <w:r>
        <w:rPr>
          <w:sz w:val="20"/>
          <w:szCs w:val="20"/>
          <w:color w:val="auto"/>
        </w:rPr>
        <w:tab/>
      </w:r>
      <w:r>
        <w:rPr>
          <w:rFonts w:ascii="Times New Roman" w:cs="Times New Roman" w:eastAsia="Times New Roman" w:hAnsi="Times New Roman"/>
          <w:sz w:val="21"/>
          <w:szCs w:val="21"/>
          <w:b w:val="1"/>
          <w:bCs w:val="1"/>
          <w:u w:val="single" w:color="auto"/>
          <w:color w:val="auto"/>
        </w:rPr>
        <w:t>Return of Company Property</w:t>
      </w:r>
    </w:p>
    <w:p>
      <w:pPr>
        <w:spacing w:after="0" w:line="225" w:lineRule="exact"/>
        <w:rPr>
          <w:sz w:val="20"/>
          <w:szCs w:val="20"/>
          <w:color w:val="auto"/>
        </w:rPr>
      </w:pPr>
    </w:p>
    <w:p>
      <w:pPr>
        <w:jc w:val="both"/>
        <w:ind w:left="640" w:firstLine="640"/>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7.1 </w:t>
      </w:r>
      <w:r>
        <w:rPr>
          <w:rFonts w:ascii="Times New Roman" w:cs="Times New Roman" w:eastAsia="Times New Roman" w:hAnsi="Times New Roman"/>
          <w:sz w:val="21"/>
          <w:szCs w:val="21"/>
          <w:color w:val="auto"/>
        </w:rPr>
        <w:t>Employee agrees that within 10 days after execution of this Agreement, he/she will return any and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documents and any copies thereof, in any form whatsoever, including computer records or files, containing secret, confidential and/or proprietary information or ideas, and any other Company property (including, but not limited to, any cell phones, laptops, notepads, ipads, printers and/or other computer equipment) in Employee’s possession or control.</w:t>
      </w:r>
    </w:p>
    <w:p>
      <w:pPr>
        <w:spacing w:after="0" w:line="200" w:lineRule="exact"/>
        <w:rPr>
          <w:sz w:val="20"/>
          <w:szCs w:val="20"/>
          <w:color w:val="auto"/>
        </w:rPr>
      </w:pPr>
    </w:p>
    <w:p>
      <w:pPr>
        <w:spacing w:after="0" w:line="22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1"/>
          <w:szCs w:val="21"/>
          <w:b w:val="1"/>
          <w:bCs w:val="1"/>
          <w:color w:val="auto"/>
        </w:rPr>
        <w:t>8.0</w:t>
      </w:r>
      <w:r>
        <w:rPr>
          <w:sz w:val="20"/>
          <w:szCs w:val="20"/>
          <w:color w:val="auto"/>
        </w:rPr>
        <w:tab/>
      </w:r>
      <w:r>
        <w:rPr>
          <w:rFonts w:ascii="Times New Roman" w:cs="Times New Roman" w:eastAsia="Times New Roman" w:hAnsi="Times New Roman"/>
          <w:sz w:val="21"/>
          <w:szCs w:val="21"/>
          <w:b w:val="1"/>
          <w:bCs w:val="1"/>
          <w:u w:val="single" w:color="auto"/>
          <w:color w:val="auto"/>
        </w:rPr>
        <w:t>Duty to Cooperate and of Loyalty/Nondisparagement</w:t>
      </w:r>
    </w:p>
    <w:p>
      <w:pPr>
        <w:spacing w:after="0" w:line="238" w:lineRule="exact"/>
        <w:rPr>
          <w:sz w:val="20"/>
          <w:szCs w:val="20"/>
          <w:color w:val="auto"/>
        </w:rPr>
      </w:pPr>
    </w:p>
    <w:p>
      <w:pPr>
        <w:jc w:val="both"/>
        <w:ind w:left="640" w:firstLine="640"/>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8.1 </w:t>
      </w:r>
      <w:r>
        <w:rPr>
          <w:rFonts w:ascii="Times New Roman" w:cs="Times New Roman" w:eastAsia="Times New Roman" w:hAnsi="Times New Roman"/>
          <w:sz w:val="21"/>
          <w:szCs w:val="21"/>
          <w:color w:val="auto"/>
        </w:rPr>
        <w:t>Without limitation as to time, Employee agrees to cooperate and make all reasonable and lawful efforts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assist the Company in addressing any issues which may arise concerning any matter with which he/she was involved during his/her employment with the Company, including, but not limited to cooperating in any litigation arising therefrom. Employee will also be compensated for expenses directly incurred solely in connection with such services, provided however that the expenses are both fair and reasonable and consistent with Company policy on expense reimbursement. For avoidance of doubt, expenses directly incurred solely in connection such services would include expenses such as travel, photocopying or other expense incurred solely for the benefit of the Company but would not include such indirect and overhead expenses such as but not limited to phone, computer, internet, office supplies, or rent.</w:t>
      </w:r>
    </w:p>
    <w:p>
      <w:pPr>
        <w:spacing w:after="0" w:line="167" w:lineRule="exact"/>
        <w:rPr>
          <w:sz w:val="20"/>
          <w:szCs w:val="20"/>
          <w:color w:val="auto"/>
        </w:rPr>
      </w:pPr>
    </w:p>
    <w:p>
      <w:pPr>
        <w:jc w:val="both"/>
        <w:ind w:left="640" w:firstLine="640"/>
        <w:spacing w:after="0" w:line="278" w:lineRule="auto"/>
        <w:rPr>
          <w:sz w:val="20"/>
          <w:szCs w:val="20"/>
          <w:color w:val="auto"/>
        </w:rPr>
      </w:pPr>
      <w:r>
        <w:rPr>
          <w:rFonts w:ascii="Times New Roman" w:cs="Times New Roman" w:eastAsia="Times New Roman" w:hAnsi="Times New Roman"/>
          <w:sz w:val="21"/>
          <w:szCs w:val="21"/>
          <w:b w:val="1"/>
          <w:bCs w:val="1"/>
          <w:color w:val="auto"/>
        </w:rPr>
        <w:t xml:space="preserve">8.2 </w:t>
      </w:r>
      <w:r>
        <w:rPr>
          <w:rFonts w:ascii="Times New Roman" w:cs="Times New Roman" w:eastAsia="Times New Roman" w:hAnsi="Times New Roman"/>
          <w:sz w:val="21"/>
          <w:szCs w:val="21"/>
          <w:color w:val="auto"/>
        </w:rPr>
        <w:t>Employee will not (except as required by law) communicate to anyone, whether by word or deed, whether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directly or through any intermediary, and whether expressly or by suggestion or innuendo, any statement, whether characterized as one of</w:t>
      </w:r>
    </w:p>
    <w:p>
      <w:pPr>
        <w:sectPr>
          <w:pgSz w:w="11900" w:h="16838" w:orient="portrait"/>
          <w:cols w:equalWidth="0" w:num="1">
            <w:col w:w="11100"/>
          </w:cols>
          <w:pgMar w:left="320" w:top="1405" w:right="479" w:bottom="1440" w:gutter="0" w:footer="0" w:header="0"/>
        </w:sectPr>
      </w:pPr>
    </w:p>
    <w:bookmarkStart w:id="50" w:name="page51"/>
    <w:bookmarkEnd w:id="50"/>
    <w:p>
      <w:pPr>
        <w:spacing w:after="0" w:line="99"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1"/>
          <w:szCs w:val="21"/>
          <w:color w:val="auto"/>
        </w:rPr>
        <w:t>fact or of opinion, that is intended to cause or that reasonably would be expected to cause any person to whom it is communicated to have (1) a lowered opinion of the Company or any affiliates, including a lowered opinion of any products manufactured, sold, or used by, or any services offered or rendered by the Company or its affiliates; and/or (2) a lowered opinion of the Company’s creditworthiness or business prospects. Employee’s obligation in this regard extends to the reputation of the Company and any other person or entity described in Section 4.1 of this Agreement. This Section shall not be construed as prohibiting the Employee from communicating truthful information (a) in response to assistance requested under Section 8.1 of this Agreement, (b) in any formal or informal proceeding with a government agency or investigator, (c) any litigation against the Company including, but not limited to, qui tam lawsuits whether the government decides to intervene or declines to intervene and the relator moves forward pursuing its claims, (d) as required by law, such as in response to a duly-issued subpoena, or (e) any action to enforce the terms of this Agreement or right not waived under Section 4.0 and subparts thereunder.</w:t>
      </w:r>
    </w:p>
    <w:p>
      <w:pPr>
        <w:spacing w:after="0" w:line="17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1"/>
          <w:szCs w:val="21"/>
          <w:b w:val="1"/>
          <w:bCs w:val="1"/>
          <w:color w:val="auto"/>
        </w:rPr>
        <w:t>9.0</w:t>
      </w:r>
      <w:r>
        <w:rPr>
          <w:sz w:val="20"/>
          <w:szCs w:val="20"/>
          <w:color w:val="auto"/>
        </w:rPr>
        <w:tab/>
      </w:r>
      <w:r>
        <w:rPr>
          <w:rFonts w:ascii="Times New Roman" w:cs="Times New Roman" w:eastAsia="Times New Roman" w:hAnsi="Times New Roman"/>
          <w:sz w:val="21"/>
          <w:szCs w:val="21"/>
          <w:b w:val="1"/>
          <w:bCs w:val="1"/>
          <w:u w:val="single" w:color="auto"/>
          <w:color w:val="auto"/>
        </w:rPr>
        <w:t>Section 409A of the Code</w:t>
      </w:r>
    </w:p>
    <w:p>
      <w:pPr>
        <w:spacing w:after="0" w:line="238" w:lineRule="exact"/>
        <w:rPr>
          <w:sz w:val="20"/>
          <w:szCs w:val="20"/>
          <w:color w:val="auto"/>
        </w:rPr>
      </w:pPr>
    </w:p>
    <w:p>
      <w:pPr>
        <w:jc w:val="both"/>
        <w:ind w:left="640" w:firstLine="640"/>
        <w:spacing w:after="0" w:line="257" w:lineRule="auto"/>
        <w:rPr>
          <w:sz w:val="20"/>
          <w:szCs w:val="20"/>
          <w:color w:val="auto"/>
        </w:rPr>
      </w:pPr>
      <w:r>
        <w:rPr>
          <w:rFonts w:ascii="Times New Roman" w:cs="Times New Roman" w:eastAsia="Times New Roman" w:hAnsi="Times New Roman"/>
          <w:sz w:val="21"/>
          <w:szCs w:val="21"/>
          <w:b w:val="1"/>
          <w:bCs w:val="1"/>
          <w:color w:val="auto"/>
        </w:rPr>
        <w:t xml:space="preserve">9.1 </w:t>
      </w:r>
      <w:r>
        <w:rPr>
          <w:rFonts w:ascii="Times New Roman" w:cs="Times New Roman" w:eastAsia="Times New Roman" w:hAnsi="Times New Roman"/>
          <w:sz w:val="21"/>
          <w:szCs w:val="21"/>
          <w:color w:val="auto"/>
        </w:rPr>
        <w:t>Notwithstanding any provisions of this Agreement to the contrary, if the Employee is a “specified employee”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(within the meaning of Section 409A of the Internal Revenue Code of 1986, as amended (the “Code”) and determined pursuant to procedures adopted by the Company) at the Termination Date and if any portion of the payments or benefits to be received by the Employee would be considered deferred compensation under Section 409A of the Code, amounts that would otherwise be payable pursuant to this Agreement during the six-month period immediately following the Employee’s Termination Date (the “Delayed Payments”) and benefits that would otherwise be provided pursuant to this Agreement (the “Delayed Benefits”) during the six-month period immediately following the Employee’s Termination Date (such period, the “Delay Period”) shall instead be paid or made available on the earlier of (i) the first business day of the seventh (7th) month following the Termination Date or (ii) the Employee’s death (the applicable date, the “Permissible Payment Date”). The Company shall also reimburse the Employee for the after-tax cost incurred by the Employee in independently obtaining any Delayed Benefits (the “Additional Delayed Payments”).</w:t>
      </w:r>
    </w:p>
    <w:p>
      <w:pPr>
        <w:spacing w:after="0" w:line="181" w:lineRule="exact"/>
        <w:rPr>
          <w:sz w:val="20"/>
          <w:szCs w:val="20"/>
          <w:color w:val="auto"/>
        </w:rPr>
      </w:pPr>
    </w:p>
    <w:p>
      <w:pPr>
        <w:jc w:val="both"/>
        <w:ind w:left="640" w:firstLine="640"/>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9.2 </w:t>
      </w:r>
      <w:r>
        <w:rPr>
          <w:rFonts w:ascii="Times New Roman" w:cs="Times New Roman" w:eastAsia="Times New Roman" w:hAnsi="Times New Roman"/>
          <w:sz w:val="21"/>
          <w:szCs w:val="21"/>
          <w:color w:val="auto"/>
        </w:rPr>
        <w:t>With respect to any amount of expenses eligible for reimbursement under Sections 3.1, 3.4 and 9.1,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expenses shall be reimbursed by the Company within thirty(30) calendar days following the date on which the Company receives the applicable invoice from the Employee but in no event later than December 31 of the year following the year in which the Employee incurs the related expenses; provided, that with respect to reimbursement relating to the Additional Delayed Payments, such reimbursement shall be made on the Permissible Payment Date. In no event shall the reimbursements or in-kind benefits to be provided by the Company in one taxable year affect the amount of reimbursements or in-kind benefits to be provided in any other taxable year, nor shall the mployee’s right to reimbursement or in-kind benefits be subject to liquidation or exchange for another benefit.</w:t>
      </w:r>
    </w:p>
    <w:p>
      <w:pPr>
        <w:sectPr>
          <w:pgSz w:w="11900" w:h="16838" w:orient="portrait"/>
          <w:cols w:equalWidth="0" w:num="1">
            <w:col w:w="11100"/>
          </w:cols>
          <w:pgMar w:left="320" w:top="1440" w:right="479" w:bottom="1440" w:gutter="0" w:footer="0" w:header="0"/>
        </w:sectPr>
      </w:pPr>
    </w:p>
    <w:bookmarkStart w:id="51" w:name="page52"/>
    <w:bookmarkEnd w:id="51"/>
    <w:p>
      <w:pPr>
        <w:jc w:val="both"/>
        <w:ind w:left="640" w:firstLine="640"/>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9.3 </w:t>
      </w:r>
      <w:r>
        <w:rPr>
          <w:rFonts w:ascii="Times New Roman" w:cs="Times New Roman" w:eastAsia="Times New Roman" w:hAnsi="Times New Roman"/>
          <w:sz w:val="21"/>
          <w:szCs w:val="21"/>
          <w:color w:val="auto"/>
        </w:rPr>
        <w:t>It is the intention of the parties that payments or benefits payable under this Agreement not be subject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additional tax imposed pursuant to Section 409A of the Code. To the extent such potential payments or benefits could become subject to such Section, the Company may amend this Agreement with the goal of giving the Covered Employee the economic benefits described herein in a manner that does not result in such tax being imposed.</w:t>
      </w:r>
    </w:p>
    <w:p>
      <w:pPr>
        <w:spacing w:after="0" w:line="160" w:lineRule="exact"/>
        <w:rPr>
          <w:sz w:val="20"/>
          <w:szCs w:val="20"/>
          <w:color w:val="auto"/>
        </w:rPr>
      </w:pPr>
    </w:p>
    <w:p>
      <w:pPr>
        <w:jc w:val="both"/>
        <w:ind w:left="640" w:firstLine="640"/>
        <w:spacing w:after="0" w:line="291" w:lineRule="auto"/>
        <w:rPr>
          <w:sz w:val="20"/>
          <w:szCs w:val="20"/>
          <w:color w:val="auto"/>
        </w:rPr>
      </w:pPr>
      <w:r>
        <w:rPr>
          <w:rFonts w:ascii="Times New Roman" w:cs="Times New Roman" w:eastAsia="Times New Roman" w:hAnsi="Times New Roman"/>
          <w:sz w:val="21"/>
          <w:szCs w:val="21"/>
          <w:b w:val="1"/>
          <w:bCs w:val="1"/>
          <w:color w:val="auto"/>
        </w:rPr>
        <w:t xml:space="preserve">9.4 </w:t>
      </w:r>
      <w:r>
        <w:rPr>
          <w:rFonts w:ascii="Times New Roman" w:cs="Times New Roman" w:eastAsia="Times New Roman" w:hAnsi="Times New Roman"/>
          <w:sz w:val="21"/>
          <w:szCs w:val="21"/>
          <w:color w:val="auto"/>
        </w:rPr>
        <w:t>For purposes of Section 409A of the Code, an Employee’s right to receive any “installment” payments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pursuant to this Agreement shall be treated as a right to receive a series of separate and distinct payments.</w:t>
      </w:r>
    </w:p>
    <w:p>
      <w:pPr>
        <w:spacing w:after="0" w:line="14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10.0</w:t>
      </w:r>
      <w:r>
        <w:rPr>
          <w:sz w:val="20"/>
          <w:szCs w:val="20"/>
          <w:color w:val="auto"/>
        </w:rPr>
        <w:tab/>
      </w:r>
      <w:r>
        <w:rPr>
          <w:rFonts w:ascii="Times New Roman" w:cs="Times New Roman" w:eastAsia="Times New Roman" w:hAnsi="Times New Roman"/>
          <w:sz w:val="21"/>
          <w:szCs w:val="21"/>
          <w:b w:val="1"/>
          <w:bCs w:val="1"/>
          <w:u w:val="single" w:color="auto"/>
          <w:color w:val="auto"/>
        </w:rPr>
        <w:t>Miscellaneous</w:t>
      </w:r>
    </w:p>
    <w:p>
      <w:pPr>
        <w:spacing w:after="0" w:line="225" w:lineRule="exact"/>
        <w:rPr>
          <w:sz w:val="20"/>
          <w:szCs w:val="20"/>
          <w:color w:val="auto"/>
        </w:rPr>
      </w:pPr>
    </w:p>
    <w:p>
      <w:pPr>
        <w:jc w:val="both"/>
        <w:ind w:left="640" w:firstLine="640"/>
        <w:spacing w:after="0" w:line="271" w:lineRule="auto"/>
        <w:rPr>
          <w:sz w:val="20"/>
          <w:szCs w:val="20"/>
          <w:color w:val="auto"/>
        </w:rPr>
      </w:pPr>
      <w:r>
        <w:rPr>
          <w:rFonts w:ascii="Times New Roman" w:cs="Times New Roman" w:eastAsia="Times New Roman" w:hAnsi="Times New Roman"/>
          <w:sz w:val="21"/>
          <w:szCs w:val="21"/>
          <w:b w:val="1"/>
          <w:bCs w:val="1"/>
          <w:color w:val="auto"/>
        </w:rPr>
        <w:t xml:space="preserve">10.1 </w:t>
      </w:r>
      <w:r>
        <w:rPr>
          <w:rFonts w:ascii="Times New Roman" w:cs="Times New Roman" w:eastAsia="Times New Roman" w:hAnsi="Times New Roman"/>
          <w:sz w:val="21"/>
          <w:szCs w:val="21"/>
          <w:color w:val="auto"/>
        </w:rPr>
        <w:t>This Agreement is binding on, and shall inure to the benefit of, the Parties hereto and their heirs,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representatives, transferees, principals, executors, administrators, predecessors, successors, parents, subsidiaries, affiliates, assigns, agents, directors, officers and employees.</w:t>
      </w:r>
    </w:p>
    <w:p>
      <w:pPr>
        <w:spacing w:after="0" w:line="155"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10.2 </w:t>
      </w:r>
      <w:r>
        <w:rPr>
          <w:rFonts w:ascii="Times New Roman" w:cs="Times New Roman" w:eastAsia="Times New Roman" w:hAnsi="Times New Roman"/>
          <w:sz w:val="21"/>
          <w:szCs w:val="21"/>
          <w:color w:val="auto"/>
        </w:rPr>
        <w:t>The Plan is incorporated herein by reference. This Agreement constitutes the complete agreement between,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contains all of the promises and undertakings by the Parties. Employee agrees that the only considerations for signing this Agreement are the terms stated herein above and that no other representations, promises, or assurances of any kind have been made to him by the Company, its attorneys, or any other person as an inducement to sign this Agreement. Any and all prior agreements, representations, negotiations and understandings among the Parties, oral or written, express or implied, with respect to the subject matter hereof are hereby superseded and merged herein.</w:t>
      </w:r>
    </w:p>
    <w:p>
      <w:pPr>
        <w:spacing w:after="0" w:line="177" w:lineRule="exact"/>
        <w:rPr>
          <w:sz w:val="20"/>
          <w:szCs w:val="20"/>
          <w:color w:val="auto"/>
        </w:rPr>
      </w:pPr>
    </w:p>
    <w:p>
      <w:pPr>
        <w:ind w:left="1280"/>
        <w:spacing w:after="0"/>
        <w:tabs>
          <w:tab w:leader="none" w:pos="1860" w:val="left"/>
        </w:tabs>
        <w:rPr>
          <w:sz w:val="20"/>
          <w:szCs w:val="20"/>
          <w:color w:val="auto"/>
        </w:rPr>
      </w:pPr>
      <w:r>
        <w:rPr>
          <w:rFonts w:ascii="Times New Roman" w:cs="Times New Roman" w:eastAsia="Times New Roman" w:hAnsi="Times New Roman"/>
          <w:sz w:val="21"/>
          <w:szCs w:val="21"/>
          <w:b w:val="1"/>
          <w:bCs w:val="1"/>
          <w:color w:val="auto"/>
        </w:rPr>
        <w:t>10.3</w:t>
      </w:r>
      <w:r>
        <w:rPr>
          <w:sz w:val="20"/>
          <w:szCs w:val="20"/>
          <w:color w:val="auto"/>
        </w:rPr>
        <w:tab/>
      </w:r>
      <w:r>
        <w:rPr>
          <w:rFonts w:ascii="Times New Roman" w:cs="Times New Roman" w:eastAsia="Times New Roman" w:hAnsi="Times New Roman"/>
          <w:sz w:val="21"/>
          <w:szCs w:val="21"/>
          <w:color w:val="auto"/>
        </w:rPr>
        <w:t>This Agreement may not be revised or modified without the mutual written consent of the Parties.</w:t>
      </w:r>
    </w:p>
    <w:p>
      <w:pPr>
        <w:spacing w:after="0" w:line="225" w:lineRule="exact"/>
        <w:rPr>
          <w:sz w:val="20"/>
          <w:szCs w:val="20"/>
          <w:color w:val="auto"/>
        </w:rPr>
      </w:pPr>
    </w:p>
    <w:p>
      <w:pPr>
        <w:jc w:val="both"/>
        <w:ind w:left="640" w:firstLine="640"/>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10.4 </w:t>
      </w:r>
      <w:r>
        <w:rPr>
          <w:rFonts w:ascii="Times New Roman" w:cs="Times New Roman" w:eastAsia="Times New Roman" w:hAnsi="Times New Roman"/>
          <w:sz w:val="21"/>
          <w:szCs w:val="21"/>
          <w:color w:val="auto"/>
        </w:rPr>
        <w:t>The Parties acknowledge and agree that they have each had sufficient time to consider this Agreement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consult with legal counsel of their choosing concerning its meaning prior to entering into this Agreement. In entering into this Agreement, no Party has relied on any representations or warranties of any other Party other than the representations or warranties expressly set forth in this Agreement. Employee acknowledges that he/she has read this Agreement and that he/she possesses sufficient education and experience to fully understand the terms of this Agreement as it has been written, the legal and binding effect of this Agreement, and the exchange of benefits and payments for promises hereunder, and that he/she has had a full opportunity to discuss or ask questions about all such terms.</w:t>
      </w:r>
    </w:p>
    <w:p>
      <w:pPr>
        <w:spacing w:after="0" w:line="168" w:lineRule="exact"/>
        <w:rPr>
          <w:sz w:val="20"/>
          <w:szCs w:val="20"/>
          <w:color w:val="auto"/>
        </w:rPr>
      </w:pPr>
    </w:p>
    <w:p>
      <w:pPr>
        <w:jc w:val="both"/>
        <w:ind w:left="640" w:firstLine="640"/>
        <w:spacing w:after="0" w:line="269" w:lineRule="auto"/>
        <w:rPr>
          <w:sz w:val="20"/>
          <w:szCs w:val="20"/>
          <w:color w:val="auto"/>
        </w:rPr>
      </w:pPr>
      <w:r>
        <w:rPr>
          <w:rFonts w:ascii="Times New Roman" w:cs="Times New Roman" w:eastAsia="Times New Roman" w:hAnsi="Times New Roman"/>
          <w:sz w:val="21"/>
          <w:szCs w:val="21"/>
          <w:b w:val="1"/>
          <w:bCs w:val="1"/>
          <w:color w:val="auto"/>
        </w:rPr>
        <w:t xml:space="preserve">10.5 </w:t>
      </w:r>
      <w:r>
        <w:rPr>
          <w:rFonts w:ascii="Times New Roman" w:cs="Times New Roman" w:eastAsia="Times New Roman" w:hAnsi="Times New Roman"/>
          <w:sz w:val="21"/>
          <w:szCs w:val="21"/>
          <w:color w:val="auto"/>
        </w:rPr>
        <w:t>Except as otherwise provided in this Section, if any provision of this Agreement shall be determined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invalid or unenforceable by a court of competent jurisdiction, that part shall be ineffective to the extent of such invalidity or unenforceability only, without in any way affecting the remaining parts of said provision or the remaining provisions of this Agreement; provided that, if any provision contained in</w:t>
      </w:r>
    </w:p>
    <w:p>
      <w:pPr>
        <w:sectPr>
          <w:pgSz w:w="11900" w:h="16838" w:orient="portrait"/>
          <w:cols w:equalWidth="0" w:num="1">
            <w:col w:w="11100"/>
          </w:cols>
          <w:pgMar w:left="320" w:top="1401" w:right="479" w:bottom="1440" w:gutter="0" w:footer="0" w:header="0"/>
        </w:sectPr>
      </w:pPr>
    </w:p>
    <w:bookmarkStart w:id="52" w:name="page53"/>
    <w:bookmarkEnd w:id="52"/>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Agreement shall be adjudicated to be invalid or unenforceable because such provision is held to be</w:t>
      </w:r>
    </w:p>
    <w:p>
      <w:pPr>
        <w:spacing w:after="0" w:line="92" w:lineRule="exact"/>
        <w:rPr>
          <w:sz w:val="20"/>
          <w:szCs w:val="20"/>
          <w:color w:val="auto"/>
        </w:rPr>
      </w:pPr>
    </w:p>
    <w:p>
      <w:pPr>
        <w:jc w:val="both"/>
        <w:ind w:firstLine="640"/>
        <w:spacing w:after="0" w:line="259" w:lineRule="auto"/>
        <w:rPr>
          <w:sz w:val="20"/>
          <w:szCs w:val="20"/>
          <w:color w:val="auto"/>
        </w:rPr>
      </w:pPr>
      <w:r>
        <w:rPr>
          <w:rFonts w:ascii="Times New Roman" w:cs="Times New Roman" w:eastAsia="Times New Roman" w:hAnsi="Times New Roman"/>
          <w:sz w:val="21"/>
          <w:szCs w:val="21"/>
          <w:color w:val="auto"/>
        </w:rPr>
        <w:t>excessively broad as to duration, geographic scope, activity or subject, such provision shall be deemed amended by limiting and reducing it so as to be valid and enforceable to the maximum extent compatible with the applicable laws of such jurisdiction, and such amendment only to apply with respect to the operation of such provision in the applicable jurisdiction in which the adjudication is made. If as a result of litigation brought by the Employee or as a result of any defense asserted by the Employee Section 6.0 or any of its sub-parts of this Agreement is deemed invalid or unenforceable, in whole or in part, by a court of competent jurisdiction, this entire Agreement shall be null and void, and any consideration paid hereunder shall be repaid immediately by Employee upon receipt of notice thereof.</w:t>
      </w:r>
    </w:p>
    <w:p>
      <w:pPr>
        <w:spacing w:after="0" w:line="171"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21"/>
          <w:szCs w:val="21"/>
          <w:b w:val="1"/>
          <w:bCs w:val="1"/>
          <w:color w:val="auto"/>
        </w:rPr>
        <w:t xml:space="preserve">10.6 </w:t>
      </w:r>
      <w:r>
        <w:rPr>
          <w:rFonts w:ascii="Times New Roman" w:cs="Times New Roman" w:eastAsia="Times New Roman" w:hAnsi="Times New Roman"/>
          <w:sz w:val="21"/>
          <w:szCs w:val="21"/>
          <w:color w:val="auto"/>
        </w:rPr>
        <w:t>Employee agrees that because he/she has rendered services of a special, unique, and extraordinary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character, damages may not be an adequate or reasonable remedy for breach of his/her obligations under this Agreement. Accordingly, in the event of a breach or threatened breach by Employee of the provisions of this Agreement, the Company shall be entitled to (a) an injunction restraining Employee from violating the terms hereof, or from rendering services to any person, firm, corporation, association, or other entity to which any confidential information, trade secrets, or proprietary materials of the Company have been disclosed or are threatened to be disclosed, or for which Employee is working or rendering services, or threatens to work or render services (b) all such other remedies available at law or in equity, including without limitation the recovery of damages, reasonable attorneys’ fees and costs, and (c) withhold any further payments under this Agreement which become due and owing after the occurrence of said violation, breach or threatened breach. Nothing herein shall be construed as prohibiting the Company from pursuing any other remedies available to it for such breach or threatened breach of this Agreement, including the right to terminate any payments to Employee pursuant to this Agreement or the recovery of damages from Employee. Employee agrees that the issuance of the injunction described in this Section may be without the posting of any bond or other security by the Company.</w:t>
      </w:r>
    </w:p>
    <w:p>
      <w:pPr>
        <w:spacing w:after="0" w:line="183" w:lineRule="exact"/>
        <w:rPr>
          <w:sz w:val="20"/>
          <w:szCs w:val="20"/>
          <w:color w:val="auto"/>
        </w:rPr>
      </w:pPr>
    </w:p>
    <w:p>
      <w:pPr>
        <w:jc w:val="both"/>
        <w:ind w:right="20" w:firstLine="640"/>
        <w:spacing w:after="0" w:line="271" w:lineRule="auto"/>
        <w:rPr>
          <w:sz w:val="20"/>
          <w:szCs w:val="20"/>
          <w:color w:val="auto"/>
        </w:rPr>
      </w:pPr>
      <w:r>
        <w:rPr>
          <w:rFonts w:ascii="Times New Roman" w:cs="Times New Roman" w:eastAsia="Times New Roman" w:hAnsi="Times New Roman"/>
          <w:sz w:val="21"/>
          <w:szCs w:val="21"/>
          <w:b w:val="1"/>
          <w:bCs w:val="1"/>
          <w:color w:val="auto"/>
        </w:rPr>
        <w:t xml:space="preserve">10.7 </w:t>
      </w:r>
      <w:r>
        <w:rPr>
          <w:rFonts w:ascii="Times New Roman" w:cs="Times New Roman" w:eastAsia="Times New Roman" w:hAnsi="Times New Roman"/>
          <w:sz w:val="21"/>
          <w:szCs w:val="21"/>
          <w:color w:val="auto"/>
        </w:rPr>
        <w:t>Such notice and any other notices required under this Agreement shall be served upon the Company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certified mail, return receipt requested, or by expressed delivery by a nationally recognized delivery service company such as Federal Express as follows: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If to the Company:</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Laboratory Corporation of America Holdings 531 S. Spring Street</w:t>
      </w:r>
    </w:p>
    <w:p>
      <w:pPr>
        <w:spacing w:after="0" w:line="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Burlington, NC 27215</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Telephone No.: (336) 436-4226</w:t>
      </w:r>
    </w:p>
    <w:p>
      <w:pPr>
        <w:spacing w:after="0" w:line="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Telecopier No.: (336) 436-4177 Attention: General Counsel</w:t>
      </w:r>
    </w:p>
    <w:p>
      <w:pPr>
        <w:sectPr>
          <w:pgSz w:w="11900" w:h="16838" w:orient="portrait"/>
          <w:cols w:equalWidth="0" w:num="1">
            <w:col w:w="10460"/>
          </w:cols>
          <w:pgMar w:left="960" w:top="1440" w:right="479" w:bottom="1440" w:gutter="0" w:footer="0" w:header="0"/>
        </w:sectPr>
      </w:pPr>
    </w:p>
    <w:bookmarkStart w:id="53" w:name="page54"/>
    <w:bookmarkEnd w:id="53"/>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With a copy to:</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Laboratory Corporation of America Holdings 531 S. Spring Street</w:t>
      </w:r>
    </w:p>
    <w:p>
      <w:pPr>
        <w:spacing w:after="0" w:line="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Burlington, NC 27215</w:t>
      </w:r>
    </w:p>
    <w:p>
      <w:pPr>
        <w:spacing w:after="0" w:line="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Attention: Director of HR Compliance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If to the Employee:</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Tiana Ayotte</w:t>
      </w:r>
    </w:p>
    <w:p>
      <w:pPr>
        <w:spacing w:after="0" w:line="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10002 Adirondack Way</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Chapel Hill, NC 27517</w:t>
      </w:r>
    </w:p>
    <w:p>
      <w:pPr>
        <w:spacing w:after="0" w:line="228" w:lineRule="exact"/>
        <w:rPr>
          <w:sz w:val="20"/>
          <w:szCs w:val="20"/>
          <w:color w:val="auto"/>
        </w:rPr>
      </w:pPr>
    </w:p>
    <w:p>
      <w:pPr>
        <w:ind w:firstLine="640"/>
        <w:spacing w:after="0" w:line="287" w:lineRule="auto"/>
        <w:rPr>
          <w:sz w:val="20"/>
          <w:szCs w:val="20"/>
          <w:color w:val="auto"/>
        </w:rPr>
      </w:pPr>
      <w:r>
        <w:rPr>
          <w:rFonts w:ascii="Times New Roman" w:cs="Times New Roman" w:eastAsia="Times New Roman" w:hAnsi="Times New Roman"/>
          <w:sz w:val="21"/>
          <w:szCs w:val="21"/>
          <w:color w:val="auto"/>
        </w:rPr>
        <w:t>Consistent with the requirements of this Section, each party shall notify the other party of any change of address for the receipt of a notice under this Agreement.</w:t>
      </w:r>
    </w:p>
    <w:p>
      <w:pPr>
        <w:spacing w:after="0" w:line="138" w:lineRule="exact"/>
        <w:rPr>
          <w:sz w:val="20"/>
          <w:szCs w:val="20"/>
          <w:color w:val="auto"/>
        </w:rPr>
      </w:pPr>
    </w:p>
    <w:p>
      <w:pPr>
        <w:jc w:val="both"/>
        <w:ind w:right="60" w:firstLine="720"/>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10.8 </w:t>
      </w:r>
      <w:r>
        <w:rPr>
          <w:rFonts w:ascii="Times New Roman" w:cs="Times New Roman" w:eastAsia="Times New Roman" w:hAnsi="Times New Roman"/>
          <w:sz w:val="21"/>
          <w:szCs w:val="21"/>
          <w:color w:val="auto"/>
        </w:rPr>
        <w:t>This Agreement shall be construed in accordance with and governed by the laws, except choice of law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provisions, of the State of North Carolina and shall govern to the exclusion of the laws of any other forum including but not limited to the laws of the State of California. The parties further agree that any action, special proceeding or other proceeding with respect to this Agreement shall be brought exclusively in the federal or state courts of the State of North Carolina. </w:t>
      </w:r>
      <w:r>
        <w:rPr>
          <w:rFonts w:ascii="Times New Roman" w:cs="Times New Roman" w:eastAsia="Times New Roman" w:hAnsi="Times New Roman"/>
          <w:sz w:val="21"/>
          <w:szCs w:val="21"/>
          <w:b w:val="1"/>
          <w:bCs w:val="1"/>
          <w:i w:val="1"/>
          <w:iCs w:val="1"/>
          <w:color w:val="auto"/>
        </w:rPr>
        <w:t>Employee and Company irrevocably consent to the jurisdiction of the Federal and State courts of North</w:t>
      </w:r>
    </w:p>
    <w:p>
      <w:pPr>
        <w:spacing w:after="0" w:line="4"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21"/>
          <w:szCs w:val="21"/>
          <w:b w:val="1"/>
          <w:bCs w:val="1"/>
          <w:i w:val="1"/>
          <w:iCs w:val="1"/>
          <w:color w:val="auto"/>
        </w:rPr>
        <w:t>Carolina and that Employee hereby consents and submits to personal jurisdiction in the State of North Carolina. Employee and Company irrevocably waive any objection, including an objection or defense based on lack of personal jurisdiction, improper venue or forum non-conveniens which either may now or hereafter have to the bringing of any action or proceeding in connection with this Agreement. Employee acknowledges and recognizes that in the event that he/she has breached this Agreement, the Company may initiate a lawsuit against him/her in North Carolina, that Employee waives his/her right to have that lawsuit be brought in a court located closer to where he/she may reside, and that Employee will be required to travel to and defend himself/herself in North Carolina.</w:t>
      </w:r>
    </w:p>
    <w:p>
      <w:pPr>
        <w:spacing w:after="0" w:line="171" w:lineRule="exact"/>
        <w:rPr>
          <w:sz w:val="20"/>
          <w:szCs w:val="20"/>
          <w:color w:val="auto"/>
        </w:rPr>
      </w:pPr>
    </w:p>
    <w:p>
      <w:pPr>
        <w:jc w:val="both"/>
        <w:ind w:right="60" w:firstLine="720"/>
        <w:spacing w:after="0" w:line="287" w:lineRule="auto"/>
        <w:rPr>
          <w:sz w:val="20"/>
          <w:szCs w:val="20"/>
          <w:color w:val="auto"/>
        </w:rPr>
      </w:pPr>
      <w:r>
        <w:rPr>
          <w:rFonts w:ascii="Times New Roman" w:cs="Times New Roman" w:eastAsia="Times New Roman" w:hAnsi="Times New Roman"/>
          <w:sz w:val="21"/>
          <w:szCs w:val="21"/>
          <w:color w:val="auto"/>
        </w:rPr>
        <w:t>The Effective Date of this Agreement shall be either (a) the Termination Date or (b) the day after expiration of the seven (7) day revocation period set forth in Section 4.3 of this Agreement, whichever date is later.</w:t>
      </w:r>
    </w:p>
    <w:p>
      <w:pPr>
        <w:spacing w:after="0" w:line="142" w:lineRule="exact"/>
        <w:rPr>
          <w:sz w:val="20"/>
          <w:szCs w:val="20"/>
          <w:color w:val="auto"/>
        </w:rPr>
      </w:pPr>
    </w:p>
    <w:p>
      <w:pPr>
        <w:ind w:right="300" w:firstLine="720"/>
        <w:spacing w:after="0" w:line="287" w:lineRule="auto"/>
        <w:rPr>
          <w:sz w:val="20"/>
          <w:szCs w:val="20"/>
          <w:color w:val="auto"/>
        </w:rPr>
      </w:pPr>
      <w:r>
        <w:rPr>
          <w:rFonts w:ascii="Times New Roman" w:cs="Times New Roman" w:eastAsia="Times New Roman" w:hAnsi="Times New Roman"/>
          <w:sz w:val="21"/>
          <w:szCs w:val="21"/>
          <w:color w:val="auto"/>
        </w:rPr>
        <w:t>If you agree with the foregoing, please sign below and return two (2) originals to me. You should retain one (1) original copy of this Agreement for your records.</w:t>
      </w:r>
    </w:p>
    <w:p>
      <w:pPr>
        <w:spacing w:after="0" w:line="15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1"/>
          <w:szCs w:val="21"/>
          <w:color w:val="auto"/>
        </w:rPr>
        <w:t>Sincerely,</w:t>
      </w:r>
    </w:p>
    <w:p>
      <w:pPr>
        <w:spacing w:after="0" w:line="141" w:lineRule="exact"/>
        <w:rPr>
          <w:sz w:val="20"/>
          <w:szCs w:val="20"/>
          <w:color w:val="auto"/>
        </w:rPr>
      </w:pPr>
    </w:p>
    <w:p>
      <w:pPr>
        <w:ind w:left="720"/>
        <w:spacing w:after="0"/>
        <w:tabs>
          <w:tab w:leader="none" w:pos="3340" w:val="left"/>
        </w:tabs>
        <w:rPr>
          <w:sz w:val="20"/>
          <w:szCs w:val="20"/>
          <w:color w:val="auto"/>
        </w:rPr>
      </w:pPr>
      <w:r>
        <w:rPr>
          <w:rFonts w:ascii="Times New Roman" w:cs="Times New Roman" w:eastAsia="Times New Roman" w:hAnsi="Times New Roman"/>
          <w:sz w:val="21"/>
          <w:szCs w:val="21"/>
          <w:b w:val="1"/>
          <w:bCs w:val="1"/>
          <w:color w:val="auto"/>
        </w:rPr>
        <w:t>Agreed to and accepted:</w:t>
      </w:r>
      <w:r>
        <w:rPr>
          <w:sz w:val="20"/>
          <w:szCs w:val="20"/>
          <w:color w:val="auto"/>
        </w:rPr>
        <w:tab/>
      </w:r>
      <w:r>
        <w:rPr>
          <w:rFonts w:ascii="Times New Roman" w:cs="Times New Roman" w:eastAsia="Times New Roman" w:hAnsi="Times New Roman"/>
          <w:sz w:val="21"/>
          <w:szCs w:val="21"/>
          <w:u w:val="single" w:color="auto"/>
          <w:color w:val="auto"/>
        </w:rPr>
        <w:t>/s/ Sandra D. van der Vaart</w:t>
      </w:r>
    </w:p>
    <w:p>
      <w:pPr>
        <w:spacing w:after="0" w:line="17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 xml:space="preserve">Date: </w:t>
      </w:r>
      <w:r>
        <w:rPr>
          <w:rFonts w:ascii="Times New Roman" w:cs="Times New Roman" w:eastAsia="Times New Roman" w:hAnsi="Times New Roman"/>
          <w:sz w:val="21"/>
          <w:szCs w:val="21"/>
          <w:u w:val="single" w:color="auto"/>
          <w:color w:val="auto"/>
        </w:rPr>
        <w:t>__________________</w:t>
      </w:r>
    </w:p>
    <w:p>
      <w:pPr>
        <w:sectPr>
          <w:pgSz w:w="11900" w:h="16838" w:orient="portrait"/>
          <w:cols w:equalWidth="0" w:num="1">
            <w:col w:w="10520"/>
          </w:cols>
          <w:pgMar w:left="960" w:top="1440" w:right="4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H. Schechter, certify that:</w:t>
      </w:r>
    </w:p>
    <w:p>
      <w:pPr>
        <w:spacing w:after="0" w:line="246" w:lineRule="exact"/>
        <w:rPr>
          <w:sz w:val="20"/>
          <w:szCs w:val="20"/>
          <w:color w:val="auto"/>
        </w:rPr>
      </w:pPr>
    </w:p>
    <w:p>
      <w:pPr>
        <w:ind w:left="180" w:hanging="173"/>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Laboratory Corporation of America Holdings;</w:t>
      </w:r>
    </w:p>
    <w:p>
      <w:pPr>
        <w:spacing w:after="0" w:line="246" w:lineRule="exact"/>
        <w:rPr>
          <w:rFonts w:ascii="Times New Roman" w:cs="Times New Roman" w:eastAsia="Times New Roman" w:hAnsi="Times New Roman"/>
          <w:sz w:val="18"/>
          <w:szCs w:val="18"/>
          <w:color w:val="auto"/>
        </w:rPr>
      </w:pPr>
    </w:p>
    <w:p>
      <w:pPr>
        <w:jc w:val="both"/>
        <w:ind w:firstLine="7"/>
        <w:spacing w:after="0" w:line="261" w:lineRule="auto"/>
        <w:tabs>
          <w:tab w:leader="none" w:pos="18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firstLine="7"/>
        <w:spacing w:after="0" w:line="276" w:lineRule="auto"/>
        <w:tabs>
          <w:tab w:leader="none" w:pos="1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jc w:val="both"/>
        <w:ind w:firstLine="7"/>
        <w:spacing w:after="0" w:line="261" w:lineRule="auto"/>
        <w:tabs>
          <w:tab w:leader="none" w:pos="18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04" w:lineRule="exact"/>
        <w:rPr>
          <w:rFonts w:ascii="Times New Roman" w:cs="Times New Roman" w:eastAsia="Times New Roman" w:hAnsi="Times New Roman"/>
          <w:sz w:val="18"/>
          <w:szCs w:val="18"/>
          <w:color w:val="auto"/>
        </w:rPr>
      </w:pPr>
    </w:p>
    <w:p>
      <w:pPr>
        <w:jc w:val="both"/>
        <w:ind w:left="160" w:firstLine="7"/>
        <w:spacing w:after="0" w:line="261" w:lineRule="auto"/>
        <w:tabs>
          <w:tab w:leader="none" w:pos="34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160" w:firstLine="7"/>
        <w:spacing w:after="0" w:line="261" w:lineRule="auto"/>
        <w:tabs>
          <w:tab w:leader="none" w:pos="37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60" w:firstLine="7"/>
        <w:spacing w:after="0" w:line="276" w:lineRule="auto"/>
        <w:tabs>
          <w:tab w:leader="none" w:pos="3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Times New Roman" w:cs="Times New Roman" w:eastAsia="Times New Roman" w:hAnsi="Times New Roman"/>
          <w:sz w:val="18"/>
          <w:szCs w:val="18"/>
          <w:color w:val="auto"/>
        </w:rPr>
      </w:pPr>
    </w:p>
    <w:p>
      <w:pPr>
        <w:jc w:val="both"/>
        <w:ind w:left="160" w:firstLine="7"/>
        <w:spacing w:after="0" w:line="261" w:lineRule="auto"/>
        <w:tabs>
          <w:tab w:leader="none" w:pos="35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right="20" w:firstLine="7"/>
        <w:spacing w:after="0" w:line="276" w:lineRule="auto"/>
        <w:tabs>
          <w:tab w:leader="none" w:pos="18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Times New Roman" w:cs="Times New Roman" w:eastAsia="Times New Roman" w:hAnsi="Times New Roman"/>
          <w:sz w:val="18"/>
          <w:szCs w:val="18"/>
          <w:color w:val="auto"/>
        </w:rPr>
      </w:pPr>
    </w:p>
    <w:p>
      <w:pPr>
        <w:ind w:left="160" w:firstLine="7"/>
        <w:spacing w:after="0" w:line="276" w:lineRule="auto"/>
        <w:tabs>
          <w:tab w:leader="none" w:pos="38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Times New Roman" w:cs="Times New Roman" w:eastAsia="Times New Roman" w:hAnsi="Times New Roman"/>
          <w:sz w:val="18"/>
          <w:szCs w:val="18"/>
          <w:color w:val="auto"/>
        </w:rPr>
      </w:pPr>
    </w:p>
    <w:p>
      <w:pPr>
        <w:ind w:left="160" w:firstLine="7"/>
        <w:spacing w:after="0" w:line="276" w:lineRule="auto"/>
        <w:tabs>
          <w:tab w:leader="none" w:pos="37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0" w:lineRule="exact"/>
        <w:rPr>
          <w:sz w:val="20"/>
          <w:szCs w:val="20"/>
          <w:color w:val="auto"/>
        </w:rPr>
      </w:pPr>
    </w:p>
    <w:p>
      <w:pPr>
        <w:ind w:left="1080"/>
        <w:spacing w:after="0"/>
        <w:tabs>
          <w:tab w:leader="none" w:pos="1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April 30, 2024</w:t>
      </w:r>
    </w:p>
    <w:p>
      <w:pPr>
        <w:spacing w:after="0" w:line="25" w:lineRule="exact"/>
        <w:rPr>
          <w:sz w:val="20"/>
          <w:szCs w:val="20"/>
          <w:color w:val="auto"/>
        </w:rPr>
      </w:pPr>
    </w:p>
    <w:p>
      <w:pPr>
        <w:ind w:left="6420"/>
        <w:spacing w:after="0"/>
        <w:tabs>
          <w:tab w:leader="none" w:pos="6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ADAM H. SCHECHTER</w:t>
      </w:r>
    </w:p>
    <w:p>
      <w:pPr>
        <w:spacing w:after="0" w:line="2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Adam H. Schechter</w:t>
      </w:r>
    </w:p>
    <w:p>
      <w:pPr>
        <w:spacing w:after="0" w:line="2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0440"/>
          </w:cols>
          <w:pgMar w:left="320" w:top="879" w:right="11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Glenn A. Eisenberg, certify that:</w:t>
      </w:r>
    </w:p>
    <w:p>
      <w:pPr>
        <w:spacing w:after="0" w:line="246" w:lineRule="exact"/>
        <w:rPr>
          <w:sz w:val="20"/>
          <w:szCs w:val="20"/>
          <w:color w:val="auto"/>
        </w:rPr>
      </w:pPr>
    </w:p>
    <w:p>
      <w:pPr>
        <w:ind w:left="180" w:hanging="173"/>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Laboratory Corporation of America Holdings;</w:t>
      </w:r>
    </w:p>
    <w:p>
      <w:pPr>
        <w:spacing w:after="0" w:line="246" w:lineRule="exact"/>
        <w:rPr>
          <w:rFonts w:ascii="Times New Roman" w:cs="Times New Roman" w:eastAsia="Times New Roman" w:hAnsi="Times New Roman"/>
          <w:sz w:val="18"/>
          <w:szCs w:val="18"/>
          <w:color w:val="auto"/>
        </w:rPr>
      </w:pPr>
    </w:p>
    <w:p>
      <w:pPr>
        <w:jc w:val="both"/>
        <w:ind w:firstLine="7"/>
        <w:spacing w:after="0" w:line="261" w:lineRule="auto"/>
        <w:tabs>
          <w:tab w:leader="none" w:pos="1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firstLine="7"/>
        <w:spacing w:after="0" w:line="276" w:lineRule="auto"/>
        <w:tabs>
          <w:tab w:leader="none" w:pos="1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jc w:val="both"/>
        <w:ind w:firstLine="7"/>
        <w:spacing w:after="0" w:line="261" w:lineRule="auto"/>
        <w:tabs>
          <w:tab w:leader="none" w:pos="1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04" w:lineRule="exact"/>
        <w:rPr>
          <w:rFonts w:ascii="Times New Roman" w:cs="Times New Roman" w:eastAsia="Times New Roman" w:hAnsi="Times New Roman"/>
          <w:sz w:val="18"/>
          <w:szCs w:val="18"/>
          <w:color w:val="auto"/>
        </w:rPr>
      </w:pPr>
    </w:p>
    <w:p>
      <w:pPr>
        <w:jc w:val="both"/>
        <w:ind w:left="160" w:firstLine="7"/>
        <w:spacing w:after="0" w:line="261" w:lineRule="auto"/>
        <w:tabs>
          <w:tab w:leader="none" w:pos="34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160" w:firstLine="7"/>
        <w:spacing w:after="0" w:line="261" w:lineRule="auto"/>
        <w:tabs>
          <w:tab w:leader="none" w:pos="37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60" w:firstLine="7"/>
        <w:spacing w:after="0" w:line="276" w:lineRule="auto"/>
        <w:tabs>
          <w:tab w:leader="none" w:pos="37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Times New Roman" w:cs="Times New Roman" w:eastAsia="Times New Roman" w:hAnsi="Times New Roman"/>
          <w:sz w:val="18"/>
          <w:szCs w:val="18"/>
          <w:color w:val="auto"/>
        </w:rPr>
      </w:pPr>
    </w:p>
    <w:p>
      <w:pPr>
        <w:jc w:val="both"/>
        <w:ind w:left="160" w:firstLine="7"/>
        <w:spacing w:after="0" w:line="261" w:lineRule="auto"/>
        <w:tabs>
          <w:tab w:leader="none" w:pos="35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right="20" w:firstLine="7"/>
        <w:spacing w:after="0" w:line="276" w:lineRule="auto"/>
        <w:tabs>
          <w:tab w:leader="none" w:pos="18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Times New Roman" w:cs="Times New Roman" w:eastAsia="Times New Roman" w:hAnsi="Times New Roman"/>
          <w:sz w:val="18"/>
          <w:szCs w:val="18"/>
          <w:color w:val="auto"/>
        </w:rPr>
      </w:pPr>
    </w:p>
    <w:p>
      <w:pPr>
        <w:ind w:left="160" w:firstLine="7"/>
        <w:spacing w:after="0" w:line="276" w:lineRule="auto"/>
        <w:tabs>
          <w:tab w:leader="none" w:pos="38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Times New Roman" w:cs="Times New Roman" w:eastAsia="Times New Roman" w:hAnsi="Times New Roman"/>
          <w:sz w:val="18"/>
          <w:szCs w:val="18"/>
          <w:color w:val="auto"/>
        </w:rPr>
      </w:pPr>
    </w:p>
    <w:p>
      <w:pPr>
        <w:ind w:left="160" w:firstLine="7"/>
        <w:spacing w:after="0" w:line="276" w:lineRule="auto"/>
        <w:tabs>
          <w:tab w:leader="none" w:pos="37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ind w:left="1080"/>
        <w:spacing w:after="0"/>
        <w:tabs>
          <w:tab w:leader="none" w:pos="1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April 30, 2024</w:t>
      </w:r>
    </w:p>
    <w:p>
      <w:pPr>
        <w:spacing w:after="0" w:line="25" w:lineRule="exact"/>
        <w:rPr>
          <w:sz w:val="20"/>
          <w:szCs w:val="20"/>
          <w:color w:val="auto"/>
        </w:rPr>
      </w:pPr>
    </w:p>
    <w:p>
      <w:pPr>
        <w:ind w:left="6420"/>
        <w:spacing w:after="0"/>
        <w:tabs>
          <w:tab w:leader="none" w:pos="6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GLENN A. EISENBERG</w:t>
      </w:r>
    </w:p>
    <w:p>
      <w:pPr>
        <w:spacing w:after="0" w:line="2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Glenn A. Eisenberg</w:t>
      </w:r>
    </w:p>
    <w:p>
      <w:pPr>
        <w:spacing w:after="0" w:line="2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0440"/>
          </w:cols>
          <w:pgMar w:left="320" w:top="879" w:right="11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32</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Statement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Chief Financial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Section 1350)</w:t>
      </w:r>
    </w:p>
    <w:p>
      <w:pPr>
        <w:spacing w:after="0" w:line="200" w:lineRule="exact"/>
        <w:rPr>
          <w:sz w:val="20"/>
          <w:szCs w:val="20"/>
          <w:color w:val="auto"/>
        </w:rPr>
      </w:pPr>
    </w:p>
    <w:p>
      <w:pPr>
        <w:spacing w:after="0" w:line="26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The undersigned, the Chief Executive Officer and the Chief Financial Officer of Laboratory Corporation of America Holdings (the “Company”), each hereby certifies that, to his knowledge on the date hereof:</w:t>
      </w:r>
    </w:p>
    <w:p>
      <w:pPr>
        <w:spacing w:after="0" w:line="190" w:lineRule="exact"/>
        <w:rPr>
          <w:sz w:val="20"/>
          <w:szCs w:val="20"/>
          <w:color w:val="auto"/>
        </w:rPr>
      </w:pPr>
    </w:p>
    <w:p>
      <w:pPr>
        <w:ind w:firstLine="7"/>
        <w:spacing w:after="0" w:line="276" w:lineRule="auto"/>
        <w:tabs>
          <w:tab w:leader="none" w:pos="24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of the Company for the Period Ended March 31, 2024, filed on the date hereof with the Securities and Exchange Commission (the “Report”) fully complies with the requirements of Section 13(a) or 15(d) of the Securities Exchange Act of 1934; and</w:t>
      </w:r>
    </w:p>
    <w:p>
      <w:pPr>
        <w:spacing w:after="0" w:line="190"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1" w:lineRule="exact"/>
        <w:rPr>
          <w:sz w:val="20"/>
          <w:szCs w:val="20"/>
          <w:color w:val="auto"/>
        </w:rPr>
      </w:pPr>
    </w:p>
    <w:tbl>
      <w:tblPr>
        <w:tblLayout w:type="fixed"/>
        <w:tblInd w:w="600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ADAM H. SCHECHTER</w:t>
            </w:r>
          </w:p>
        </w:tc>
      </w:tr>
      <w:tr>
        <w:trPr>
          <w:trHeight w:val="242"/>
        </w:trPr>
        <w:tc>
          <w:tcPr>
            <w:tcW w:w="580" w:type="dxa"/>
            <w:vAlign w:val="bottom"/>
          </w:tcPr>
          <w:p>
            <w:pPr>
              <w:spacing w:after="0"/>
              <w:rPr>
                <w:sz w:val="21"/>
                <w:szCs w:val="21"/>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Adam H. Schechter</w:t>
            </w:r>
          </w:p>
        </w:tc>
      </w:tr>
      <w:tr>
        <w:trPr>
          <w:trHeight w:val="227"/>
        </w:trPr>
        <w:tc>
          <w:tcPr>
            <w:tcW w:w="58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2"/>
        </w:trPr>
        <w:tc>
          <w:tcPr>
            <w:tcW w:w="580" w:type="dxa"/>
            <w:vAlign w:val="bottom"/>
          </w:tcPr>
          <w:p>
            <w:pPr>
              <w:spacing w:after="0"/>
              <w:rPr>
                <w:sz w:val="20"/>
                <w:szCs w:val="20"/>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April 30, 2024</w:t>
            </w:r>
          </w:p>
        </w:tc>
      </w:tr>
      <w:tr>
        <w:trPr>
          <w:trHeight w:val="78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GLENN A. EISENBERG</w:t>
            </w:r>
          </w:p>
        </w:tc>
      </w:tr>
      <w:tr>
        <w:trPr>
          <w:trHeight w:val="242"/>
        </w:trPr>
        <w:tc>
          <w:tcPr>
            <w:tcW w:w="580" w:type="dxa"/>
            <w:vAlign w:val="bottom"/>
          </w:tcPr>
          <w:p>
            <w:pPr>
              <w:spacing w:after="0"/>
              <w:rPr>
                <w:sz w:val="21"/>
                <w:szCs w:val="21"/>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Glenn A. Eisenberg</w:t>
            </w:r>
          </w:p>
        </w:tc>
      </w:tr>
      <w:tr>
        <w:trPr>
          <w:trHeight w:val="227"/>
        </w:trPr>
        <w:tc>
          <w:tcPr>
            <w:tcW w:w="58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2"/>
        </w:trPr>
        <w:tc>
          <w:tcPr>
            <w:tcW w:w="580" w:type="dxa"/>
            <w:vAlign w:val="bottom"/>
          </w:tcPr>
          <w:p>
            <w:pPr>
              <w:spacing w:after="0"/>
              <w:rPr>
                <w:sz w:val="20"/>
                <w:szCs w:val="20"/>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April 30, 2024</w:t>
            </w:r>
          </w:p>
        </w:tc>
      </w:tr>
    </w:tbl>
    <w:p>
      <w:pPr>
        <w:sectPr>
          <w:pgSz w:w="11900" w:h="16838" w:orient="portrait"/>
          <w:cols w:equalWidth="0" w:num="1">
            <w:col w:w="10440"/>
          </w:cols>
          <w:pgMar w:left="320" w:top="879" w:right="1139" w:bottom="1440" w:gutter="0" w:footer="0" w:header="0"/>
        </w:sectPr>
      </w:pPr>
    </w:p>
    <w:bookmarkStart w:id="57" w:name="page58"/>
    <w:bookmarkEnd w:id="57"/>
    <w:p>
      <w:pPr>
        <w:spacing w:after="0" w:line="25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Laboratory Corporation of America Holdings and will be retained by Laboratory Corporation of America Holdings and furnished to the Securities and Exchange Commission or its staff upon request.</w:t>
      </w:r>
    </w:p>
    <w:sectPr>
      <w:pgSz w:w="11900" w:h="16838" w:orient="portrait"/>
      <w:cols w:equalWidth="0" w:num="1">
        <w:col w:w="11220"/>
      </w:cols>
      <w:pgMar w:left="320" w:top="88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0"/>
    </w:lvl>
  </w:abstractNum>
  <w:abstractNum w:abstractNumId="3">
    <w:nsid w:val="3352255A"/>
    <w:multiLevelType w:val="hybridMultilevel"/>
    <w:lvl w:ilvl="0">
      <w:lvlJc w:val="left"/>
      <w:lvlText w:val="%1."/>
      <w:numFmt w:val="decimal"/>
      <w:start w:val="11"/>
    </w:lvl>
  </w:abstractNum>
  <w:abstractNum w:abstractNumId="4">
    <w:nsid w:val="109CF92E"/>
    <w:multiLevelType w:val="hybridMultilevel"/>
    <w:lvl w:ilvl="0">
      <w:lvlJc w:val="left"/>
      <w:lvlText w:val="%1."/>
      <w:numFmt w:val="decimal"/>
      <w:start w:val="12"/>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0"/>
    </w:lvl>
  </w:abstractNum>
  <w:abstractNum w:abstractNumId="7">
    <w:nsid w:val="1BEFD79F"/>
    <w:multiLevelType w:val="hybridMultilevel"/>
    <w:lvl w:ilvl="0">
      <w:lvlJc w:val="left"/>
      <w:lvlText w:val="%1."/>
      <w:numFmt w:val="decimal"/>
      <w:start w:val="30"/>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lowerLetter"/>
      <w:start w:val="5"/>
    </w:lvl>
  </w:abstractNum>
  <w:abstractNum w:abstractNumId="13">
    <w:nsid w:val="431BD7B7"/>
    <w:multiLevelType w:val="hybridMultilevel"/>
    <w:lvl w:ilvl="0">
      <w:lvlJc w:val="left"/>
      <w:lvlText w:val="(%1)"/>
      <w:numFmt w:val="lowerLetter"/>
      <w:start w:val="7"/>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lowerLetter"/>
      <w:start w:val="2"/>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18"/>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2024-04-30T11:24:58Z</dcterms:created>
  <dcterms:modified xsi:type="dcterms:W3CDTF">2024-04-30T11:24:58Z</dcterms:modified>
</cp:coreProperties>
</file>