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1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Annual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Transition report pursuant to Section 13 or 15(d) of the Securities Exchange Act of 1934</w:t>
      </w:r>
    </w:p>
    <w:p>
      <w:pPr>
        <w:spacing w:after="0" w:line="15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LABORATORY CORP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38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1880" w:type="dxa"/>
            <w:vAlign w:val="bottom"/>
          </w:tcPr>
          <w:p>
            <w:pPr>
              <w:spacing w:after="0"/>
              <w:rPr>
                <w:sz w:val="24"/>
                <w:szCs w:val="24"/>
                <w:color w:val="auto"/>
              </w:rPr>
            </w:pPr>
          </w:p>
        </w:tc>
        <w:tc>
          <w:tcPr>
            <w:tcW w:w="38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1880" w:type="dxa"/>
            <w:vAlign w:val="bottom"/>
          </w:tcPr>
          <w:p>
            <w:pPr>
              <w:ind w:left="940"/>
              <w:spacing w:after="0"/>
              <w:rPr>
                <w:sz w:val="20"/>
                <w:szCs w:val="20"/>
                <w:color w:val="auto"/>
              </w:rPr>
            </w:pPr>
            <w:r>
              <w:rPr>
                <w:rFonts w:ascii="Arial" w:cs="Arial" w:eastAsia="Arial" w:hAnsi="Arial"/>
                <w:sz w:val="18"/>
                <w:szCs w:val="18"/>
                <w:b w:val="1"/>
                <w:bCs w:val="1"/>
                <w:color w:val="auto"/>
                <w:w w:val="95"/>
              </w:rPr>
              <w:t>Burlington,</w:t>
            </w:r>
          </w:p>
        </w:tc>
        <w:tc>
          <w:tcPr>
            <w:tcW w:w="3840" w:type="dxa"/>
            <w:vAlign w:val="bottom"/>
            <w:gridSpan w:val="2"/>
          </w:tcPr>
          <w:p>
            <w:pPr>
              <w:ind w:left="1720"/>
              <w:spacing w:after="0"/>
              <w:rPr>
                <w:sz w:val="20"/>
                <w:szCs w:val="20"/>
                <w:color w:val="auto"/>
              </w:rPr>
            </w:pPr>
            <w:r>
              <w:rPr>
                <w:rFonts w:ascii="Arial" w:cs="Arial" w:eastAsia="Arial" w:hAnsi="Arial"/>
                <w:sz w:val="18"/>
                <w:szCs w:val="18"/>
                <w:b w:val="1"/>
                <w:bCs w:val="1"/>
                <w:color w:val="auto"/>
              </w:rPr>
              <w:t>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3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78"/>
        </w:trPr>
        <w:tc>
          <w:tcPr>
            <w:tcW w:w="4320" w:type="dxa"/>
            <w:vAlign w:val="bottom"/>
          </w:tcPr>
          <w:p>
            <w:pPr>
              <w:ind w:left="40"/>
              <w:spacing w:after="0"/>
              <w:rPr>
                <w:sz w:val="20"/>
                <w:szCs w:val="20"/>
                <w:color w:val="auto"/>
              </w:rPr>
            </w:pPr>
            <w:r>
              <w:rPr>
                <w:rFonts w:ascii="Arial" w:cs="Arial" w:eastAsia="Arial" w:hAnsi="Arial"/>
                <w:sz w:val="18"/>
                <w:szCs w:val="18"/>
                <w:color w:val="auto"/>
              </w:rPr>
              <w:t>Title of each class</w:t>
            </w:r>
          </w:p>
        </w:tc>
        <w:tc>
          <w:tcPr>
            <w:tcW w:w="2300" w:type="dxa"/>
            <w:vAlign w:val="bottom"/>
          </w:tcPr>
          <w:p>
            <w:pPr>
              <w:ind w:left="180"/>
              <w:spacing w:after="0"/>
              <w:rPr>
                <w:sz w:val="20"/>
                <w:szCs w:val="20"/>
                <w:color w:val="auto"/>
              </w:rPr>
            </w:pPr>
            <w:r>
              <w:rPr>
                <w:rFonts w:ascii="Arial" w:cs="Arial" w:eastAsia="Arial" w:hAnsi="Arial"/>
                <w:sz w:val="18"/>
                <w:szCs w:val="18"/>
                <w:color w:val="auto"/>
              </w:rPr>
              <w:t>Trading Symbol</w:t>
            </w:r>
          </w:p>
        </w:tc>
        <w:tc>
          <w:tcPr>
            <w:tcW w:w="4800" w:type="dxa"/>
            <w:vAlign w:val="bottom"/>
          </w:tcPr>
          <w:p>
            <w:pPr>
              <w:ind w:left="960"/>
              <w:spacing w:after="0"/>
              <w:rPr>
                <w:sz w:val="20"/>
                <w:szCs w:val="20"/>
                <w:color w:val="auto"/>
              </w:rPr>
            </w:pPr>
            <w:r>
              <w:rPr>
                <w:rFonts w:ascii="Arial" w:cs="Arial" w:eastAsia="Arial" w:hAnsi="Arial"/>
                <w:sz w:val="18"/>
                <w:szCs w:val="18"/>
                <w:color w:val="auto"/>
              </w:rPr>
              <w:t>Name of exchange on which registered</w:t>
            </w:r>
          </w:p>
        </w:tc>
      </w:tr>
      <w:tr>
        <w:trPr>
          <w:trHeight w:val="34"/>
        </w:trPr>
        <w:tc>
          <w:tcPr>
            <w:tcW w:w="4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Common Stock, $0.10 par value</w:t>
            </w:r>
          </w:p>
        </w:tc>
        <w:tc>
          <w:tcPr>
            <w:tcW w:w="2300" w:type="dxa"/>
            <w:vAlign w:val="bottom"/>
          </w:tcPr>
          <w:p>
            <w:pPr>
              <w:ind w:left="180"/>
              <w:spacing w:after="0"/>
              <w:rPr>
                <w:sz w:val="20"/>
                <w:szCs w:val="20"/>
                <w:color w:val="auto"/>
              </w:rPr>
            </w:pPr>
            <w:r>
              <w:rPr>
                <w:rFonts w:ascii="Arial" w:cs="Arial" w:eastAsia="Arial" w:hAnsi="Arial"/>
                <w:sz w:val="18"/>
                <w:szCs w:val="18"/>
                <w:color w:val="auto"/>
              </w:rPr>
              <w:t>LH</w:t>
            </w:r>
          </w:p>
        </w:tc>
        <w:tc>
          <w:tcPr>
            <w:tcW w:w="4800" w:type="dxa"/>
            <w:vAlign w:val="bottom"/>
          </w:tcPr>
          <w:p>
            <w:pPr>
              <w:ind w:left="960"/>
              <w:spacing w:after="0"/>
              <w:rPr>
                <w:sz w:val="20"/>
                <w:szCs w:val="20"/>
                <w:color w:val="auto"/>
              </w:rPr>
            </w:pPr>
            <w:r>
              <w:rPr>
                <w:rFonts w:ascii="Arial" w:cs="Arial" w:eastAsia="Arial" w:hAnsi="Arial"/>
                <w:sz w:val="18"/>
                <w:szCs w:val="18"/>
                <w:color w:val="auto"/>
              </w:rPr>
              <w:t>New York Stock Exchange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6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6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No [X].</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2019, the aggregate market value of the common stock held by non-affiliates of the registrant was approximately $16.1 billion, based on the closing price on such date of the registrant’s common stock on the New York Stock Exchange.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97.3 million shares as of February 26,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2019, are incorporated by reference into Part III.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6"/>
          </w:tcPr>
          <w:p>
            <w:pPr>
              <w:jc w:val="center"/>
              <w:ind w:right="4340"/>
              <w:spacing w:after="0"/>
              <w:rPr>
                <w:sz w:val="20"/>
                <w:szCs w:val="20"/>
                <w:color w:val="auto"/>
              </w:rPr>
            </w:pPr>
            <w:r>
              <w:rPr>
                <w:rFonts w:ascii="Arial" w:cs="Arial" w:eastAsia="Arial" w:hAnsi="Arial"/>
                <w:sz w:val="18"/>
                <w:szCs w:val="18"/>
                <w:b w:val="1"/>
                <w:bCs w:val="1"/>
                <w:color w:val="auto"/>
                <w:w w:val="93"/>
              </w:rPr>
              <w:t>Index</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2"/>
            <w:vMerge w:val="restart"/>
          </w:tcPr>
          <w:p>
            <w:pPr>
              <w:jc w:val="center"/>
              <w:ind w:right="42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2"/>
            <w:vMerge w:val="continue"/>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40" w:type="dxa"/>
            <w:vAlign w:val="bottom"/>
            <w:gridSpan w:val="27"/>
          </w:tcPr>
          <w:p>
            <w:pPr>
              <w:spacing w:after="0"/>
              <w:rPr>
                <w:sz w:val="22"/>
                <w:szCs w:val="22"/>
                <w:color w:val="auto"/>
              </w:rPr>
            </w:pPr>
          </w:p>
        </w:tc>
        <w:tc>
          <w:tcPr>
            <w:tcW w:w="460" w:type="dxa"/>
            <w:vAlign w:val="bottom"/>
            <w:tcBorders>
              <w:top w:val="single" w:sz="8" w:color="0000EE"/>
            </w:tcBorders>
            <w:gridSpan w:val="3"/>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gridSpan w:val="2"/>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 Segments</w:t>
              </w:r>
            </w:hyperlink>
          </w:p>
        </w:tc>
        <w:tc>
          <w:tcPr>
            <w:tcW w:w="660" w:type="dxa"/>
            <w:vAlign w:val="bottom"/>
            <w:gridSpan w:val="4"/>
          </w:tcPr>
          <w:p>
            <w:pPr>
              <w:jc w:val="center"/>
              <w:ind w:left="39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80" w:type="dxa"/>
            <w:vAlign w:val="bottom"/>
            <w:gridSpan w:val="4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LabCorp Diagnostics Segment</w:t>
              </w:r>
            </w:hyperlink>
          </w:p>
        </w:tc>
        <w:tc>
          <w:tcPr>
            <w:tcW w:w="660" w:type="dxa"/>
            <w:vAlign w:val="bottom"/>
            <w:gridSpan w:val="4"/>
          </w:tcPr>
          <w:p>
            <w:pPr>
              <w:jc w:val="center"/>
              <w:ind w:left="39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Covance Drug Development Segment</w:t>
              </w:r>
            </w:hyperlink>
          </w:p>
        </w:tc>
        <w:tc>
          <w:tcPr>
            <w:tcW w:w="5660" w:type="dxa"/>
            <w:vAlign w:val="bottom"/>
            <w:gridSpan w:val="1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Customers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Capital Allocation</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Seasonality</w:t>
            </w:r>
          </w:p>
        </w:tc>
        <w:tc>
          <w:tcPr>
            <w:tcW w:w="7240" w:type="dxa"/>
            <w:vAlign w:val="bottom"/>
            <w:gridSpan w:val="3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Investments in Joint Venture Partnerships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4"/>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Sales, Marketing and Customer Service</w:t>
              </w:r>
            </w:hyperlink>
          </w:p>
        </w:tc>
        <w:tc>
          <w:tcPr>
            <w:tcW w:w="564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Information Systems</w:t>
              </w:r>
            </w:hyperlink>
          </w:p>
        </w:tc>
        <w:tc>
          <w:tcPr>
            <w:tcW w:w="1320" w:type="dxa"/>
            <w:vAlign w:val="bottom"/>
            <w:tcBorders>
              <w:top w:val="single" w:sz="8" w:color="0000EE"/>
            </w:tcBorders>
            <w:gridSpan w:val="8"/>
          </w:tcPr>
          <w:p>
            <w:pPr>
              <w:spacing w:after="0"/>
              <w:rPr>
                <w:sz w:val="21"/>
                <w:szCs w:val="21"/>
                <w:color w:val="auto"/>
              </w:rPr>
            </w:pPr>
          </w:p>
        </w:tc>
        <w:tc>
          <w:tcPr>
            <w:tcW w:w="578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Quality</w:t>
              </w:r>
            </w:hyperlink>
          </w:p>
        </w:tc>
        <w:tc>
          <w:tcPr>
            <w:tcW w:w="8080" w:type="dxa"/>
            <w:vAlign w:val="bottom"/>
            <w:gridSpan w:val="3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Intellectual Property Rights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Regulation and Reimbursement</w:t>
              </w:r>
            </w:hyperlink>
          </w:p>
        </w:tc>
        <w:tc>
          <w:tcPr>
            <w:tcW w:w="634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Compliance Program</w:t>
              </w:r>
            </w:hyperlink>
          </w:p>
        </w:tc>
        <w:tc>
          <w:tcPr>
            <w:tcW w:w="708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Information Security</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7960" w:type="dxa"/>
            <w:vAlign w:val="bottom"/>
            <w:gridSpan w:val="3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Unresolved Staff Comments</w:t>
              </w:r>
            </w:hyperlink>
          </w:p>
        </w:tc>
        <w:tc>
          <w:tcPr>
            <w:tcW w:w="682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8860" w:type="dxa"/>
            <w:vAlign w:val="bottom"/>
            <w:gridSpan w:val="4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8860" w:type="dxa"/>
            <w:vAlign w:val="bottom"/>
            <w:gridSpan w:val="4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8860" w:type="dxa"/>
            <w:vAlign w:val="bottom"/>
            <w:gridSpan w:val="4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41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EE"/>
            </w:tcBorders>
            <w:gridSpan w:val="4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860" w:type="dxa"/>
            <w:vAlign w:val="bottom"/>
            <w:gridSpan w:val="4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Selected Financial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9"/>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45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8860" w:type="dxa"/>
            <w:vAlign w:val="bottom"/>
            <w:gridSpan w:val="4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40"/>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8860" w:type="dxa"/>
            <w:vAlign w:val="bottom"/>
            <w:gridSpan w:val="4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100" w:type="dxa"/>
            <w:vAlign w:val="bottom"/>
            <w:gridSpan w:val="2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III</w:t>
              </w:r>
            </w:hyperlink>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Directors, Executive Officers and Corporate Governance</w:t>
              </w:r>
            </w:hyperlink>
          </w:p>
        </w:tc>
        <w:tc>
          <w:tcPr>
            <w:tcW w:w="476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Executive Compensation</w:t>
              </w:r>
            </w:hyperlink>
          </w:p>
        </w:tc>
        <w:tc>
          <w:tcPr>
            <w:tcW w:w="706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860" w:type="dxa"/>
            <w:vAlign w:val="bottom"/>
            <w:gridSpan w:val="4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4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160"/>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Exhibits and Financial Statement Schedules</w:t>
              </w:r>
            </w:hyperlink>
          </w:p>
        </w:tc>
        <w:tc>
          <w:tcPr>
            <w:tcW w:w="960" w:type="dxa"/>
            <w:vAlign w:val="bottom"/>
            <w:gridSpan w:val="6"/>
          </w:tcPr>
          <w:p>
            <w:pPr>
              <w:spacing w:after="0"/>
              <w:rPr>
                <w:sz w:val="21"/>
                <w:szCs w:val="21"/>
                <w:color w:val="auto"/>
              </w:rPr>
            </w:pPr>
          </w:p>
        </w:tc>
        <w:tc>
          <w:tcPr>
            <w:tcW w:w="580" w:type="dxa"/>
            <w:vAlign w:val="bottom"/>
            <w:tcBorders>
              <w:top w:val="single" w:sz="8" w:color="0000EE"/>
            </w:tcBorders>
            <w:gridSpan w:val="7"/>
          </w:tcPr>
          <w:p>
            <w:pPr>
              <w:spacing w:after="0"/>
              <w:rPr>
                <w:sz w:val="21"/>
                <w:szCs w:val="21"/>
                <w:color w:val="auto"/>
              </w:rPr>
            </w:pPr>
          </w:p>
        </w:tc>
        <w:tc>
          <w:tcPr>
            <w:tcW w:w="416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8860" w:type="dxa"/>
            <w:vAlign w:val="bottom"/>
            <w:gridSpan w:val="4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Borders>
              <w:top w:val="single" w:sz="8" w:color="0000EE"/>
            </w:tcBorders>
            <w:gridSpan w:val="11"/>
          </w:tcPr>
          <w:p>
            <w:pPr>
              <w:spacing w:after="0"/>
              <w:rPr>
                <w:sz w:val="24"/>
                <w:szCs w:val="24"/>
                <w:color w:val="auto"/>
              </w:rPr>
            </w:pPr>
          </w:p>
        </w:tc>
        <w:tc>
          <w:tcPr>
            <w:tcW w:w="2820" w:type="dxa"/>
            <w:vAlign w:val="bottom"/>
            <w:gridSpan w:val="21"/>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5" w:lineRule="exact"/>
        <w:rPr>
          <w:sz w:val="20"/>
          <w:szCs w:val="20"/>
          <w:color w:val="auto"/>
        </w:rPr>
      </w:pPr>
    </w:p>
    <w:p>
      <w:pPr>
        <w:jc w:val="both"/>
        <w:ind w:firstLine="270"/>
        <w:spacing w:after="0" w:line="245" w:lineRule="auto"/>
        <w:rPr>
          <w:sz w:val="20"/>
          <w:szCs w:val="20"/>
          <w:color w:val="auto"/>
        </w:rPr>
      </w:pPr>
      <w:r>
        <w:rPr>
          <w:rFonts w:ascii="Arial" w:cs="Arial" w:eastAsia="Arial" w:hAnsi="Arial"/>
          <w:sz w:val="17"/>
          <w:szCs w:val="17"/>
          <w:color w:val="auto"/>
        </w:rPr>
        <w:t>Laboratory Corporation of America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Holdings (LabCorp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the Company) is a leading global life sciences company that is deeply integrated in guiding patient care. The Company provides comprehensive clinical laboratory and end-to-end drug development services through its LabCorp Diagnostics (LCD) and Covance Drug Development (CDD) segments. LabCorp is positioned at the convergence of research and care delivery to enable more precise and individualized healthcare, bringing together world-class diagnostics and drug development capabilities.</w:t>
      </w:r>
    </w:p>
    <w:p>
      <w:pPr>
        <w:spacing w:after="0" w:line="106" w:lineRule="exact"/>
        <w:rPr>
          <w:sz w:val="20"/>
          <w:szCs w:val="20"/>
          <w:color w:val="auto"/>
        </w:rPr>
      </w:pPr>
    </w:p>
    <w:p>
      <w:pPr>
        <w:jc w:val="both"/>
        <w:ind w:right="20" w:firstLine="270"/>
        <w:spacing w:after="0" w:line="257" w:lineRule="auto"/>
        <w:rPr>
          <w:sz w:val="20"/>
          <w:szCs w:val="20"/>
          <w:color w:val="auto"/>
        </w:rPr>
      </w:pPr>
      <w:r>
        <w:rPr>
          <w:rFonts w:ascii="Arial" w:cs="Arial" w:eastAsia="Arial" w:hAnsi="Arial"/>
          <w:sz w:val="18"/>
          <w:szCs w:val="18"/>
          <w:color w:val="auto"/>
        </w:rPr>
        <w:t>With nearly 65,000 employees worldwide, the Company’s mission is to improve health and improve lives by delivering world-class diagnostics, accelerating the availability of innovative medicines to patients, and using technology to change the way care is delivered. LabCorp, an S&amp;P 500 company, was named to FORTUNE magazine's 2019 List of World's Most Admired Companies. The Company has also been recognized as a Best Place to Work for LGBTQ Equality with a perfect score from Human Rights Campaign's Corporate Equality Index (CEI), the nation's premier benchmarking survey and report on corporate policies and practices related to LGBTQ workplace equality.</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provides diagnostic, drug development and technology-enabled solutions for more than 160 million patient encounters per year, or more than 3 million per week. The Company also supports clinical trial activity in approximately 100 countries through its industry-leading central laboratory, preclinical, and clinical development businesses, generating more safety and efficacy data to support drug approvals than any other company. CDD collaborated on 85% of the novel drugs approved by the U.S. Food and Drug Administration (FDA) in 2019, including 100% of the novel oncology drugs and 86% of the rare and orphan disease drugs. In addition, CDD has been involved in the development of all of the current top 50 drugs on the market as measured by sales revenue.</w:t>
      </w:r>
    </w:p>
    <w:p>
      <w:pPr>
        <w:spacing w:after="0" w:line="64" w:lineRule="exact"/>
        <w:rPr>
          <w:sz w:val="20"/>
          <w:szCs w:val="20"/>
          <w:color w:val="auto"/>
        </w:rPr>
      </w:pPr>
    </w:p>
    <w:p>
      <w:pPr>
        <w:jc w:val="both"/>
        <w:ind w:firstLine="270"/>
        <w:spacing w:after="0" w:line="245" w:lineRule="auto"/>
        <w:rPr>
          <w:sz w:val="20"/>
          <w:szCs w:val="20"/>
          <w:color w:val="auto"/>
        </w:rPr>
      </w:pPr>
      <w:r>
        <w:rPr>
          <w:rFonts w:ascii="Arial" w:cs="Arial" w:eastAsia="Arial" w:hAnsi="Arial"/>
          <w:sz w:val="17"/>
          <w:szCs w:val="17"/>
          <w:color w:val="auto"/>
        </w:rPr>
        <w:t>The Company celebrated its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in 2019, marking its transformation from a laboratory in a former hospital in 1969 to a leading global life sciences company today. The Company, a Delaware corporation, is headquartered in Burlington, North Carolina, and was incorporated in 1971. Since its incorporation, the Company has continually expanded and diversified its business offerings, technological expertise, geographic reach, revenue base, and financial growth opportunities through a combination of organic investments and disciplined acquisitions.</w:t>
      </w:r>
    </w:p>
    <w:p>
      <w:pPr>
        <w:spacing w:after="0" w:line="10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serves a broad range of customers, including managed care organizations (MCOs), biopharmaceutical, medical device and diagnostics companies, governmental agencies, physicians and other healthcare providers, hospitals and health systems, employers, patients and consumers, contract research organizations (CROs) and independent clinical laboratories. Leveraging the Company's extensive scientific and therapeutic experience, cutting-edge technology, and considerable real-world data and patient intelligence, the Company's customers can understand and respond to evolving patient needs with precision.</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breadth of the Company’s offerings has accelerated revenue and profit growth while generating strong returns for shareholders through share price appreciation. The Company's diversified service offerings also help to balance the impact of changes in the U.S. healthcare payment system, such as the reductions to the Medicare fee schedule under the Protecting Access to Medicare Act (PAMA), and associated reductions to other payer fee schedules, including Medicaid.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of Combined Capabilities</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Today, the Company participates in drug development from discovery through commercialization; it is the go-to partner for the development, validation and commercialization of companion diagnostics, which are key drivers of precision medicine; it offers a growing menu of high-quality, high-value clinical laboratory tests; and, increasingly, it provides guidance to consumers and care providers about how to integrate drugs and diagnostics into patient care. The Company has proprietary data sets with approximately 35 billion lab test results, including approximately 50 percent of the United States (U.S.) population and a significant database of experienced investigators and trial sites.</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combination of LCD’s and CDD’s core capabilities and scientific expertise enables the Company to create compelling solutions for clients. As an example, the combination has contributed to the Company's position as a market leader in the development and commercialization of companion and complementary diagnostics. LCD and CDD have been involved in the development of drugs and their associated companion diagnostics for more than 20 years, and together have supported more FDA-approved companion diagnostics than any other company. In 2019, the Company's dedicated companion diagnostics team collaborated with 30 clients on more than 150 companion diagnostics projects.</w:t>
      </w:r>
    </w:p>
    <w:p>
      <w:pPr>
        <w:spacing w:after="0" w:line="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Health systems customers continue to express interest in the Company's ability to both reduce their lab testing costs and bring them meaningful clinical research opportunities through the power of the Company's uniquely combined capabilities. The Company continues to increase CDD site partnerships with U.S.-based health systems and have offered these health systems many meaningful clinical research opportunities. The two-pronged value proposition continues to gain traction with health system partners.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By combining LCD patient population data with CDD's site location tools and protocol design insights, the Company delivers a truly integrated patient-centric approach to recruitment. Through the LCD portal, patients can consent to release their medical information to CDD to be contacted for opportunities to participate in research including clinical studies, medical device studies and other studies to inform new therapies and better understand patients' needs. As a result of the powerful combination of LCD and CDD insights and data, the Company has the opportunity to win studies and recruit patients and investigators for trials more efficiently in important therapeutic areas like oncology.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the Future</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believes that it can play a larger role in the rapidly evolving healthcare environment by supporting customers’ transition to value-based care, streamlining the drug development process, and creating a leading and differentiated consumer experience.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Value-Based Care</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the healthcare system continues the transition to value-based care, the Company is supporting customers that are more focused on quality of care and outcomes through its differentiated, comprehensive solutions including leading laboratory services, clinical decision support (CDS), robust data integration offerings, drug development solutions, and payer and provider collaborations. The Company is a critical player in enabling targeted, tailored, high-value care in part by helping physicians choose the right test to determine the right medication at the right dosage, and helping to deliver the next generation of lifesaving drugs.</w:t>
      </w:r>
    </w:p>
    <w:p>
      <w:pPr>
        <w:spacing w:after="0" w:line="9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2019, LabCorp established new data collaborations with more than 30 value-based care organizations including the announcement of a strategic collaboration with New Jersey Primary Care Association (NJPCA) to advance value-based care at 23 community health centers throughout New Jersey. The project will help NJPCA members achieve value-based care objectives by providing integrated lab and clinical data in a more accessible, comprehensive and secure manner, with a focus on improving outcomes for patients with chronic conditions, such as diabetes and chronic kidney disease. The platform will be available through LabCorp’s Care Intelligence application, which is supported by HealthEC. It will allow for population health analyses, showing trends across communities, and for enhanced monitoring of individual patients to understand when intervention is needed and how a patient is responding to treatment.</w:t>
      </w:r>
    </w:p>
    <w:p>
      <w:pPr>
        <w:spacing w:after="0" w:line="21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Through the efforts of a dedicated team, LabCorp also continues to expand its service solutions to support clients in meeting value-based care goals and objectives, and to work with organizations focused directly on value-based care, such as Accountable Care Organizations, Clinically Integrated Networks, Integrated Delivery Networks, Independent Physicians Associations, national provider groups and Federally Qualified Health Centers. In 2019, LabCorp launched lab-based data reports called Insight Analytics. These reports support provider organizations in the efficient use of laboratory testing (laboratory stewardship), and the enhanced management of patients with chronic conditions such as diabetes, chronic kidney disease, and cardiovascular disease.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Streamlining Drug Development</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today’s healthcare landscape, there is a need to streamline the drug and device development process to bring new therapies to market faster. However, the number of compounds in the pipeline continues to grow and the development path is increasingly complex and costly. These trends have led to growing competition for investigators and patients in clinical studies. In this environment, demand from biopharmaceutical companies for data-driven study design and execution, scalable, innovative tools and processes, and access to relevant analytes, biomarkers and tests continues to rise.</w:t>
      </w:r>
    </w:p>
    <w:p>
      <w:pPr>
        <w:spacing w:after="0" w:line="19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CDD’s unique end-to-end global capabilities provide biopharmaceutical and medical device companies with differentiated solutions to streamline development with a focus on more efficient study design, and faster and more targeted identification of eligible patients and investigators with the power of combined capabilities with LCD. The Company’s investment in CDD’s unmatched combination of capabilities, analytics and scale has strengthened its leadership advantage in areas such as precision medicine, companion diagnostics and decentralized trials. The Company’s integration of new innovations in this space, using sophisticated analytics capabilities and artificial intelligence, are intended to enhance efficiency and quality. In addition, LCD’s strategic relationships with hospitals and health systems create opportunities for those organizations to become research partners to participate in studies and clinical trials with CDD.</w:t>
      </w:r>
    </w:p>
    <w:p>
      <w:pPr>
        <w:spacing w:after="0" w:line="21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unique combination of the Company’s diagnostic and drug development operating models enables the Company to create differentiated and innovative solutions to streamline the drug and device development process. In 2019, the Company introduced an innovative new patient direct offering, streamlining patient recruitment by using LCD data to quickly and effectively contact appropriate candidates for trials through targeting a set of patients likely to qualify for the study based on diagnosis code, test results, and geographic location. After patients are enrolled, they are then routed to a LCD patient service center (PSC) for testing.</w:t>
      </w:r>
    </w:p>
    <w:p>
      <w:pPr>
        <w:spacing w:after="0" w:line="21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also expects to see increasing adoption of decentralized, hybrid and virtual clinical trials by clinical trial sponsors. These offerings, individually or in combination, may speed patient recruitment and site selection, and improve trial design and data quality, thereby decreasing study duration, costs, and the patient burden of participating in clinical research.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The Growing Importance of the Consumer in Healthcare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patients have more responsibility for the costs of their care and technological advances drive an expectation of convenient channels for accessing healthcare, the Company continues to invest heavily in new tools, technology and services to facilitate a differentiated consumer experience.</w:t>
      </w:r>
    </w:p>
    <w:p>
      <w:pPr>
        <w:spacing w:after="0" w:line="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2019, the Company announced an expansion to its Pixel by LabCorp™ platform, which was first introduced in 2018 with an initial offering of self-collection kits to empower consumers to order and obtain wellness tests in the comfort and privacy of their homes. The expanded Pixel offering allows consumers to purchase testing online, visit a convenient LCD PSC for specimen collection by a phlebotomist, and receive confidential results through a secure online portal. The tests are performed in LCD’s laboratories, using the same equipment and processes as the testing that clinicians order for their patients during in-office visits. The Company also continues to invest in and evaluate technologies that may enable additional methods for self-collection of specimens, and is exploring the potential use of wearable devices for diagnostics and in clinical trials.</w:t>
      </w:r>
    </w:p>
    <w:p>
      <w:pPr>
        <w:spacing w:after="0" w:line="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continued its partnership with Walgreens to open comfortable and convenient PSCs inside Walgreens stores. At the close of 2019, more than 130 LabCorp at Walgreens sites were open or in progress to open in multiple states.</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performs the DNA testing for 23andMe. The Company also continues to support telemedicine, and other new care delivery models, that empower and engage healthcare consumers.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 and Health System Partnerships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healthcare industry continues to consolidate, the new combined organizations can provide economies of scale and the capital to make substantially greater investments in technology, and in some cases they can exercise greater control over how and where patients access care. That industry consolidation generates additional opportunities for the Company’s unique combination of diagnostics and drug development. The Company can offer a wide range of highly efficient and integrated lab testing across multiple types of care settings and can simplify information technology structures and interfaces to standardize lab testing and data. That data can also lead to differentiated integrated solutions, as the Company can identify patients who may be eligible for clinical trials and physicians who may be able to serve as clinical trial investigators.</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more than three decades, the Company has developed and maintained a broad range of collaborations with hospitals and health systems and the Company continues to develop those relationships. In 2019, the Company announced a collaboration with the Mount Sinai Health System, New York City's largest integrated healthcare delivery system, to establish the Mount Sinai Digital and Artificial Intelligence (AI)-Enabled Pathology Center of Excellence. The Company, which has implemented the Philips IntelliSite Pathology Solution in four of its laboratories and plans to deploy it to additional laboratories, will use its experience and expertise to lead the integration of digital pathology into clinical practice across Mount Sinai's hospitals. Other new or extended strategic relationships with health systems and other large provider organizations across the country include South Bend Medical Foundation, MetroPath and New Jersey Primary Care Association. The Company believes that these relationships are foundational in delivering high-quality, outcomes-driven, and cost-effective care to patients.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Reporting</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U.S. Securities and Exchange Commission (SEC). Additionally, the SEC maintains a website at http://www.sec.gov that contains reports, proxy and information statements, and other information regarding issuers, including the Company, that file electronically with the SEC.</w:t>
      </w:r>
    </w:p>
    <w:p>
      <w:pPr>
        <w:spacing w:after="0" w:line="9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report, which include additional financial information about the Company.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“Forward-Looking Statements” in Item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3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LCD and CDD. In 2019, LCD and CDD contributed 60% and 40%, respectively, of revenues to the Company, and in 2018 contributed 62% and 38%, respectively. For further financial information about these segments, including information for each of the last three fiscal years regarding revenue, operating income and other important information, see Note 21 Business Segment Information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LCD Segment</w:t>
      </w:r>
    </w:p>
    <w:p>
      <w:pPr>
        <w:spacing w:after="0" w:line="2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LCD is an independent clinical laboratory business. It offers a comprehensive menu of frequently requested and specialty testing through an integrated network of primary and specialty laboratories across the U.S. This network is supported by a sophisticated information technology system, with more than 65,000 electronic interfaces to deliver test results, nimble and efficient logistics, and local labs offering rapid response testing. The Company also provides patient access points, strategically and conveniently located throughout the U.S., including nearly 2,000 PSCs operated by the Company and more than 6,000 in-office phlebotomists who are located in customer offices and facilities. 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 testing, wellness testing, toxicology testing, pain management testing, and medical drug monitoring. LCD offers an expansive test menu including a wide range of clinical, anatomic pathology, genetic and genomic tests, and regularly adds new tests and improves the methodology of existing tests to enhance patient care.</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With the introduction of Pixel by LabCorp in 2018, the Company also offers consumer-initiated wellness testing.</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Through the dedicated effort of approximately 39,000 employees, LCD typically processes tests for more than 3 million patient encounters each week and has laboratory locations throughout the U.S. and other countries, including Canada.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Testing Industry</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It is estimated that although laboratory services account for less than 3.0% of total U.S. healthcare spending (and approximately 1.0% of Medicare expenditures), the results of those tests impact a majority of all clinical decisions regarding a patient's care.</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Laboratory tests and procedures are used to assist in the diagnosis, monitoring and treatment of diseases and medical conditions through the examination of substances in blood, urine, tissues and other specimen types. The results of such tests can help in the evaluation of health, the detection of conditions or pathogens and the selection of appropriate therapies. Clinical laboratory testing is generally categorized as either clinical pathology testing, which is performed on body fluids including blood, or anatomical pathology testing, in which a pathologist examines histologic (i.e., tissue) or cytologic (i.e., human cells) samples. Clinical and anatomical pathology procedures are frequently ordered as part of regular healthcare office visits and hospital admissions in connection with patient care. Certain of these tests and procedures are used in the diagnosis and management of a wide variety of medical conditions such as cancer, infectious disease, endocrine disorders, cardiac disorders and genetic disease.</w:t>
      </w:r>
    </w:p>
    <w:p>
      <w:pPr>
        <w:spacing w:after="0" w:line="8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believes that in 2019, the U.S. clinical laboratory testing industry generated revenues of approximately $80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U.S. Department of Health and Human Services (HHS) has estimated that in 2019 there were approximately 9,000 hospital-based laboratories, more than 212,000 physician-office laboratories and approximately 6,500 independent clinical laboratories in the U.S. LCD competes with all of those laboratories.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the selection of a laboratory is primarily based on the following factors:</w:t>
      </w:r>
    </w:p>
    <w:p>
      <w:pPr>
        <w:spacing w:after="0" w:line="13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Quality, timeliness and consistency in reporting test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Service capability and convenience;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it competes favorably in all of these areas.</w:t>
      </w:r>
    </w:p>
    <w:p>
      <w:pPr>
        <w:spacing w:after="0" w:line="1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believes that consolidation in the clinical laboratory testing business will continue. In addition, LCD believes that it and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large, integrated service networks. In addition, legal restrictions on physician referrals and physician ownership of laboratories, as well as ongoing regulation of laboratories, are expected to continue to contribute to the ongoing consolidation of the industry.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Operations and Productivity</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has a network of PSCs offering specimen collection services, phlebotomists placed at a customer location, branches, rapid response (STAT) laboratories, primary testing laboratories, and specialty testing laboratories. A number of LCD's regional and specialty laboratories hold ISO 15189 certification, providing customers with the assurance of quality that comes with this rigorous global standard.</w:t>
      </w:r>
    </w:p>
    <w:p>
      <w:pPr>
        <w:spacing w:after="0" w:line="20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Generally, a PSC is a facility maintained by LCD to serve patients. The PSC staff collects specimens for testing as requested by the physician. PSC staff also perform specimen preparation to produce laboratory-ready samples that can be tested upon receipt by the testing laboratory, expediting the delivery of test results. A significant portion of patient specimens are collected by the customer's staff at its office or facility, or in some cases, by an LCD phlebotomist who has been placed in the customer location for the specific purpose of collecting and processing specimens to be tested by LCD.</w:t>
      </w:r>
    </w:p>
    <w:p>
      <w:pPr>
        <w:spacing w:after="0" w:line="19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The Company has developed a comprehensive and nimble supply chain that efficiently moves specimens from the point of collection to the testing laboratory. Extending across the entire life cycle of a patient sample, from sample collection to the delivery of the test result, the LCD supply chain leverages optimized logistics, specimen intake, tracking, and processing procedures that minimize errors and expedite the performance of testing and delivery of results. Specimens collected at PSCs and at customer locations are picked up principally by LCD's in-house courier system and delivered to a branch or directly to one of LCD's laboratories for testing. A branch is a regional facility which serves as a logistics hub, collecting specimens in a specific geographic region for shipment to a primary or specialty laboratory for testing, and is also frequently used as a base for sales and distribution staff. STAT laboratories, which may be co-located with a branch or a PSC, perform critical testing for nearby customers, with results typically delivered within 2-3 hours of receipt of the specimen. Primary testing laboratories perform frequently requested testing on a large scale. Specialty testing laboratories perform one or more types of specialty and esoteric testing.</w:t>
      </w:r>
    </w:p>
    <w:p>
      <w:pPr>
        <w:spacing w:after="0" w:line="22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Each specimen and the associated test order is checked for completeness and given a unique identification number. The unique identification number assigned to each specimen associates the results to the appropriate patient. Test orders, including patient demographics, ordering physician information, specific testing requested, a specimen inventory, and billing information are entered into LCD's systems electronically or manually depending on the method of receipt and the preferences of the ordering physician. Most of LCD's automated testing equipment is connected to its information systems, and test results are entered electronically or manually depending on the test type and equipment involved.</w:t>
      </w:r>
    </w:p>
    <w:p>
      <w:pPr>
        <w:spacing w:after="0" w:line="200" w:lineRule="exact"/>
        <w:rPr>
          <w:sz w:val="20"/>
          <w:szCs w:val="20"/>
          <w:color w:val="auto"/>
        </w:rPr>
      </w:pPr>
    </w:p>
    <w:p>
      <w:pPr>
        <w:jc w:val="both"/>
        <w:ind w:firstLine="270"/>
        <w:spacing w:after="0" w:line="246" w:lineRule="auto"/>
        <w:rPr>
          <w:sz w:val="20"/>
          <w:szCs w:val="20"/>
          <w:color w:val="auto"/>
        </w:rPr>
      </w:pPr>
      <w:r>
        <w:rPr>
          <w:rFonts w:ascii="Arial" w:cs="Arial" w:eastAsia="Arial" w:hAnsi="Arial"/>
          <w:sz w:val="17"/>
          <w:szCs w:val="17"/>
          <w:color w:val="auto"/>
        </w:rPr>
        <w:t>Most specimens are picked up from the customer's location by late afternoon or early evening and delivered to the testing laboratory by late evening on the day of collection or overnight. Test results are, in most cases, electronically delivered to the physician via electronic medical record interfaces, the LabCorp Link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platform, smart printers, mobile, or other digital platforms. The Company makes test results available directly to patients through its LabCorp | Patient mobile app and online tool, and by enabling access to test results through Health Records on iPhone.</w:t>
      </w:r>
    </w:p>
    <w:p>
      <w:pPr>
        <w:spacing w:after="0" w:line="22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LCD remains focused on improving quality and productivity while lowering costs throughout all phases of its operations, and LCD's commitment to technology, automation, process optimization, and facility rationalization initiatives support the Company's commitment to continuous improvement and elimination of waste. As part of an ongoing commitment to be an efficient and high value provider of laboratory services, between 2015 and 2017, LCD executed the first phase of a comprehensive business process improvement initiative, referred to as LaunchPad, to reengineer its systems and processes to create a sustainable and more efficient business model, and to improve the experience of all stakeholders. The Company achieved goals for that initial phase of LaunchPad of delivering both short- and long-term savings, and implementing system and process improvements that will continue to yield benefits for the foreseeable future. In late 2018, the Company began phase II of LaunchPad for LCD. The Company is on track for LCD’s LaunchPad phase II initiative to deliver approximately $200.0 million in net savings by the end of 2021, while incurring approximately $40.0 million in one-time implementation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Services</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offers a growing menu of nearly 5,000 tests. Several hundred of those tests are used in general patient care by physicians to establish or support a diagnosis, to monitor treatment or to search for an otherwise undiagnosed condition. The most frequently requested tests include blood chemistry analyses, urinalyses, blood cell counts, thyroid tests, Pap tests, hemoglobin A1C, prostate-specific antigen (PSA), tests for sexually-transmitted diseases (e.g. chlamydia, gonorrhea, trichomoniasis and human immunodeficiency virus (HIV)), hepatitis C (HCV), tests, vitamin D, microbiology cultures and procedures, and alcohol and other substance-abuse tests. LCD performs this core group of tests in its major laboratories using sophisticated instruments, with most results reported within 24 hours or less.</w:t>
      </w:r>
    </w:p>
    <w:p>
      <w:pPr>
        <w:spacing w:after="0" w:line="22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LCD provides a comprehensive range of specialty testing services in the areas of women's health, allergy, diagnostic genetics, cardiovascular disease, infectious disease, endocrinology, oncology, coagulation, pharmacogenetics, toxicology, and medical drug monitoring. LCD also performs a range of other testing services, including parentage and occupational testing and wellness testing for employers.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LCD’s Specialty Testing Group performs esoteric testing, cancer diagnostics and other complex procedures. The Specialty Testing Group offers advanced methods and access to scientific expertise and consultation in the following disciplines:</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Anatomic Pathology/Oncology. </w:t>
      </w:r>
      <w:r>
        <w:rPr>
          <w:rFonts w:ascii="Arial" w:cs="Arial" w:eastAsia="Arial" w:hAnsi="Arial"/>
          <w:sz w:val="17"/>
          <w:szCs w:val="17"/>
          <w:color w:val="auto"/>
        </w:rPr>
        <w:t>LCD offers advanced comprehensive tissue analysis, including immunohistochemistry, (IHC), cancer cytogenetics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fluorescence in situ hybridization (FISH), through its Dianon Pathology and Integrated Oncology specialty testing laboratories. Applications for molecular diagnostics continue to increase in oncology for leukemia analysis and solid tumor assessment. In cancers such as colon and lung cancer, assays that analyze genetic mutations can help guide appropriate therapy choices for a given patient. Through the combined expertise of LCD and CDD, the Company is a recognized leader in the development and introduction of companion and complementary diagnostics, which are becoming increasingly important in the treatment of cancer with new, targeted therapies for which only certain patients may be eligible, or which may provide greater or lesser benefits to certain patients, based on their individual genetic makeup.</w:t>
      </w:r>
    </w:p>
    <w:p>
      <w:pPr>
        <w:spacing w:after="0" w:line="2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w:t>
      </w:r>
      <w:r>
        <w:rPr>
          <w:rFonts w:ascii="Arial" w:cs="Arial" w:eastAsia="Arial" w:hAnsi="Arial"/>
          <w:sz w:val="18"/>
          <w:szCs w:val="18"/>
          <w:color w:val="auto"/>
        </w:rPr>
        <w:t>LCD’s cardiovascular menu includes cholesterol tests, expanded lipid profiles, a metabolic syndrome profile and tests for heart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thrombosis and stroke. LCD also offers complete testing for monitoring disease progression and therapy response, including its Cardiovascular Disease Surveillance portfolio to help guide treatment and monitoring decisions.</w:t>
      </w:r>
    </w:p>
    <w:p>
      <w:pPr>
        <w:spacing w:after="0" w:line="208"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Coagulation. </w:t>
      </w:r>
      <w:r>
        <w:rPr>
          <w:rFonts w:ascii="Arial" w:cs="Arial" w:eastAsia="Arial" w:hAnsi="Arial"/>
          <w:sz w:val="18"/>
          <w:szCs w:val="18"/>
          <w:color w:val="auto"/>
        </w:rPr>
        <w:t>LCD offers an extensive menu of tests for hemostasis and thrombosis, including bleeding profiles and screening tests, factor analysis,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thrombin generation markers, and thrombotic risk evaluation. LCD also performs testing in support of clinical trials largely for therapies to treat hemophilia.</w:t>
      </w:r>
    </w:p>
    <w:p>
      <w:pPr>
        <w:spacing w:after="0" w:line="20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Diagnostic Genetics. </w:t>
      </w:r>
      <w:r>
        <w:rPr>
          <w:rFonts w:ascii="Arial" w:cs="Arial" w:eastAsia="Arial" w:hAnsi="Arial"/>
          <w:sz w:val="18"/>
          <w:szCs w:val="18"/>
          <w:color w:val="auto"/>
        </w:rPr>
        <w:t>LCD offers cytogenetic, molecular cytogenetic, biochemical and molecular genetic tests. The biochemical genetics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variety of prenatal screening options, including integrated and sequential prenatal assays and non-invasive prenatal testing (NIPT) for more sensitive and earlier assessment of risk for multiple fetal chromosomal aneuploidies, such as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LCD provides the most comprehensive genetic test menu in the industry, as well as an experienced team of genetic counselors and medical geneticists to provide patients and their physicians with analysis, assessment and interpretation of genetic test results to help optimize patient decisions and outcomes.</w:t>
      </w:r>
    </w:p>
    <w:p>
      <w:pPr>
        <w:spacing w:after="0" w:line="2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Endocrinology. </w:t>
      </w:r>
      <w:r>
        <w:rPr>
          <w:rFonts w:ascii="Arial" w:cs="Arial" w:eastAsia="Arial" w:hAnsi="Arial"/>
          <w:sz w:val="18"/>
          <w:szCs w:val="18"/>
          <w:color w:val="auto"/>
        </w:rPr>
        <w:t>LCD is a leading provider of advanced hormone/steroid testing, including comprehensive services for the endocrine specialist. LCD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Additionally, LCD offers endocrine-related tests for genetic conditions including congenital adrenal hyperplasia, short stature, and thyroid cancer, along with providing extensive age- and gender-related reference intervals for those tests.</w:t>
      </w:r>
    </w:p>
    <w:p>
      <w:pPr>
        <w:spacing w:after="0" w:line="211" w:lineRule="exact"/>
        <w:rPr>
          <w:sz w:val="20"/>
          <w:szCs w:val="20"/>
          <w:color w:val="auto"/>
        </w:rPr>
      </w:pPr>
    </w:p>
    <w:p>
      <w:pPr>
        <w:jc w:val="both"/>
        <w:ind w:left="340"/>
        <w:spacing w:after="0" w:line="231" w:lineRule="auto"/>
        <w:rPr>
          <w:sz w:val="20"/>
          <w:szCs w:val="20"/>
          <w:color w:val="auto"/>
        </w:rPr>
      </w:pPr>
      <w:r>
        <w:rPr>
          <w:rFonts w:ascii="Arial" w:cs="Arial" w:eastAsia="Arial" w:hAnsi="Arial"/>
          <w:sz w:val="17"/>
          <w:szCs w:val="17"/>
          <w:b w:val="1"/>
          <w:bCs w:val="1"/>
          <w:i w:val="1"/>
          <w:iCs w:val="1"/>
          <w:color w:val="auto"/>
        </w:rPr>
        <w:t>Infectious Disease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complete HIV testing services, including viral load measurements, genotyping and phenotyping, and host genetic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that are important tools in managing and treating HIV infections. The addition of resistance tests, including PhenoSense</w:t>
      </w:r>
      <w:r>
        <w:rPr>
          <w:rFonts w:ascii="Arial" w:cs="Arial" w:eastAsia="Arial" w:hAnsi="Arial"/>
          <w:sz w:val="24"/>
          <w:szCs w:val="24"/>
          <w:color w:val="auto"/>
          <w:vertAlign w:val="superscript"/>
        </w:rPr>
        <w:t>®</w:t>
      </w:r>
      <w:r>
        <w:rPr>
          <w:rFonts w:ascii="Arial" w:cs="Arial" w:eastAsia="Arial" w:hAnsi="Arial"/>
          <w:sz w:val="17"/>
          <w:szCs w:val="17"/>
          <w:color w:val="auto"/>
        </w:rPr>
        <w:t>, PhenoSenseGT</w:t>
      </w:r>
      <w:r>
        <w:rPr>
          <w:rFonts w:ascii="Arial" w:cs="Arial" w:eastAsia="Arial" w:hAnsi="Arial"/>
          <w:sz w:val="24"/>
          <w:szCs w:val="24"/>
          <w:color w:val="auto"/>
          <w:vertAlign w:val="superscript"/>
        </w:rPr>
        <w:t>®</w:t>
      </w:r>
      <w:r>
        <w:rPr>
          <w:rFonts w:ascii="Arial" w:cs="Arial" w:eastAsia="Arial" w:hAnsi="Arial"/>
          <w:sz w:val="17"/>
          <w:szCs w:val="17"/>
          <w:color w:val="auto"/>
        </w:rPr>
        <w:t>, Trofile</w:t>
      </w:r>
      <w:r>
        <w:rPr>
          <w:rFonts w:ascii="Arial" w:cs="Arial" w:eastAsia="Arial" w:hAnsi="Arial"/>
          <w:sz w:val="24"/>
          <w:szCs w:val="24"/>
          <w:color w:val="auto"/>
          <w:vertAlign w:val="superscript"/>
        </w:rPr>
        <w:t>®</w:t>
      </w:r>
      <w:r>
        <w:rPr>
          <w:rFonts w:ascii="Arial" w:cs="Arial" w:eastAsia="Arial" w:hAnsi="Arial"/>
          <w:sz w:val="17"/>
          <w:szCs w:val="17"/>
          <w:color w:val="auto"/>
        </w:rPr>
        <w:t>, and GenoSure PRIme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complements the existing HIV GenoSure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assay and provides LCD with an industry-leading, comprehensive portfolio of HIV resistance testing services. LCD also provides extensive testing services for HCV infections, including both viral load determinations and strain genotyping and host genetic factors. LCD continues to develop molecular assays for infectious disease.</w:t>
      </w:r>
    </w:p>
    <w:p>
      <w:pPr>
        <w:spacing w:after="0" w:line="232" w:lineRule="exact"/>
        <w:rPr>
          <w:sz w:val="20"/>
          <w:szCs w:val="20"/>
          <w:color w:val="auto"/>
        </w:rPr>
      </w:pPr>
    </w:p>
    <w:p>
      <w:pPr>
        <w:jc w:val="both"/>
        <w:ind w:left="340"/>
        <w:spacing w:after="0" w:line="239" w:lineRule="auto"/>
        <w:rPr>
          <w:sz w:val="20"/>
          <w:szCs w:val="20"/>
          <w:color w:val="auto"/>
        </w:rPr>
      </w:pPr>
      <w:r>
        <w:rPr>
          <w:rFonts w:ascii="Arial" w:cs="Arial" w:eastAsia="Arial" w:hAnsi="Arial"/>
          <w:sz w:val="17"/>
          <w:szCs w:val="17"/>
          <w:b w:val="1"/>
          <w:bCs w:val="1"/>
          <w:i w:val="1"/>
          <w:iCs w:val="1"/>
          <w:color w:val="auto"/>
        </w:rPr>
        <w:t xml:space="preserve">Women's Health. </w:t>
      </w:r>
      <w:r>
        <w:rPr>
          <w:rFonts w:ascii="Arial" w:cs="Arial" w:eastAsia="Arial" w:hAnsi="Arial"/>
          <w:sz w:val="17"/>
          <w:szCs w:val="17"/>
          <w:color w:val="auto"/>
        </w:rPr>
        <w:t>LCD offers a comprehensive menu of women's health testing. A key feature of this menu is the industry's leading suite of NIPT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MaterniT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GENOME, a fully validated genome-wide NIPT test, reflecting the Company's deep prenatal genetics capabilities. Other LCD testing options for women's health include the NuSwab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portfolio, featuring high-quality, convenient single-swab tests for common infections of the genital tract; an innovative age-based test protocol for cervical cancer and sexually-transmitted disease screening; liquid-based Pap testing with image-guided cervical cytology for improved cervical cancer detection; and out-of-the-vial Pap testing with options for human papillomavirus (HPV). LCD also offers tests that utilize the latest technical innovations for the full range of reproductive care, including maternal serum screening, prenatal diagnostics, ethnicity carrier screening, testing for causes of infertility or miscarriage as well as postnatal testing services.</w:t>
      </w:r>
    </w:p>
    <w:p>
      <w:pPr>
        <w:spacing w:after="0" w:line="2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Pharmacogenetics. </w:t>
      </w:r>
      <w:r>
        <w:rPr>
          <w:rFonts w:ascii="Arial" w:cs="Arial" w:eastAsia="Arial" w:hAnsi="Arial"/>
          <w:sz w:val="18"/>
          <w:szCs w:val="18"/>
          <w:color w:val="auto"/>
        </w:rPr>
        <w:t>LCD provides access to the latest tests in the emerging field of pharmacogenetics. These tests can help physicians understand how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metabolizes certain drugs, allowing them to select the most appropriate therapies or adjust dosing.</w:t>
      </w:r>
    </w:p>
    <w:p>
      <w:pPr>
        <w:spacing w:after="0" w:line="193"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i w:val="1"/>
          <w:iCs w:val="1"/>
          <w:color w:val="auto"/>
        </w:rPr>
        <w:t>Parentage and Donor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forensic testing used in connection with parentage evaluation services that assist in determining parentage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child support enforcement proceedings and determining genetic relationships for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immigration purposes. Parentage testing involves the evaluation of immunological and genetic markers in specimens obtained from the child, the mother and the alleged or putative father. LCD also provides testing services in reconstruction cases, which assist in determining parentage without the presence of the parent in question. Additionally, LCD provides human leukocyte antigen testing to match organ and tissue transplant recipients with compatible donors.</w:t>
      </w:r>
    </w:p>
    <w:p>
      <w:pPr>
        <w:spacing w:after="0" w:line="210"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i w:val="1"/>
          <w:iCs w:val="1"/>
          <w:color w:val="auto"/>
        </w:rPr>
        <w:t>Occupational Testing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testing services for the detection of drug and alcohol use for private and government customers.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testing services are designed to produce forensic quality test results that satisfy the rigorous requirements of regulated and non-regulated workplace drug testing programs. Additionally, LCD provides employee wellness screenings comprised of biometric measurements and diagnostic tests to assist in the detection of health risks including cardiovascular disease and diabetes. LCD also provides medical drug monitoring tests that detect common pain medications and illicit drugs to assist physicians with assessing the full scope of a patient’s drug use.</w:t>
      </w:r>
    </w:p>
    <w:p>
      <w:pPr>
        <w:spacing w:after="0" w:line="78" w:lineRule="exact"/>
        <w:rPr>
          <w:sz w:val="20"/>
          <w:szCs w:val="20"/>
          <w:color w:val="auto"/>
        </w:rPr>
      </w:pPr>
    </w:p>
    <w:p>
      <w:pPr>
        <w:jc w:val="both"/>
        <w:ind w:left="340" w:hanging="26"/>
        <w:spacing w:after="0" w:line="272" w:lineRule="auto"/>
        <w:rPr>
          <w:sz w:val="20"/>
          <w:szCs w:val="20"/>
          <w:color w:val="auto"/>
        </w:rPr>
      </w:pPr>
      <w:r>
        <w:rPr>
          <w:rFonts w:ascii="Arial" w:cs="Arial" w:eastAsia="Arial" w:hAnsi="Arial"/>
          <w:sz w:val="17"/>
          <w:szCs w:val="17"/>
          <w:b w:val="1"/>
          <w:bCs w:val="1"/>
          <w:i w:val="1"/>
          <w:iCs w:val="1"/>
          <w:color w:val="auto"/>
        </w:rPr>
        <w:t>Medical Drug Monitoring Services</w:t>
      </w:r>
      <w:r>
        <w:rPr>
          <w:rFonts w:ascii="Arial" w:cs="Arial" w:eastAsia="Arial" w:hAnsi="Arial"/>
          <w:sz w:val="17"/>
          <w:szCs w:val="17"/>
          <w:color w:val="auto"/>
        </w:rPr>
        <w:t>. Medical drug monitoring is laboratory testing that monitors patients for the use of prescription pain medications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controlled substances. These testing services are designed to provide physicians with information relevant to the treatment of patients who are prescribed controlled substances, including opioid pain medications, antianxiety medications, stimulants, and medications prescribed in medication-assisted treatment programs. This testing can help physicians identify patients who are not taking their prescribed doses, which could be an indication that the drugs are being diverted elsewhere, and also to identify patients who may be supplementing their prescribed medication with other, non-prescribed substances. LCD offers broad choice in medical drug monitoring test options. LCD testing may assist in identifying patients who may benefit from greater caution and increased monitoring or interventions when risk factors are identified.</w:t>
      </w:r>
    </w:p>
    <w:p>
      <w:pPr>
        <w:spacing w:after="0" w:line="1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Chronic Disease Programs. </w:t>
      </w:r>
      <w:r>
        <w:rPr>
          <w:rFonts w:ascii="Arial" w:cs="Arial" w:eastAsia="Arial" w:hAnsi="Arial"/>
          <w:sz w:val="18"/>
          <w:szCs w:val="18"/>
          <w:color w:val="auto"/>
        </w:rPr>
        <w:t>LCD uses a programmatic approach to the comprehensive evaluation and treatment of chronic diseases, including chronic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kidney disease, cardiovascular disease, metabolic bone disease and diabetes, and it offers CDS reports to both physicians and patients. LCD believes these chronic disease programs represent potential significant savings to the healthcare system by facilitating more effective management of these chronic diseases.</w:t>
      </w: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Kidney Stone Prevention. </w:t>
      </w:r>
      <w:r>
        <w:rPr>
          <w:rFonts w:ascii="Arial" w:cs="Arial" w:eastAsia="Arial" w:hAnsi="Arial"/>
          <w:sz w:val="18"/>
          <w:szCs w:val="18"/>
          <w:color w:val="auto"/>
        </w:rPr>
        <w:t>LCD provides services to assist physicians and patients to prevent or minimize the formation of kidney stones, a painful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debilitating condition that can also require expensive treatment if kidney stones are formed. Through sophisticated algorithms created by the leading specialists in the field, LCD provides patient-specific treatment recommendations and other clinical and patient support for those who have a history of kidney stones or are identified as likely to develop kidney stones.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New Tests</w:t>
      </w:r>
    </w:p>
    <w:p>
      <w:pPr>
        <w:spacing w:after="0" w:line="25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 and esoteric testing in 2019. As science continues to advance, LCD expects new testing technologies to emerge and, therefore, intends to continue to invest in advanced testing capabilities so that it can remain on the forefront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customers. These capabilities are important in the retention and growth of business.</w:t>
      </w:r>
    </w:p>
    <w:p>
      <w:pPr>
        <w:spacing w:after="0" w:line="206"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7"/>
          <w:szCs w:val="17"/>
          <w:color w:val="auto"/>
        </w:rPr>
        <w:t>In 2019, LCD continued its emphasis on scientific innovation and leadership with the introduction of significant test menu and automation enhancements and by launching more than 100 new tests. LCD is focused on the expansion of existing programs in molecular diagnostics as well as the introduction of new assays and assay platforms through licensing partnerships, acquisitions and internal development. The Company's commitment to the scientific advancement in the development and assessment of new diagnostics and therapeutics is evidenced by producing more than 600 scientific studies, articles, and presentations at scientific and industry meetings, along with regular presentations in academic medical center grand rounds and seminars, in 2019. Among the studies published was the largest to date on the performance of cell-free DNA screening of multifetal pregnancies, finding that LCD's MaterniT21</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PLUS test provided reliable results that compare favorably to those for singleton pregnancies.</w:t>
      </w:r>
    </w:p>
    <w:p>
      <w:pPr>
        <w:spacing w:after="0" w:line="1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6"/>
          <w:szCs w:val="16"/>
          <w:color w:val="auto"/>
        </w:rPr>
        <w:t>Examples of noteworthy new tests and services introduced by LCD in 2019 include companion diagnostics for bladder cancer and breast cancer, and expansion of its therapeutic drug monitoring portfolio to support personalized treatment of patients with certain inflammatory diseases, such as rheumatoid arthritis and Crohn’s disease. LCD introduced a significant expansion to its testing for inherited genetic disorders available through the Inheritest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portfolio of tests. The Company also acquired MNG laboratories in 2019, which greatly enhanced the scope of its specialized test offerings for neurology and brought added capabilities in next-generation sequencing (NGS) testing. LCD extended its exclusive distribution agreement with OmniSeq</w:t>
      </w:r>
      <w:r>
        <w:rPr>
          <w:rFonts w:ascii="Arial" w:cs="Arial" w:eastAsia="Arial" w:hAnsi="Arial"/>
          <w:sz w:val="22"/>
          <w:szCs w:val="22"/>
          <w:color w:val="auto"/>
          <w:vertAlign w:val="superscript"/>
        </w:rPr>
        <w:t>®</w:t>
      </w:r>
      <w:r>
        <w:rPr>
          <w:rFonts w:ascii="Arial" w:cs="Arial" w:eastAsia="Arial" w:hAnsi="Arial"/>
          <w:sz w:val="16"/>
          <w:szCs w:val="16"/>
          <w:color w:val="auto"/>
        </w:rPr>
        <w:t>, whose NGS-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assays provide comprehensive genomic and immune profiling to enable oncologists to select the most appropriate therapies or clinical trials for each patient.</w:t>
      </w:r>
    </w:p>
    <w:p>
      <w:pPr>
        <w:spacing w:after="0" w:line="7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continues its collaborations with university, hospital and academic institutions, such as Cedars-Sinai Medical Center, the Centre for Addiction and Mental Health, Cincinnati Children's Hospital Medical Center, Duke University, Johns Hopkins University, the Medical College of Wisconsin, The Mount Sinai Hospital (New York), Mount Sinai Hospital (Toronto), Roswell Park Comprehensive Cancer Center, the University of Tennessee, and Virginia Commonwealth University, to license and commercialize new diagnostic tests.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Technology-Enabled Solutions</w:t>
      </w:r>
    </w:p>
    <w:p>
      <w:pPr>
        <w:spacing w:after="0" w:line="25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LCD’s technology-enabled solutions include an innovative and proprietary suite of applications to enable patients, healthcare providers, health systems, accountable care organizations (ACOs), and insurers with convenient and secure access to LCD’s data and services. These industry-leading solutions are designed to improve health and improve lives by providing a better laboratory experience for physicians and patients, and ultimately improving the delivery of care.</w:t>
      </w:r>
    </w:p>
    <w:p>
      <w:pPr>
        <w:spacing w:after="0" w:line="214" w:lineRule="exact"/>
        <w:rPr>
          <w:sz w:val="20"/>
          <w:szCs w:val="20"/>
          <w:color w:val="auto"/>
        </w:rPr>
      </w:pPr>
    </w:p>
    <w:p>
      <w:pPr>
        <w:jc w:val="both"/>
        <w:ind w:right="20" w:firstLine="270"/>
        <w:spacing w:after="0" w:line="216" w:lineRule="auto"/>
        <w:rPr>
          <w:sz w:val="20"/>
          <w:szCs w:val="20"/>
          <w:color w:val="auto"/>
        </w:rPr>
      </w:pPr>
      <w:r>
        <w:rPr>
          <w:rFonts w:ascii="Arial" w:cs="Arial" w:eastAsia="Arial" w:hAnsi="Arial"/>
          <w:sz w:val="18"/>
          <w:szCs w:val="18"/>
          <w:color w:val="auto"/>
        </w:rPr>
        <w:t>LCD's centralized and proprietary LabCorp | Link</w:t>
      </w:r>
      <w:r>
        <w:rPr>
          <w:rFonts w:ascii="Arial" w:cs="Arial" w:eastAsia="Arial" w:hAnsi="Arial"/>
          <w:sz w:val="25"/>
          <w:szCs w:val="25"/>
          <w:color w:val="auto"/>
          <w:vertAlign w:val="superscript"/>
        </w:rPr>
        <w:t>TM</w:t>
      </w:r>
      <w:r>
        <w:rPr>
          <w:rFonts w:ascii="Arial" w:cs="Arial" w:eastAsia="Arial" w:hAnsi="Arial"/>
          <w:sz w:val="18"/>
          <w:szCs w:val="18"/>
          <w:color w:val="auto"/>
        </w:rPr>
        <w:t>, which focuses on physicians and health systems, is a suite of capabilities that enhance the customer experience and provide an end-to-end lab solution. These assets and functionalities include:</w:t>
      </w:r>
    </w:p>
    <w:p>
      <w:pPr>
        <w:spacing w:after="0" w:line="109" w:lineRule="exact"/>
        <w:rPr>
          <w:sz w:val="20"/>
          <w:szCs w:val="20"/>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physician portal optimized for web and mobile devices;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Express electronic ordering for essentially all of LCD's brands and services;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Integrated results viewing and enhanced reports;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Lab analytics that provide one-click trending of patient, test and population data;</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CDS tools at the point of testing and resulting;</w:t>
      </w:r>
    </w:p>
    <w:p>
      <w:pPr>
        <w:spacing w:after="0" w:line="9" w:lineRule="exact"/>
        <w:rPr>
          <w:rFonts w:ascii="Arial" w:cs="Arial" w:eastAsia="Arial" w:hAnsi="Arial"/>
          <w:sz w:val="18"/>
          <w:szCs w:val="18"/>
          <w:color w:val="auto"/>
        </w:rPr>
      </w:pPr>
    </w:p>
    <w:p>
      <w:pPr>
        <w:ind w:left="660" w:right="760" w:hanging="40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AccuDraw, which provides graphical, step-by-step guidance to help improve accuracy, workflow and turnaround time in the collection and processing of specimens at the point of collection;</w:t>
      </w: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Services-oriented architecture with rules-based engines, content aggregation and seamless integration with practice workflow; and</w:t>
      </w:r>
    </w:p>
    <w:p>
      <w:pPr>
        <w:spacing w:after="0" w:line="9" w:lineRule="exact"/>
        <w:rPr>
          <w:rFonts w:ascii="Arial" w:cs="Arial" w:eastAsia="Arial" w:hAnsi="Arial"/>
          <w:sz w:val="18"/>
          <w:szCs w:val="18"/>
          <w:color w:val="auto"/>
        </w:rPr>
      </w:pPr>
    </w:p>
    <w:p>
      <w:pPr>
        <w:jc w:val="both"/>
        <w:ind w:left="660" w:right="20" w:hanging="409"/>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installable mobile app available through the Apple and Google app stores that enables healthcare providers to receive alerts that test results are available, view test results, and access test information and contact information for LCD experts from their own mobile device at any time or location.</w:t>
      </w:r>
    </w:p>
    <w:p>
      <w:pPr>
        <w:spacing w:after="0" w:line="9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LCD’s centralized and proprietary LabCorp | Patient is a suite of web and mobile applications that enhances the patient's experience. These assets and functionalities include:</w:t>
      </w:r>
    </w:p>
    <w:p>
      <w:pPr>
        <w:spacing w:after="0" w:line="76" w:lineRule="exact"/>
        <w:rPr>
          <w:sz w:val="20"/>
          <w:szCs w:val="20"/>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patient web application optimized for use on desktop computers and mobile devices;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installable mobile app available through the Apple Store and Google app stores;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Biometric ID login support;</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results viewing and patient education materials;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Online appointment scheduling;</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invoice presentment and payment;</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online patient cost estimator for select genetic tests;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option to receive information about clinical trials.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LCD has also fully deployed two patient self-service products across all PSCs nationwide.</w:t>
      </w:r>
    </w:p>
    <w:p>
      <w:pPr>
        <w:spacing w:after="0" w:line="19" w:lineRule="exact"/>
        <w:rPr>
          <w:sz w:val="20"/>
          <w:szCs w:val="20"/>
          <w:color w:val="auto"/>
        </w:rPr>
      </w:pPr>
    </w:p>
    <w:p>
      <w:pPr>
        <w:jc w:val="both"/>
        <w:ind w:left="660" w:hanging="409"/>
        <w:spacing w:after="0" w:line="23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LabCorp | PreCheck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a mobile-optimized web application that allows patients to easily schedule a PSC visit in advance and to complete all demographic and insurance entry and verification in advance, to streamline the check-in process when they arrive for service. PreCheck also features a mobile check-in to indicate arrival in the waiting room without having to wait in line for an Express tablet.</w:t>
      </w:r>
    </w:p>
    <w:p>
      <w:pPr>
        <w:spacing w:after="0" w:line="2" w:lineRule="exact"/>
        <w:rPr>
          <w:rFonts w:ascii="Arial" w:cs="Arial" w:eastAsia="Arial" w:hAnsi="Arial"/>
          <w:sz w:val="17"/>
          <w:szCs w:val="17"/>
          <w:color w:val="auto"/>
        </w:rPr>
      </w:pPr>
    </w:p>
    <w:p>
      <w:pPr>
        <w:jc w:val="both"/>
        <w:ind w:left="660" w:hanging="409"/>
        <w:spacing w:after="0" w:line="26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LabCorp | Express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uses tablets in custom enclosures and proprietary software located in PSC waiting rooms to enable patients with or without an appointment to check into the PSC. If they do not already have an appointment, they can find the next available one at that or a nearby PSC. Express is optimized to capture and confirm demographic and insurance information through barcode scanning and OCR technologies, eliminating typing on the screen. During 2018, payment processing was also added to Express, enabling card payments of overdue or current balances.</w:t>
      </w:r>
    </w:p>
    <w:p>
      <w:pPr>
        <w:spacing w:after="0" w:line="9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These solutions are designed to expedite the intake process and improve patient flow at the PSC. Both also provide options to receive testing and appointment notifications via email or text message. These apps have demonstrably increased patient and staff satisfaction. In addition, the notifications may help increase test compliance, and the patient data collected will help accelerate enrollment in LabCorp | Patient and further increase the growing population of patients who may receive information about clinical study opportunities with CDD.</w:t>
      </w:r>
    </w:p>
    <w:p>
      <w:pPr>
        <w:spacing w:after="0" w:line="214" w:lineRule="exact"/>
        <w:rPr>
          <w:sz w:val="20"/>
          <w:szCs w:val="20"/>
          <w:color w:val="auto"/>
        </w:rPr>
      </w:pPr>
    </w:p>
    <w:p>
      <w:pPr>
        <w:jc w:val="both"/>
        <w:ind w:firstLine="270"/>
        <w:spacing w:after="0" w:line="216" w:lineRule="auto"/>
        <w:rPr>
          <w:sz w:val="20"/>
          <w:szCs w:val="20"/>
          <w:color w:val="auto"/>
        </w:rPr>
      </w:pPr>
      <w:r>
        <w:rPr>
          <w:rFonts w:ascii="Arial" w:cs="Arial" w:eastAsia="Arial" w:hAnsi="Arial"/>
          <w:sz w:val="18"/>
          <w:szCs w:val="18"/>
          <w:color w:val="auto"/>
        </w:rPr>
        <w:t>LCD’s centralized and proprietary LabCorp | Payer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enables healthcare insurers and ACOs to obtain test results and quality data through a self-service web application. Results and quality data are increasingly important as the healthcare system focuses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new payment models and the need to deliver better patient outcomes and reduce cost. Over time, this new portal will be expanded to deliver a wide variety of data and analytic value.</w:t>
      </w:r>
    </w:p>
    <w:p>
      <w:pPr>
        <w:spacing w:after="0" w:line="7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2019, LCD delivered nearly 7.0 million enhanced CDS reports for chronic health conditions, including kidney disease, cardiovascular disease, metabolic bone disease and diabetes. LCD’s proprietary CDS reports integrate patient-specific diagnostic information and evidence-based healthcare content to help physicians and patients better manage health. In addition, these decision-support programs promote physician adherence to evidence-based treatment guidelines.</w:t>
      </w:r>
    </w:p>
    <w:p>
      <w:pPr>
        <w:spacing w:after="0" w:line="21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continues to develop new population health analytics programs that provide healthcare business intelligence tools to health systems, physician practices, and ACOs. These tools are intended to assist customers in their compliance and reporting requirements with respect to efficient management of their productivity, quality and patient outcome metrics.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Laboratory Services</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Most testing services are billed to a party other than the physician or other authorized person who ordered the test. A growing portion of revenue is derived from patients in the form of deductibles, coinsurance, copayments, and charges for non-covered tests.</w:t>
      </w:r>
    </w:p>
    <w:p>
      <w:pPr>
        <w:spacing w:after="0" w:line="19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utilizes a centralized billing system in the collection of approximately 95.1% of its domestic revenue (90.5% of consolidated LCD revenue). This system generates bills to LCD customers based on payer type. Client payers (which includes physicians, hospitals, health systems, ACOs, employers and other entities) are typically billed monthly, whereas patient, Medicare, Medicaid, and MCO bills are typically generated daily. Accounts receivable are then monitored by billing personnel and follow-up activities are conducted as necessary.</w:t>
      </w:r>
    </w:p>
    <w:p>
      <w:pPr>
        <w:spacing w:after="0" w:line="21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Revenue is adjusted for price concessions related to negotiated discounts and the anticipated impact of adjustments, denials (Medicare, Medicaid and MCOs), and account write-offs (collection risk). Anticipated write-offs are recorded as an adjustment to revenue and at an amount considered necessary to record the segment's revenue at its net realizable value.</w:t>
      </w:r>
    </w:p>
    <w:p>
      <w:pPr>
        <w:spacing w:after="0" w:line="20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majority of LCD's collection risk is related to accounts receivable from both insured and uninsured patients who are unwilling or unable to pay. In 2019, LCD continued its focus on process, technology innovation and account management initiatives to reduce the negative impact of patient accounts receivable write-offs.</w:t>
      </w:r>
    </w:p>
    <w:p>
      <w:pPr>
        <w:spacing w:after="0" w:line="208"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Non-credit-related issues that slow the billing process, such as missing or incorrect billing information on test requisitions also contribute to a reduction in sales. LCD vigorously attempts to obtain any missing information or rectify any incorrect billing information received from the ordering physician. However, LCD typically performs the requested tests and returns the test results regardless of whether billing information is correct or complete. LCD believes that this experience is similar to that of its primary competitors. LCD continues to focus on process initiatives aimed at reducing the impact of these non-credit-related issues. This is accomplished through ongoing identification of root-cause issues, deploying technology-enabled solutions, training provided to internal and external resources involved in the patient data capture process, and an emphasis on the use of electronic test ordering. Over the last several years, LCD has introduced a series of new technology-enabled solutions to improve the billing and collection process, including insurance eligibility verification and address validation at the time of service in all PSCs, an estimate of out-of-pocket costs for patients presenting at a PSC, and a self-serve platform for physicians to resolve claim issues related to diagnosis denials.</w:t>
      </w:r>
    </w:p>
    <w:p>
      <w:pPr>
        <w:spacing w:after="0" w:line="20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healthcare providers in the province during the year. In 2019, the amount of the Company's capitated revenue derived from the Ontario government-sponsored healthcare plan was CAD 185.8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U.S. Market Changes on the Clinical Laboratory Business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w:t>
      </w:r>
    </w:p>
    <w:p>
      <w:pPr>
        <w:sectPr>
          <w:pgSz w:w="11900" w:h="16838" w:orient="portrait"/>
          <w:cols w:equalWidth="0" w:num="1">
            <w:col w:w="11420"/>
          </w:cols>
          <w:pgMar w:left="240" w:top="125"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administrative requirements. The government also has continued to adjust the Medicare and Medicaid fee schedules at the national and local level, and LCD believes that pressure to reduce government reimbursement will continue.</w:t>
      </w:r>
    </w:p>
    <w:p>
      <w:pPr>
        <w:spacing w:after="0" w:line="197"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Fees for most laboratory services reimbursed by Medicare are established in the Clinical Laboratory Fee Schedule (CLFS) and fees for other testing reimbursed by Medicare, primarily related to pathology, are covered by the Physician Fee Schedule (PFS). During 2019, approximately 11.7% of LCD’s revenue was reimbursed under the CLFS (12.9% in 2018), and approximately 0.6% was reimbursed under the PFS (0.7% in 2018). Over the past several years, LCD has experienced governmental reimbursement reductions as a direct result of the Patient Protection and Affordable Care Act (ACA), the Medicare Access and CHIP Reauthorization Act of 2015 (MACRA), the Achieving a Better Life Experience Act of 2014 (ABLE Act), and PAMA. Payer policy changes have further impacted the reimbursement for LCD. PAMA, which became law on April 1, 2014, and went into effect on January 1, 2018, resulted in a net reduction in reimbursement revenue of approximately $107.0 million in 2019 from all payers affected by the CLFS (approximately $70.0 million in 2018). Unless further implementation of PAMA is delayed or changed, an additional reduction of approximately $90.0 million is expected for 2020, from all payers affected by the CLFS.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2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2019, LCD realized a net reduction of approximately $1.9 million in PFS revenue, driven by reductions in reimbursement for flow cytometry procedures ($1.7 million in 2018). In 2020, LCD anticipates it will realize an additional net reduction of approximately $0.7 million in PFS revenue attributable to continued reductions in reimbursement for flow cytometry procedures.</w:t>
      </w:r>
    </w:p>
    <w:p>
      <w:pPr>
        <w:spacing w:after="0" w:line="208"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Beginning in 2018, under PAMA, CMS set the CLFS using the weighted median of reported private payer prices paid to certain laboratories that receive a majority of their Medicare revenue from the CLFS and PFS and that bill Medicare under their own National Provider Identifier (NPI).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beginning in 2021. Under current law, the second data reporting period for CDLTs (based on data collected in 2019) will occur during the first quarter of 2021, and new CLFS rates for CDLTs will be established based on that data beginning in 2022, subject to the previously described phase-in limits for 2022-2023. The third data reporting period for CDLTs (based on data collected in 2023) will occur during the first quarter of 2024, and new CLFS rates for CDLTs will be established based on that data beginning in 2025. CLFS rates for 2024 and subsequent periods will not be subject to phase-in limits. CLFS rates for Advanced Diagnostic Laboratory Tests (ADLTs) will be updated annually.</w:t>
      </w:r>
    </w:p>
    <w:p>
      <w:pPr>
        <w:spacing w:after="0" w:line="19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w:t>
      </w:r>
    </w:p>
    <w:p>
      <w:pPr>
        <w:spacing w:after="0" w:line="17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final rates published by CMS were based on data reported by only 1% of all laboratories paid by Medicare in 2015, and only 1% of the reported data was from hospital laboratories. Consequently, the American Clinical Laboratory Association (ACLA) filed a federal civil action against HHS for declaratory and injunctive relief on December 11, 2017, arguing that CMS violated the PAMA statute by excluding most of the laboratory market from reporting data on which the rates were based, resulting in rates that do not fairly reflect the private market as the clear language of PAMA requires. On September 21, 2018, the U.S. District Court for the District of Columbia dismissed the action for lack of subject matter jurisdiction, and in December 2018, ACLA filed an appeal. On July 30, 2019, the U.S. Court of Appeals for the District of Columbia reversed the decision and remanded the case to the District Court for a determination of whether the CMS final rule violates the Administrative Procedure Act.</w:t>
      </w:r>
    </w:p>
    <w:p>
      <w:pPr>
        <w:spacing w:after="0" w:line="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November 1, 2018, CMS released its final rule for the 2019 PFS, which included two revisions to the regulatory definition of “applicable laboratory” under PAMA. First, CMS indicated that hospital outreach labs that bill Medicare Part B using bill type 14X will now qualify as applicable laboratories even if they do not bill Medicare Part B using their own NPI, provided they meet other applicable requirements. Second, CMS removed Medicare Advantage (Medicare Part C) revenue from the denominator of the “majority of Medicare revenues” ratio for identifying applicable laboratories.</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 November 2018 report issued by the U.S. Government Accountability Office (GAO) questioned the methodology used by CMS for the new payment rates under PAMA and suggested that implementation of PAMA could lead to significant increases in Medicare expenditures. In January 2019, the U.S. Senate Finance Committee sent a letter to HHS about the GAO report and inquired about the potential cost to taxpayers. ACLA has stated that the GAO’s report reflects inaccurate assumptions and a misunderstanding of standard industry practice for laboratory billing.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ACLA continues to work with Congress on potential legislative reform of PAMA, which if adopted could reduce the negative impact of PAMA as currently implemented by CMS. The Laboratory Access for Beneficiaries (LAB) Act, which was enacted on December 20, 2019, as Section 105 of Division N of H.R. 1865, the Further Consolidated Appropriations Act for Fiscal Year 2020, delayed the next data reporting period for CDLTs under PAMA by one year, from the first quarter of 2020 to the first quarter of 2021. Implementation of new CLFS rates has been delayed from 2021 to 2022, and each subsequent year of data collection, reporting and rate implementation has been delayed by one year to retain a three-year cycle. In addition, the LAB Act requires the Medicare Payment Advisory Commission (MedPAC) to conduct a study and make recommendations to Congress on ways to improve data collection, reporting, and rate setting under PAMA to achieve, in a less burdensome manner, CLFS rates that accurately and fairly reflect private market rates. The Company supports the ongoing efforts to prevent or lessen the negative impact of the changes to the CLFS pursuant to PAMA, and the full impact of those efforts, and what the long-term effect will be on the CLFS rates is not yet known.</w:t>
      </w:r>
    </w:p>
    <w:p>
      <w:pPr>
        <w:spacing w:after="0" w:line="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4, 2016, CMS noted in a final rule implementing MACRA that it intended to apply Merit-Based Incentive Payment System (MIPS) requirements to pathologists practicing in independent laboratories, including LCD. Under this requirement, LCD pathologists would have been required to begin reporting certain quality metrics in 2017 for LCD to avoid negative PFS payment adjustments or to qualify for positive PFS payment adjustments beginning in 2019. ACLA met with CMS on March 9, 2017, regarding implementation of this requirement, which was not proposed in the MACRA proposed rule. CMS clarified that it would not apply MIPS requirements to pathologists practicing in independent laboratories.</w:t>
      </w:r>
    </w:p>
    <w:p>
      <w:pPr>
        <w:spacing w:after="0" w:line="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Further healthcare reform could occur in 2020, including changes to the ACA and Medicare reform, initiatives to address surprise billing and increased price transparency, as well as administrative requirements that may continue to affect coverage, reimbursement, and utilization of laboratory services in ways that are currently unpredictable.</w:t>
      </w:r>
    </w:p>
    <w:p>
      <w:pPr>
        <w:spacing w:after="0" w:line="20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market-based changes have affected and will continue to affect the clinical laboratory business. Reimbursement from commercial payers for diagnostic testing has shifted and will continue to shift away from traditional, fee-for-service models to alternatives, including value-based, bundled pay-for-performance, and other risk-sharing payment models. The growth of the managed care sector and consolidation of MCOs present various challenges and opportunities to LCD and other clinical laboratories.</w:t>
      </w:r>
    </w:p>
    <w:p>
      <w:pPr>
        <w:spacing w:after="0" w:line="2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is a contracted laboratory partner for all of the major national managed care plans, which reinforces the Company's differentiated value proposition to physicians and patients. In May 2018, the Company signed an extension of its long-term agreement with UnitedHealthcare, however, effective January 1, 2019, the Company ceased to be UnitedHealthcare’s exclusive national laboratory in the U.S. The Company also signed an agreement with Aetna in May 2018, under which it became a preferred national laboratory for Aetna, effective January 1, 2019; the Company had previously been in-network for a limited number of Aetna members. In November 2018, the Company also extended its agreement with Horizon Blue Cross Blue Shield of New Jersey. The Company continues to be the exclusive laboratory for Horizon Medicaid members and is an in-network laboratory for all Horizon members, including HMO members; however, the Company is no longer the exclusive capitated laboratory for Horizon HMO Members. These agreements reflect a trend by MCOs away from laboratory exclusivity, and toward opening their networks to additional laboratory providers in order to give their members increased choice.</w:t>
      </w:r>
    </w:p>
    <w:p>
      <w:pPr>
        <w:spacing w:after="0" w:line="193"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The Company also serves many other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For the year ended December 31, 2019, capitated contracts with MCOs accounted for approximately $298.0 million, or 4.3%, of LCD's revenues. LCD's ability to attract and retain MCO customers has become even more important as the impact of various healthcare reform initiatives continues, including expanded health insurance exchanges and ACOs.</w:t>
      </w:r>
    </w:p>
    <w:p>
      <w:pPr>
        <w:spacing w:after="0" w:line="19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w:t>
      </w:r>
    </w:p>
    <w:p>
      <w:pPr>
        <w:spacing w:after="0" w:line="8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Despite the overall negative market changes regarding reimbursement discussed above, LCD believes that the volume of clinical laboratory testing is positively influenced by several factors, including the expansion of Medicaid, managed care, and private insurance exchanges. In addition, LCD believes that increased knowledge of the human genome and continued innovation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 As previously discussed, LCD also believes that it and other large, independent clinical laboratory testing companies will be able to increase their share of the overall clinical laboratory testing market due to a number of market factors, primarily related to a continued drive to improve outcomes and reduce costs across the healthcare system. LCD believes that its enhanced and growing esoteric menu of tests, leading position with companion diagnostics, broad geographic footprint, and operating efficiency provide a strong platform for growth.</w:t>
      </w:r>
    </w:p>
    <w:p>
      <w:pPr>
        <w:spacing w:after="0" w:line="95"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CDD Segment</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CDD provides end-to-end drug development, medical device and companion diagnostic development solutions from early-stage research to clinical development and commercial market access. Its customers comprise biopharmaceutical, medical device and diagnostic companies across the world. With more than 26,000 employees worldwide and a global network of operations, CDD offers deep expertise in early development and clinical trials in each therapeutic area. Through its industry-leading central laboratory business, it supports clinical trial activity in approximately 100 countries, generating more safety and efficacy data to support drug approvals than any other company. CDD collaborated on 85% of the novel drugs approved by the FDA in 2019, including 100% of the novel oncology drugs and 86% of the novel rare and orphan disease drugs. In addition, CDD has been involved in the development of all current top 50 drugs on the market as measured by sales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Industry</w:t>
      </w:r>
    </w:p>
    <w:p>
      <w:pPr>
        <w:spacing w:after="0" w:line="25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8"/>
          <w:szCs w:val="18"/>
          <w:color w:val="auto"/>
        </w:rPr>
        <w:t xml:space="preserve">Drug development services companies like CDD are also referred to as CROs and typically derive substantially all of their revenue from research and development (R&amp;D), as well as marketing expenditures of the biopharmaceutical industry. Outsourcing of R&amp;D services by biopharmaceutical companies to CROs has increased in the past, and is expected to continue increasing in the future. Increasing pressures to improve return on investment, to increase R&amp;D productivity, to stay abreast of scientific advances and to comply with stringent government regulations have all contributed to this outsourcing to CROs. A </w:t>
      </w:r>
      <w:r>
        <w:rPr>
          <w:rFonts w:ascii="Arial" w:cs="Arial" w:eastAsia="Arial" w:hAnsi="Arial"/>
          <w:sz w:val="18"/>
          <w:szCs w:val="18"/>
          <w:color w:val="333333"/>
        </w:rPr>
        <w:t xml:space="preserve">CRO provides biopharmaceutical companies flexibility in aligning resources to demand. </w:t>
      </w:r>
      <w:r>
        <w:rPr>
          <w:rFonts w:ascii="Arial" w:cs="Arial" w:eastAsia="Arial" w:hAnsi="Arial"/>
          <w:sz w:val="18"/>
          <w:szCs w:val="18"/>
          <w:color w:val="000000"/>
        </w:rPr>
        <w:t>In the face of mounting complexity, the investment and amount of</w:t>
      </w:r>
      <w:r>
        <w:rPr>
          <w:rFonts w:ascii="Arial" w:cs="Arial" w:eastAsia="Arial" w:hAnsi="Arial"/>
          <w:sz w:val="18"/>
          <w:szCs w:val="18"/>
          <w:color w:val="333333"/>
        </w:rPr>
        <w:t xml:space="preserve"> </w:t>
      </w:r>
      <w:r>
        <w:rPr>
          <w:rFonts w:ascii="Arial" w:cs="Arial" w:eastAsia="Arial" w:hAnsi="Arial"/>
          <w:sz w:val="18"/>
          <w:szCs w:val="18"/>
          <w:color w:val="000000"/>
        </w:rPr>
        <w:t>time required to develop new products are significant and have been increasing. These trends create opportunities for CDD and other CROs that can help make the development process more efficient.</w:t>
      </w:r>
    </w:p>
    <w:p>
      <w:pPr>
        <w:spacing w:after="0" w:line="2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large CROs with global capabilities. CDD competes against these small and large CROs, as well as in-house departments of biopharmaceutical, medical device and diagnostic companies, and to a lesser extent, selected academic research centers, universities and teaching hospitals.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CDD believes that customers selecting a CRO often consider the following factors, among others:</w:t>
      </w:r>
    </w:p>
    <w:p>
      <w:pPr>
        <w:spacing w:after="0" w:line="171" w:lineRule="exact"/>
        <w:rPr>
          <w:sz w:val="20"/>
          <w:szCs w:val="20"/>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for quality and regulatory compliance;</w:t>
      </w:r>
    </w:p>
    <w:p>
      <w:pPr>
        <w:spacing w:after="0" w:line="23"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timely performance;</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and experience in operations;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 of technology and innovation;</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Specific therapeutic and scientific expertise;</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and analytical capabilities;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 approval and market access services;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recruit patients;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of relationships, including investigator and patient;</w:t>
      </w:r>
    </w:p>
    <w:p>
      <w:pPr>
        <w:spacing w:after="0" w:line="9" w:lineRule="exact"/>
        <w:rPr>
          <w:rFonts w:ascii="Arial" w:cs="Arial" w:eastAsia="Arial" w:hAnsi="Arial"/>
          <w:sz w:val="18"/>
          <w:szCs w:val="18"/>
          <w:color w:val="auto"/>
        </w:rPr>
      </w:pPr>
    </w:p>
    <w:p>
      <w:pPr>
        <w:ind w:left="660" w:right="20" w:hanging="40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 including the recruitment of appropriate and sufficient clinical-trial subjects;</w:t>
      </w: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Size and scale; and</w:t>
      </w:r>
    </w:p>
    <w:p>
      <w:pPr>
        <w:spacing w:after="0" w:line="9" w:lineRule="exact"/>
        <w:rPr>
          <w:rFonts w:ascii="Arial" w:cs="Arial" w:eastAsia="Arial" w:hAnsi="Arial"/>
          <w:sz w:val="18"/>
          <w:szCs w:val="18"/>
          <w:color w:val="auto"/>
        </w:rPr>
      </w:pPr>
    </w:p>
    <w:p>
      <w:pPr>
        <w:ind w:left="720" w:hanging="46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talent.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CDD believes that it competes favorably in all of these areas.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Services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CDD’s preclinical service offerings include lead optimization, analytical services, safety assessment, and chemistry manufacturing and control (CMC) services for development of new drugs, devices, and crop protection/chemical agents. In 2019,</w:t>
      </w:r>
    </w:p>
    <w:p>
      <w:pPr>
        <w:sectPr>
          <w:pgSz w:w="11900" w:h="16838" w:orient="portrait"/>
          <w:cols w:equalWidth="0" w:num="1">
            <w:col w:w="11420"/>
          </w:cols>
          <w:pgMar w:left="240" w:top="125"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CDD expanded its preclinical capabilities and capacity following the acquisition of Envigo's nonclinical contract research services. At the same time, Envigo acquired CDD's research products business. CDD retains access to a full range of high-quality research models and services through its strategic multi-year collaboration with the new Envigo research model and services business. CDD offers solution-based approaches by leveraging highly experienced program development directors and project managers to help guide strategic decisions and manage development in an integrated, streamlined manner across CDD's 16 analytical laboratories and preclinical laboratories in the U.S., the United Kingdom (U.K.), Germany and China.</w:t>
      </w:r>
    </w:p>
    <w:p>
      <w:pPr>
        <w:spacing w:after="0" w:line="200"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Lead Optimization</w:t>
      </w:r>
      <w:r>
        <w:rPr>
          <w:rFonts w:ascii="Arial" w:cs="Arial" w:eastAsia="Arial" w:hAnsi="Arial"/>
          <w:sz w:val="18"/>
          <w:szCs w:val="18"/>
          <w:color w:val="auto"/>
        </w:rPr>
        <w:t>. Lead optimization services are non-regulated experiments designed to connect early discovery activities to regulated pre-clinical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studies. These services include toxicology,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with integrated safety and efficacy capabilities, nonclinical imaging, nonclinical pathology services, pharmacokinetic/toxicokinetic (PK/TK) analysis and immunology services.</w:t>
      </w:r>
    </w:p>
    <w:p>
      <w:pPr>
        <w:spacing w:after="0" w:line="208"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b w:val="1"/>
          <w:bCs w:val="1"/>
          <w:i w:val="1"/>
          <w:iCs w:val="1"/>
          <w:color w:val="auto"/>
        </w:rPr>
        <w:t>Analytical Services</w:t>
      </w:r>
      <w:r>
        <w:rPr>
          <w:rFonts w:ascii="Arial" w:cs="Arial" w:eastAsia="Arial" w:hAnsi="Arial"/>
          <w:sz w:val="18"/>
          <w:szCs w:val="18"/>
          <w:color w:val="auto"/>
        </w:rPr>
        <w:t>. Bioanalytical testing services help determine appropriate dose and frequency of drug administration from late discovery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Phase III clinical testing. CDD’s analytical services include liquid chromatography-mass spectroscopy immunoanalysis, translational biomarkers, discovery bioanalysis, vaccine analysis, and PK/TK analysis. In addition, CDD offers validated, nonproprietary assays for hundreds of compounds, eliminating method development and validation time, and reducing program cost. CDD has dedicated lab facilities across three continents providing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drug metabolism,</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radiolabeled absorption, distribution, metabolism and excretion studies; metabolite identification/profiling, nonclinical PK</w:t>
      </w:r>
      <w:r>
        <w:rPr>
          <w:rFonts w:ascii="Arial" w:cs="Arial" w:eastAsia="Arial" w:hAnsi="Arial"/>
          <w:sz w:val="18"/>
          <w:szCs w:val="18"/>
          <w:i w:val="1"/>
          <w:iCs w:val="1"/>
          <w:color w:val="auto"/>
        </w:rPr>
        <w:t xml:space="preserve"> </w:t>
      </w:r>
      <w:r>
        <w:rPr>
          <w:rFonts w:ascii="Arial" w:cs="Arial" w:eastAsia="Arial" w:hAnsi="Arial"/>
          <w:sz w:val="18"/>
          <w:szCs w:val="18"/>
          <w:color w:val="auto"/>
        </w:rPr>
        <w:t>screening, and radiosynthesis services. CDD also provides pharmaceutical chemistry services to determine metabolic profile and bioavailability of drug candidates.</w:t>
      </w:r>
    </w:p>
    <w:p>
      <w:pPr>
        <w:spacing w:after="0" w:line="216" w:lineRule="exact"/>
        <w:rPr>
          <w:sz w:val="20"/>
          <w:szCs w:val="20"/>
          <w:color w:val="auto"/>
        </w:rPr>
      </w:pPr>
    </w:p>
    <w:p>
      <w:pPr>
        <w:jc w:val="both"/>
        <w:ind w:left="240" w:right="20"/>
        <w:spacing w:after="0" w:line="257" w:lineRule="auto"/>
        <w:rPr>
          <w:sz w:val="20"/>
          <w:szCs w:val="20"/>
          <w:color w:val="auto"/>
        </w:rPr>
      </w:pPr>
      <w:r>
        <w:rPr>
          <w:rFonts w:ascii="Arial" w:cs="Arial" w:eastAsia="Arial" w:hAnsi="Arial"/>
          <w:sz w:val="18"/>
          <w:szCs w:val="18"/>
          <w:b w:val="1"/>
          <w:bCs w:val="1"/>
          <w:i w:val="1"/>
          <w:iCs w:val="1"/>
          <w:color w:val="auto"/>
        </w:rPr>
        <w:t xml:space="preserve">Safety Assessment. </w:t>
      </w:r>
      <w:r>
        <w:rPr>
          <w:rFonts w:ascii="Arial" w:cs="Arial" w:eastAsia="Arial" w:hAnsi="Arial"/>
          <w:sz w:val="18"/>
          <w:szCs w:val="18"/>
          <w:color w:val="auto"/>
        </w:rPr>
        <w:t>Safety assessment services include general, genetic, and immunotoxicology services; nonclinical pathology services;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pharmacology services; preclinical medical device services; respiratory services; and developmental and reproductive toxicology (DART) studies. CDD’s services employ state-of-the-art technology and an integrated program for both large and small molecules with facilities across three continents. CDD's nonclinical pathology group comprises certified veterinary pathologists who provide critical insights and recommendations to help customers navigate the drug development process.</w:t>
      </w:r>
    </w:p>
    <w:p>
      <w:pPr>
        <w:spacing w:after="0" w:line="215" w:lineRule="exact"/>
        <w:rPr>
          <w:sz w:val="20"/>
          <w:szCs w:val="20"/>
          <w:color w:val="auto"/>
        </w:rPr>
      </w:pPr>
    </w:p>
    <w:p>
      <w:pPr>
        <w:jc w:val="both"/>
        <w:ind w:left="240"/>
        <w:spacing w:after="0" w:line="279" w:lineRule="auto"/>
        <w:rPr>
          <w:sz w:val="20"/>
          <w:szCs w:val="20"/>
          <w:color w:val="auto"/>
        </w:rPr>
      </w:pPr>
      <w:r>
        <w:rPr>
          <w:rFonts w:ascii="Arial" w:cs="Arial" w:eastAsia="Arial" w:hAnsi="Arial"/>
          <w:sz w:val="17"/>
          <w:szCs w:val="17"/>
          <w:b w:val="1"/>
          <w:bCs w:val="1"/>
          <w:i w:val="1"/>
          <w:iCs w:val="1"/>
          <w:color w:val="auto"/>
        </w:rPr>
        <w:t xml:space="preserve">CMC Manufacturing Solutions. </w:t>
      </w:r>
      <w:r>
        <w:rPr>
          <w:rFonts w:ascii="Arial" w:cs="Arial" w:eastAsia="Arial" w:hAnsi="Arial"/>
          <w:sz w:val="17"/>
          <w:szCs w:val="17"/>
          <w:color w:val="auto"/>
        </w:rPr>
        <w:t>CDD's CMC solutions offer packages supporting FDA Investigational New Drug Application and New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Application/Biologics License Application submissions, as well as programs to help CDD's customers meet acceptance criteria for release of drug products for both biologics and small molecules. CDD's CMC solutions provide capabilities and expertise operating within a global quality system framework to deliver robust, cost-effective solutions. Capabilities include safety, identity, strength, quality and purity assessments for biologics.</w:t>
      </w:r>
    </w:p>
    <w:p>
      <w:pPr>
        <w:spacing w:after="0" w:line="198" w:lineRule="exact"/>
        <w:rPr>
          <w:sz w:val="20"/>
          <w:szCs w:val="20"/>
          <w:color w:val="auto"/>
        </w:rPr>
      </w:pPr>
    </w:p>
    <w:p>
      <w:pPr>
        <w:jc w:val="both"/>
        <w:ind w:left="240"/>
        <w:spacing w:after="0" w:line="276" w:lineRule="auto"/>
        <w:rPr>
          <w:sz w:val="20"/>
          <w:szCs w:val="20"/>
          <w:color w:val="auto"/>
        </w:rPr>
      </w:pPr>
      <w:r>
        <w:rPr>
          <w:rFonts w:ascii="Arial" w:cs="Arial" w:eastAsia="Arial" w:hAnsi="Arial"/>
          <w:sz w:val="17"/>
          <w:szCs w:val="17"/>
          <w:b w:val="1"/>
          <w:bCs w:val="1"/>
          <w:i w:val="1"/>
          <w:iCs w:val="1"/>
          <w:color w:val="auto"/>
        </w:rPr>
        <w:t xml:space="preserve">Early Phase Development Solutions. </w:t>
      </w:r>
      <w:r>
        <w:rPr>
          <w:rFonts w:ascii="Arial" w:cs="Arial" w:eastAsia="Arial" w:hAnsi="Arial"/>
          <w:sz w:val="17"/>
          <w:szCs w:val="17"/>
          <w:color w:val="auto"/>
        </w:rPr>
        <w:t>Early Phase Development Solutions (EPDS) offers access to a focused, multidisciplinary team of experts that crafts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solutions to identify and develop lead drug candidates and reduce development challenges. EPDS provides seamless integration of the complete array of CDD nonclinical and early clinical services, with a focus on scientific integrity and human subject safety. EPDS also offers an innovative parallel study approach for shorter proof-of-concept studies. This approach can increase clinical return on investment through the application of medical, scientific and therapeutic expertise, along with patient stratification strategies.</w:t>
      </w:r>
    </w:p>
    <w:p>
      <w:pPr>
        <w:spacing w:after="0" w:line="200" w:lineRule="exact"/>
        <w:rPr>
          <w:sz w:val="20"/>
          <w:szCs w:val="20"/>
          <w:color w:val="auto"/>
        </w:rPr>
      </w:pPr>
    </w:p>
    <w:p>
      <w:pPr>
        <w:jc w:val="both"/>
        <w:ind w:left="240"/>
        <w:spacing w:after="0" w:line="277" w:lineRule="auto"/>
        <w:rPr>
          <w:sz w:val="20"/>
          <w:szCs w:val="20"/>
          <w:color w:val="auto"/>
        </w:rPr>
      </w:pPr>
      <w:r>
        <w:rPr>
          <w:rFonts w:ascii="Arial" w:cs="Arial" w:eastAsia="Arial" w:hAnsi="Arial"/>
          <w:sz w:val="18"/>
          <w:szCs w:val="18"/>
          <w:b w:val="1"/>
          <w:bCs w:val="1"/>
          <w:i w:val="1"/>
          <w:iCs w:val="1"/>
          <w:color w:val="auto"/>
        </w:rPr>
        <w:t xml:space="preserve">Crop Protection and Chemical Testing. </w:t>
      </w:r>
      <w:r>
        <w:rPr>
          <w:rFonts w:ascii="Arial" w:cs="Arial" w:eastAsia="Arial" w:hAnsi="Arial"/>
          <w:sz w:val="18"/>
          <w:szCs w:val="18"/>
          <w:color w:val="auto"/>
        </w:rPr>
        <w:t>Crop Protection and Chemical Testing services involve a range of testing and consulting services for chemical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and other firms engaged in the development of modern crop protection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Laboratory Services</w:t>
      </w:r>
    </w:p>
    <w:p>
      <w:pPr>
        <w:spacing w:after="0" w:line="2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provides central laboratory and specialty testing services to biopharmaceutical customers through its global network of central laboratories in the U.S., Switzerland, Singapore and China, as well as its strategic agreement for central laboratory services testing in Japan with BML, Inc., a leading Japanese laboratory testing company.</w:t>
      </w:r>
    </w:p>
    <w:p>
      <w:pPr>
        <w:spacing w:after="0" w:line="208"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CDD’s capabilities provide customers the flexibility to conduct studies on a global basis. Because CDD uses standardized laboratory equipment, methods, reagents and calibrators for studies, data can be combined with clinical trials in different regions to produce global trial reference ranges. Combinable data eliminates the cumbersome process of harmonizing results generated using different methods in different laboratories on different equipment. CDD also offers external-facing tools such as LabLink</w:t>
      </w:r>
      <w:r>
        <w:rPr>
          <w:rFonts w:ascii="Arial" w:cs="Arial" w:eastAsia="Arial" w:hAnsi="Arial"/>
          <w:sz w:val="16"/>
          <w:szCs w:val="16"/>
          <w:color w:val="auto"/>
        </w:rPr>
        <w:t>+</w:t>
      </w:r>
      <w:r>
        <w:rPr>
          <w:rFonts w:ascii="Arial" w:cs="Arial" w:eastAsia="Arial" w:hAnsi="Arial"/>
          <w:sz w:val="18"/>
          <w:szCs w:val="18"/>
          <w:color w:val="auto"/>
        </w:rPr>
        <w:t xml:space="preserve"> and Xcellerate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Investigator Portal, which are internet-based customer programs that allow customers to review and query clinical trial lab data on a near real-time basis, that provide an opportunity for enhanced collaboration between the investigator sites, CROs and sponsors.</w:t>
      </w:r>
    </w:p>
    <w:p>
      <w:pPr>
        <w:spacing w:after="0" w:line="23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 operates the world’s largest automated clinical trial sample collection kit production line, located in Indianapolis, Indiana. This facility provides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CDD's biorepository facility in Greenfield, Indiana, is dedicated to long-term storage of clinical trial specimens. CDD has additional sample storage facilities in Indianapolis, Indiana; Geneva, Switzerland;</w:t>
      </w:r>
    </w:p>
    <w:p>
      <w:pPr>
        <w:sectPr>
          <w:pgSz w:w="11900" w:h="16838" w:orient="portrait"/>
          <w:cols w:equalWidth="0" w:num="1">
            <w:col w:w="11420"/>
          </w:cols>
          <w:pgMar w:left="240" w:top="125"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Singapore; and Shanghai, China, as well as a state-of-the-art distribution center in Mechelen, Belgium. These actively monitored facilities are able to store a wide range of specimens, including plasma, serum, whole blood, DNA and tissue.</w:t>
      </w:r>
    </w:p>
    <w:p>
      <w:pPr>
        <w:spacing w:after="0" w:line="1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CDD has seven ISO 15189-certified laboratories that provide customers with the assurance that comes with this rigorous global standard. In addition to utilizing the broad scientific expertise of the LCD Specialty Testing Group,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18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CDD, in conjunction with LCD’s expertise in a wide range of specialty and esoteric testing disciplines, offers a scientifically rich and diverse menu of specialty testing capabilities, spanning the clinical development continuum. These include applied genomics, next-generation sequencing, anatomic and molecular pathology, flow cytometry, chemistry manufacturing controls, clinical immunoassays as well as preclinical and exploratory biomarker development. The combination of CDD and LCD differentiated capabilities and unparalleled experience in companion and complementary diagnostic services support the parallel development of a new medicine and its associated diagnostic assay. The Company's dedicated companion diagnostics team collaborated with 30 clients on more than 150 companion diagnostic projects in 2019. CDD can support the development of in-vitro diagnostic, companion diagnostics and laboratory-developed tests (LDTs). By combining CDD’s strength in central laboratory and early-stage clinical development with LCD’s strength in test commercialization, the Company is well positioned to offer comprehensive, end-to-end support for companion diagnostic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and Commercialization Services</w:t>
      </w:r>
    </w:p>
    <w:p>
      <w:pPr>
        <w:spacing w:after="0" w:line="2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CDD offers a comprehensive range of clinical development and commercialization services, including the full service delivery of Phase I through IV clinical studies, along with a wide offering of functional service provider (FSP) solutions. CDD has extensive experience in all major therapeutic and scientific areas, as well as molecule types. It provides the following core services either on an individual or aggregated basis to meet its customers’ needs: protocol optimization; recruitment optimization; coordination of study activities; trial logistics; monitoring of study site performance; clinical data management and biostatistical analysis; pharmacovigilance/safety assessments; and medical writing and regulatory services. CDD also has a dedicated group with extensive experience in the conduct of trials for medical devices and diagnostics, to provide services for the expanding market in medical devices, including mobile health (mHealth) devices. Its solutions are underpinned by an unmatched combination of data sources and sophisticated analytics to drive informed decision-making.</w:t>
      </w:r>
    </w:p>
    <w:p>
      <w:pPr>
        <w:spacing w:after="0" w:line="98"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CDD has extensive experience in designing and managing global clinical trials and regional clinical trial activities in North America, Europe, Latin America and the Asia-Pacific region. These trials may be conducted separately or simultaneously as part of a multinational or global development plan. CDD can manage every aspect of a clinical trial, from clinical development plans and protocol design to new drug applications and other supporting services.</w:t>
      </w:r>
    </w:p>
    <w:p>
      <w:pPr>
        <w:spacing w:after="0" w:line="17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CDD is a leader in clinical pharmacology, providing services at its four clinics in the U.S. and Europe, including first-in-human trials, and early clinical trial subject proof-of-concept studies of new biopharmaceuticals.</w:t>
      </w:r>
    </w:p>
    <w:p>
      <w:pPr>
        <w:spacing w:after="0" w:line="7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 offers a range of commercialization solutions, including life cycle management and post-approval studies, which are typically conducted after a drug has successfully undergone clinical efficacy and safety testing and the New Drug Application/Biologics License Application has been submitted to and approved by the FDA and/or comparable applications are submitted to and approved by other regulatory bodies. CDD also offers market access solutions, including reimbursement consulting and hotlines, patient assistance programs, health economic and outcomes research services, observational studies, real-world evidence and analytics services, and value communication services. Biopharmaceutical companies purchase these services to serve patients in need of therapy and to help optimize their return on R&amp;D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 Technology-Enabled Solutions</w:t>
      </w:r>
    </w:p>
    <w:p>
      <w:pPr>
        <w:spacing w:after="0" w:line="13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CDD’s technology-enabled solutions are designed to improve the drug development process, by providing its biopharmaceutical customers with greater access to key insights and improved trial management. These proprietary software as a service (SaaS) solutions include the award-winning Xcellerate informatics platform, the PharmAcuity suite of software applications, and CDD's endpoint trial management solution. In addition to these solutions, CDD offers its biopharmaceutical customers unique laboratory specimen management solutions from its Global Specimen Solutions (GSS) service platform as well as an efficient, global interactive study randomization technology, to optimize study management and reduce trial-supply costs. Covance MarketPlace securely connects developers with interested companies for licensing opportunities and to accelerate strategic discussions.</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Xcellerate integrates and operates with multiple sources of data to deliver unique and timely information throughout the course of customer studies. Xcellerate helps to reduce the cost, time, complexity and risk associated with clinical trials. These solutions leverage a highly innovative data integration and visualization technology that provides timely, secure, integrated and contextualized access to all clinical trial data to enable proactive risk management and informed decision making. Key Xcellerate modules include Trial Design, Clinical Trial Management, Clinical Data Hub, Monitoring, Data Management and Insights: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ind w:left="500" w:hanging="492"/>
        <w:spacing w:after="0" w:line="258"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Trial Design enables customers to map available patient populations and identify optimal sites and investigators by drawing on the world’s largest proprietary clinical trial knowledge base.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Clinical Trial Management provides the foundational operating systems to enable frictionless execution of clinical trials.</w:t>
      </w:r>
    </w:p>
    <w:p>
      <w:pPr>
        <w:spacing w:after="0" w:line="9" w:lineRule="exact"/>
        <w:rPr>
          <w:rFonts w:ascii="Arial" w:cs="Arial" w:eastAsia="Arial" w:hAnsi="Arial"/>
          <w:sz w:val="18"/>
          <w:szCs w:val="18"/>
          <w:color w:val="auto"/>
        </w:rPr>
      </w:pPr>
    </w:p>
    <w:p>
      <w:pPr>
        <w:ind w:left="500" w:right="20" w:hanging="492"/>
        <w:spacing w:after="0" w:line="250"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Clinical Data Hub integrates clinical trial data from any source and makes it accessible to study teams in a timely, secure and contextualized manner to support a broad range of monitoring, analytic, and reporting needs.</w:t>
      </w:r>
    </w:p>
    <w:p>
      <w:pPr>
        <w:ind w:left="500" w:hanging="492"/>
        <w:spacing w:after="0" w:line="250"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Data Management enables data managers to enhance data quality and completeness, and accelerates database locking by identifying missing, erroneous or inconsistent data as well as managing queries holistically.</w:t>
      </w:r>
    </w:p>
    <w:p>
      <w:pPr>
        <w:ind w:left="500" w:right="20" w:hanging="492"/>
        <w:spacing w:after="0" w:line="250"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Monitoring enables customers to improve data quality, clinical trial subject safety and protocol compliance in the execution of clinical trials by proactively identifying and mitigating risks at the study site and clinical trial subject level.</w:t>
      </w:r>
    </w:p>
    <w:p>
      <w:pPr>
        <w:ind w:left="500" w:hanging="492"/>
        <w:spacing w:after="0" w:line="255"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Xcellerate Insights enables effective operational oversight by providing interactive, up-to-date views of a broad range of operational metrics and key performance indicators at the study and portfolio levels through a secure collaboration portal, producing insights that enable its users to make decisions about study management and patient impacts.</w:t>
      </w:r>
    </w:p>
    <w:p>
      <w:pPr>
        <w:spacing w:after="0" w:line="9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PharmAcuity is a cloud-based suite of software applications that helps biopharmaceutical companies fine-tune their clinical trial strategy, planning, and design months before a trial begins. The performance data available via PharmAcuity is derived from past trials and public data sources covering more than 130 countries, reflecting the worldwide nature of clinical trials. Key PharmAcuity modules include Metrics and Benchmarking, and Trial Forecasting:</w:t>
      </w:r>
    </w:p>
    <w:p>
      <w:pPr>
        <w:spacing w:after="0" w:line="52" w:lineRule="exact"/>
        <w:rPr>
          <w:sz w:val="20"/>
          <w:szCs w:val="20"/>
          <w:color w:val="auto"/>
        </w:rPr>
      </w:pPr>
    </w:p>
    <w:p>
      <w:pPr>
        <w:jc w:val="both"/>
        <w:ind w:left="340" w:right="20" w:hanging="332"/>
        <w:spacing w:after="0" w:line="28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PharmAcuity Metrics and Benchmarking enables clients to assess the performance of historical trials relative to current targets, as well as set accurate and feasible targets for a variety of future trial milestones. Utilizing the rest of the biopharmaceutical industry’s performance data as a benchmark, this module allows the client to evaluate clinical trial performance against the industry, leading to more efficient trial, enrollment, and country planning.</w:t>
      </w:r>
    </w:p>
    <w:p>
      <w:pPr>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PharmAcuity Trial Forecasting empowers clients to forecast their own clinical trial performance and build different forecasting scenarios across multiple dimensions, all based on proprietary inputs and historical, contextual industry performances.</w:t>
      </w:r>
    </w:p>
    <w:p>
      <w:pPr>
        <w:spacing w:after="0" w:line="8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Covance MarketPlace enables biopharmaceutical companies to showcase therapeutic assets to interested parties for licensing opportunities during the early phases of drug development. With unprecedented access to the Company's exclusive network of drug developers and through its private, secure web portal, companies can share non-confidential information about their assets to attract potential investors or partners. Interested parties can find asset listings via targeted asset alerts and easy-to-use search functions. The platform provides users with direct, secure communication with asset owners, accelerating strategic discussions. It is one more way the Company helps transform drug development programs, delivered by the only global drug development partner with the expertise spanning preclinical, clinical and commercial phases.</w:t>
      </w:r>
    </w:p>
    <w:p>
      <w:pPr>
        <w:spacing w:after="0" w:line="84" w:lineRule="exact"/>
        <w:rPr>
          <w:sz w:val="20"/>
          <w:szCs w:val="20"/>
          <w:color w:val="auto"/>
        </w:rPr>
      </w:pPr>
    </w:p>
    <w:p>
      <w:pPr>
        <w:jc w:val="both"/>
        <w:ind w:firstLine="243"/>
        <w:spacing w:after="0" w:line="233" w:lineRule="auto"/>
        <w:rPr>
          <w:sz w:val="20"/>
          <w:szCs w:val="20"/>
          <w:color w:val="auto"/>
        </w:rPr>
      </w:pPr>
      <w:r>
        <w:rPr>
          <w:rFonts w:ascii="Arial" w:cs="Arial" w:eastAsia="Arial" w:hAnsi="Arial"/>
          <w:sz w:val="16"/>
          <w:szCs w:val="16"/>
          <w:color w:val="auto"/>
        </w:rPr>
        <w:t>GSS provides a suite of innovative software applications for lifecycle specimen management. GSS' GlobalCODE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application provides unified data from a single-interface that allows for tracking of specimens from collection through destruction, as well as cross-protocol analytics and management of samples according to informed consent-allowable usage. The GSS SnapTRACK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application provides for capture of information upon sample collection, and pushes sample-related information into GlobalCODE in near real-time. The GSS LabCODE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provides an innovative and client-configurable cloud-based Laboratory Information Management System (LIMS) to biopharmaceutical companies, enabling rapid data integration across numerous in-house laboratories.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endpoint trial management solutions offer interactive response technology (IRT) to provide visibility across a client’s clinical development portfolio, enabling optimization of study management and reduced trial supply costs while helping to bring novel therapies to market faster. Key endpoint modules include:</w:t>
      </w:r>
    </w:p>
    <w:p>
      <w:pPr>
        <w:spacing w:after="0" w:line="100" w:lineRule="exact"/>
        <w:rPr>
          <w:sz w:val="20"/>
          <w:szCs w:val="20"/>
          <w:color w:val="auto"/>
        </w:rPr>
      </w:pPr>
    </w:p>
    <w:p>
      <w:pPr>
        <w:jc w:val="both"/>
        <w:ind w:left="260" w:right="20" w:hanging="252"/>
        <w:spacing w:after="0" w:line="256"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endpoint’s proprietary PULSE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comprises pre-validated, configurable study components that enable rapid development and quicker modification to a client’s existing IRT system. PULSE can help to streamline complex trial randomization methods, improve drug supply management, and simplify site, study, and subject management. The fully digital, mobile-ready system allows access to patient data and outcomes in real time.</w:t>
      </w:r>
    </w:p>
    <w:p>
      <w:pPr>
        <w:ind w:left="500" w:right="20" w:hanging="492"/>
        <w:spacing w:after="0" w:line="261"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endpoint’s DRIVE platform provides visibility into supplies management for an entire clinical development portfolio. It provides automated supply functionality to help minimize costs, reduce waste, and manage regulatory compliance across multiple trial sites.</w:t>
      </w:r>
    </w:p>
    <w:p>
      <w:pPr>
        <w:spacing w:after="0" w:line="8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CDD’s other proprietary technology assets include an investigator database and analytic methodologies that are used to design and manage site selection and clinical trial subject enrollment.</w:t>
      </w:r>
    </w:p>
    <w:p>
      <w:pPr>
        <w:spacing w:after="0" w:line="19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Together, CDD's technology-enabled solutions improve the transparency, quality and speed of clinical trials, resulting in reduced costs and increased market potential for biopharmaceutical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provides its services to a broad range of customers. The primary customer groups serviced by the Company include:</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MCOs. </w:t>
      </w:r>
      <w:r>
        <w:rPr>
          <w:rFonts w:ascii="Arial" w:cs="Arial" w:eastAsia="Arial" w:hAnsi="Arial"/>
          <w:sz w:val="18"/>
          <w:szCs w:val="18"/>
          <w:color w:val="auto"/>
        </w:rPr>
        <w:t>The Company serves many MCOs, each of which operate on a national, regional or local basis. Fees for clinical laboratory testing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rendered for physicians may be billed to a patient’s third-party payer, such as an MCO, with reimbursement typically based on a negotiated, fee-for-service basis, and in some circumstances reimbursement is based on a capitated arrangement.</w:t>
      </w:r>
    </w:p>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Biopharmaceutical, Medical Device and Diagnostics Companies. </w:t>
      </w:r>
      <w:r>
        <w:rPr>
          <w:rFonts w:ascii="Arial" w:cs="Arial" w:eastAsia="Arial" w:hAnsi="Arial"/>
          <w:sz w:val="18"/>
          <w:szCs w:val="18"/>
          <w:color w:val="auto"/>
        </w:rPr>
        <w:t>The Company provides development services to hundreds of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pharmaceutical and biotechnology-based organizations), medical device, and diagnostics companies, ranging from the world's largest multi-nationals to emerging to mid-market companies. Contracts with these organizations generally take the form of fee-for-service or fixed-price arrangements.</w:t>
      </w:r>
    </w:p>
    <w:p>
      <w:pPr>
        <w:spacing w:after="0" w:line="21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Physicians and Other Healthcare Providers. </w:t>
      </w:r>
      <w:r>
        <w:rPr>
          <w:rFonts w:ascii="Arial" w:cs="Arial" w:eastAsia="Arial" w:hAnsi="Arial"/>
          <w:sz w:val="18"/>
          <w:szCs w:val="18"/>
          <w:color w:val="auto"/>
        </w:rPr>
        <w:t>Physicians who require clinical laboratory testing for their patients are a primary source of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LCD's testing services. Physicians may practice individually, or as part of small or large physician groups, including those operated as part of a broader health system. Fees for clinical laboratory testing services rendered for physicians are billed either to the physician, the physician group, the patient or the patient’s third-party payer, such as an MCO, Medicare or Medicaid. Billings are typically on a fee-for-service basis. If the billings are to the physician, they are based on a customer-specific fee schedule and are subject to negotiation. Otherwise, the patient or third-party payer is billed at the Company's patient list price fee schedule, subject to third-party payer contract terms. Patient sales are recorded at the Company’s patient list price fee schedule, net of any discounts negotiated with physicians on behalf of their patients, or made available at a reduced charge or for free through charity care or an uninsured or underinsured patient program. Revenues received from Medicare and Medicaid billings are based on government-set fee schedules and reimbursement rules.</w:t>
      </w:r>
    </w:p>
    <w:p>
      <w:pPr>
        <w:spacing w:after="0" w:line="224"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b w:val="1"/>
          <w:bCs w:val="1"/>
          <w:i w:val="1"/>
          <w:iCs w:val="1"/>
          <w:color w:val="auto"/>
        </w:rPr>
        <w:t xml:space="preserve">Hospitals and Health Systems. </w:t>
      </w:r>
      <w:r>
        <w:rPr>
          <w:rFonts w:ascii="Arial" w:cs="Arial" w:eastAsia="Arial" w:hAnsi="Arial"/>
          <w:sz w:val="17"/>
          <w:szCs w:val="17"/>
          <w:color w:val="auto"/>
        </w:rPr>
        <w:t>The Company provides hospitals and health systems with services ranging from core and specialty testing to supply chain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technical support services, and the opportunity to be a research partner for participation in studies and clinical trials with CDD. Individual hospitals generally maintain on-site laboratories to perform immediately and frequently needed testing for patients receiving inpatient and outpatient care. However, they also refer less time-sensitive procedures, less frequently needed procedures and highly specialized procedures to outside facilities, including independent clinical laboratories such as LCD and laboratories operated by larger hospitals or health systems. In some cases, a hospital’s on-site laboratory may be operated or managed by an outside contractor or independent laboratory, including the Company. The Company typically charges hospitals for any such tests on a fee-for-service basis that is derived from the Company’s client list price fee schedule. Fees for laboratory management services are typically billed monthly at contractual rates.</w:t>
      </w:r>
    </w:p>
    <w:p>
      <w:pPr>
        <w:spacing w:after="0" w:line="203" w:lineRule="exact"/>
        <w:rPr>
          <w:sz w:val="20"/>
          <w:szCs w:val="20"/>
          <w:color w:val="auto"/>
        </w:rPr>
      </w:pPr>
    </w:p>
    <w:p>
      <w:pPr>
        <w:jc w:val="both"/>
        <w:ind w:left="340" w:right="20"/>
        <w:spacing w:after="0" w:line="281" w:lineRule="auto"/>
        <w:rPr>
          <w:sz w:val="20"/>
          <w:szCs w:val="20"/>
          <w:color w:val="auto"/>
        </w:rPr>
      </w:pPr>
      <w:r>
        <w:rPr>
          <w:rFonts w:ascii="Arial" w:cs="Arial" w:eastAsia="Arial" w:hAnsi="Arial"/>
          <w:sz w:val="18"/>
          <w:szCs w:val="18"/>
          <w:b w:val="1"/>
          <w:bCs w:val="1"/>
          <w:i w:val="1"/>
          <w:iCs w:val="1"/>
          <w:color w:val="auto"/>
        </w:rPr>
        <w:t xml:space="preserve">Other Customers. </w:t>
      </w:r>
      <w:r>
        <w:rPr>
          <w:rFonts w:ascii="Arial" w:cs="Arial" w:eastAsia="Arial" w:hAnsi="Arial"/>
          <w:sz w:val="18"/>
          <w:szCs w:val="18"/>
          <w:color w:val="auto"/>
        </w:rPr>
        <w:t>The Company serves a broad range of other customers,</w:t>
      </w:r>
      <w:r>
        <w:rPr>
          <w:rFonts w:ascii="Arial" w:cs="Arial" w:eastAsia="Arial" w:hAnsi="Arial"/>
          <w:sz w:val="18"/>
          <w:szCs w:val="18"/>
          <w:b w:val="1"/>
          <w:bCs w:val="1"/>
          <w:i w:val="1"/>
          <w:iCs w:val="1"/>
          <w:color w:val="auto"/>
        </w:rPr>
        <w:t xml:space="preserve"> </w:t>
      </w:r>
      <w:r>
        <w:rPr>
          <w:rFonts w:ascii="Arial" w:cs="Arial" w:eastAsia="Arial" w:hAnsi="Arial"/>
          <w:sz w:val="19"/>
          <w:szCs w:val="19"/>
          <w:color w:val="auto"/>
        </w:rPr>
        <w:t>incl</w:t>
      </w:r>
      <w:r>
        <w:rPr>
          <w:rFonts w:ascii="Arial" w:cs="Arial" w:eastAsia="Arial" w:hAnsi="Arial"/>
          <w:sz w:val="18"/>
          <w:szCs w:val="18"/>
          <w:color w:val="auto"/>
        </w:rPr>
        <w:t>uding, but not limited to, governmental agencies, employers, patients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CROs, crop protection and chemical companies, academic institutions and independent clinical laboratories. These customers typically pay on a negotiated fee-for-service basis or based on a set fee schedule.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 capital to shareholders.</w:t>
      </w:r>
    </w:p>
    <w:p>
      <w:pPr>
        <w:spacing w:after="0" w:line="19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2015, the Company has invested net cash of approximately $7.2 billion and equity of $1.8 billion in strategic business acquisitions. These acquisitions have significantly expanded the Company’s service offerings, expanded its customer and revenue mix, as well as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21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From 2015, the Company repurchased approximately $1.5 billion in shares at an average price of approximately $154.66 per share. On February 6, 2019, the board of directors replaced the Company’s existing share repurchase plan with a new plan authorizing repurchase of up to $1.25 billion of the Company’s shares. The repurchase authorization has no expiration date. During 2019, the Company purchased 2.9 million shares of its common stock at an average price of $154.94 for a total cost of $450.0 million, of which $100.0 million was repurchased prior to the new plan in February 2019. At the end of 2019, the Company had outstanding authorization from the board of directors to purchase an additional $900.0 million of Company common stock.</w:t>
      </w:r>
    </w:p>
    <w:p>
      <w:pPr>
        <w:spacing w:after="0" w:line="18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June 3, 2019, the Company entered into a new $850.0 million term loan (the 2019 Term Loan). The 2019 Term Loan will mature on June 3, 2021. Proceeds of the 2019 Term Loan were used to repay approximately $250.0 million of the 2017 Term Loan and to fund the acquisition of Envigo's nonclinical research services business.</w:t>
      </w:r>
    </w:p>
    <w:p>
      <w:pPr>
        <w:sectPr>
          <w:pgSz w:w="11900" w:h="16838" w:orient="portrait"/>
          <w:cols w:equalWidth="0" w:num="1">
            <w:col w:w="11420"/>
          </w:cols>
          <w:pgMar w:left="240" w:top="125"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November 25, 2019, the Company issued $1,050.0 million in debt securities, consisting of $400.0 million aggregate principal amount of 2.300% Senior Notes due 2024 and $650.0 million aggregate principal amount of 2.950% Senior Notes due 2029. The net proceeds from the new Senior Notes were used to redeem all of the outstanding $500.0 million principal amount of its 2.625% Senior Notes due February 1, 2020, redeem $187.9 million of the outstanding 4.625% Senior Notes due November 15, 2020 in a tender offer, and the repayment of $348.3 million outstanding under the Company's term loan credit facilities.</w:t>
      </w:r>
    </w:p>
    <w:p>
      <w:pPr>
        <w:spacing w:after="0" w:line="21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total, during 2019, the Company redeemed or repaid $687.9 million of its Senior Notes and $1,002.0 million of its term loans. In addition, the Company borrowed and repaid a total of $495.0 million of debt through its revolving credit facility within 2019. The Company will continue to evaluate all opportunities for strategic deployment of capital in light of market conditions.</w:t>
      </w:r>
    </w:p>
    <w:p>
      <w:pPr>
        <w:spacing w:after="0" w:line="20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From 2015, capital expenditures other than acquisitions have been $1.6 billion, representing approximately 3.2% of the Company’s total revenues during the same period. The Company expects capital expenditures in 2020 to be approximately 3.5% to 4.0% of revenues, primarily in connection with projects to support growth in the Company's core businesses, facility expansion and updates, projects related to LaunchPad initiatives within LCD and CDD, and further acquisition integration initiatives.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External Factors</w:t>
      </w:r>
    </w:p>
    <w:p>
      <w:pPr>
        <w:spacing w:after="0" w:line="256"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experiences seasonality in both segments of its business. For example, testing volume generally declines during the year-end holiday period and other major holidays and can also decline due to inclement weather or natural disasters. Declines in testing volume reduce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The results of both segments are impacted by exchange rate fluctuations. Approximately 22.3% of the Company's revenues are billed in currencies other than the U.S. dollar, with the Swiss franc, British pound, Canadian dollar and the euro representing the largest components of its currency exposure. Given the seasonality and changing economic factors impacting the business, comparison of the results for successive quarters may not accurately reflect trends or results for the full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 Partnerships</w:t>
      </w:r>
    </w:p>
    <w:p>
      <w:pPr>
        <w:spacing w:after="0" w:line="25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holds investments in joint venture partnerships, with two located in Alberta, Canada, one located in Florence, South Carolina, and one in Buffalo, New York. These businesses are primarily represented by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w:t>
      </w:r>
    </w:p>
    <w:p>
      <w:pPr>
        <w:spacing w:after="0" w:line="21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first Canadian partnership is a leader in occupational testing across Canada similar to LCD's U.S. occupational testing services. The second Canadian partnership has a license to conduct diagnostic testing services in the province of Alberta. Substantially all of its revenue is received as reimbursement from the Alberta government's healthcare programs (AHS).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million to the partnership when the transfer is effective, subject to a working capital adjustment. In December 2019, AHS issued a Request for Expression of Interest, that seeks to gauge market interest from private third parties for the provision of community lab services in Alberta. The Canadian partnership submitted a response indicating its interest in providing lab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Service</w:t>
      </w:r>
    </w:p>
    <w:p>
      <w:pPr>
        <w:spacing w:after="0" w:line="25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offers its diagnostic services through a sales force focused on serving the specific needs of customers in different market segments. These market segments generally include primary care, women's health, specialty medicine (e.g., infectious disease, endocrinology, gastroenterology and rheumatology), oncology, ACOs, and hospitals and health systems. LCD's general sales force is also supported by a team of clinical specialists that focuses on selling esoteric testing and meeting the unique needs of the specialty medicine markets.</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CDD’s global sales activities are conducted by sales personnel in North America, Europe and the Asia-Pacific region. The sales force provides customer coverage across the biopharmaceutical industry for services including lead optimization, preclinical safety assessment, analytical services, clinical trials, central laboratories, biomarkers and companion diagnostics, market access and technology solutions. Customer segments called upon include global and regional biopharmaceutical companies, other CROs and academic institutions.</w:t>
      </w:r>
    </w:p>
    <w:p>
      <w:pPr>
        <w:spacing w:after="0" w:line="214"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sales force is responsible for both new sales and for customer retention and relationship building and is compensated through a combination of salaries, commissions and bonuses at levels commensurate with each individual’s qualifications, performance and responsibilities.</w:t>
      </w:r>
    </w:p>
    <w:p>
      <w:pPr>
        <w:sectPr>
          <w:pgSz w:w="11900" w:h="16838" w:orient="portrait"/>
          <w:cols w:equalWidth="0" w:num="1">
            <w:col w:w="11420"/>
          </w:cols>
          <w:pgMar w:left="240" w:top="125"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committed to developing and commercializing technology-enabled solutions to support its operations and provide better care. LCD and CDD each operate standard platforms for their core business services, and the Company operates standard platforms for its financial and reporting systems. These standard systems provide consistency within workflows and information as well as a high level of system availability, security, and stability. LCD’s and CDD's primary laboratory systems include standardized support for molecular diagnostics, digital pathology and enhanced specialty laboratory solutions. The Company's centralized information systems are responsible for tremendous operational efficiencies, enabling the Company to achieve consistent, structured, and standardized operating results and superior patient care.</w:t>
      </w:r>
    </w:p>
    <w:p>
      <w:pPr>
        <w:spacing w:after="0" w:line="22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LCD and CDD each offer proprietary and industry-leading information systems, which are discussed in more detail in the sections dedicated to each of those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25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LCD and CDD have comprehensive quality systems and processes that the Company believes are appropriate for their respective businesses. This includes licensing, credentialing, training and competency of professional and technical staff, and internal auditing. In addition to the Company's own quality programs, the Company’s laboratories, facilities and processes are subject to on-site regulatory agency inspections and accreditation evaluations, and surveys, as applicable, by local or national government agencies; external proficiency testing programs; and inspections and audits by customers.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Virtually all facets of the Company’s services are subject to quality programs and procedures, including accuracy and reproducibility of tests; turnaround time; customer service; data integrity; patient satisfaction; and billing. The Company’s quality program includes measures that compare current performance against desired performance goals to monitor critical aspects of service to its customers and patients.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has procedures for monitoring its internal performance, as well as that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 These groups include LCD's National Office of Quality, CDD’s Global Regulatory Compliance and Quality Assurance Unit, the Company's supply chain management department, CDD's clinical trial services global vendor management department, CDD's central laboratory services expanded laboratory management services department, and project management staff supporting LCD and CDD.</w:t>
      </w:r>
    </w:p>
    <w:p>
      <w:pPr>
        <w:spacing w:after="0" w:line="216" w:lineRule="exact"/>
        <w:rPr>
          <w:sz w:val="20"/>
          <w:szCs w:val="20"/>
          <w:color w:val="auto"/>
        </w:rPr>
      </w:pPr>
    </w:p>
    <w:p>
      <w:pPr>
        <w:jc w:val="both"/>
        <w:ind w:firstLine="455"/>
        <w:spacing w:after="0" w:line="255" w:lineRule="auto"/>
        <w:rPr>
          <w:sz w:val="20"/>
          <w:szCs w:val="20"/>
          <w:color w:val="auto"/>
        </w:rPr>
      </w:pPr>
      <w:r>
        <w:rPr>
          <w:rFonts w:ascii="Arial" w:cs="Arial" w:eastAsia="Arial" w:hAnsi="Arial"/>
          <w:sz w:val="18"/>
          <w:szCs w:val="18"/>
          <w:b w:val="1"/>
          <w:bCs w:val="1"/>
          <w:i w:val="1"/>
          <w:iCs w:val="1"/>
          <w:color w:val="auto"/>
        </w:rPr>
        <w:t>Customer Interaction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Continual improvement in the customers’ experience with the Company is essential. Use of technology and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helping to improve the patient experience by: reducing patient wait times at PSCs through advance appointment scheduling and patient check-in through LabCorp | PreCheck; expediting the patient registration process at the PSC through LabCorp | Express; enhancing the specimen collection process through LabCorp Touch and AccuDraw; and allowing patients to access their test results, obtain educational materials, schedule appointments and pay bills directly through LabCorp | Patient. LabCorp | Payer provides healthcare organizations with a centralized location to access test results and quality data. CDD processes permit faster clinical trial study start-up and subject enrollment along with timely delivery of established deliverables to enhance and improve customer interaction.</w:t>
      </w:r>
    </w:p>
    <w:p>
      <w:pPr>
        <w:spacing w:after="0" w:line="216" w:lineRule="exact"/>
        <w:rPr>
          <w:sz w:val="20"/>
          <w:szCs w:val="20"/>
          <w:color w:val="auto"/>
        </w:rPr>
      </w:pPr>
    </w:p>
    <w:p>
      <w:pPr>
        <w:jc w:val="both"/>
        <w:ind w:firstLine="347"/>
        <w:spacing w:after="0" w:line="266" w:lineRule="auto"/>
        <w:rPr>
          <w:sz w:val="20"/>
          <w:szCs w:val="20"/>
          <w:color w:val="auto"/>
        </w:rPr>
      </w:pPr>
      <w:r>
        <w:rPr>
          <w:rFonts w:ascii="Arial" w:cs="Arial" w:eastAsia="Arial" w:hAnsi="Arial"/>
          <w:sz w:val="18"/>
          <w:szCs w:val="18"/>
          <w:b w:val="1"/>
          <w:bCs w:val="1"/>
          <w:i w:val="1"/>
          <w:iCs w:val="1"/>
          <w:color w:val="auto"/>
        </w:rPr>
        <w:t>Specimen 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standardized logistics and specimen tracking technologies allow the timely transportation, monitoring,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storage of specimens. The Company is continually working to maintain and improve its ability to timely collect, transport and track specimens from collection points to all Company or designated external locations.</w:t>
      </w:r>
    </w:p>
    <w:p>
      <w:pPr>
        <w:spacing w:after="0" w:line="203"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b w:val="1"/>
          <w:bCs w:val="1"/>
          <w:i w:val="1"/>
          <w:iCs w:val="1"/>
          <w:color w:val="auto"/>
        </w:rPr>
        <w:t>Quality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regularly performs quality control testing. This may include in-process and post-process quality control checks;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control materials and reference standards, peer reviews, and data review meetings; programmed data edit checks to detect variances and unusual data patterns; dual programming; and mock runs.</w:t>
      </w:r>
    </w:p>
    <w:p>
      <w:pPr>
        <w:spacing w:after="0" w:line="203" w:lineRule="exact"/>
        <w:rPr>
          <w:sz w:val="20"/>
          <w:szCs w:val="20"/>
          <w:color w:val="auto"/>
        </w:rPr>
      </w:pPr>
    </w:p>
    <w:p>
      <w:pPr>
        <w:jc w:val="both"/>
        <w:ind w:firstLine="374"/>
        <w:spacing w:after="0" w:line="266" w:lineRule="auto"/>
        <w:rPr>
          <w:sz w:val="20"/>
          <w:szCs w:val="20"/>
          <w:color w:val="auto"/>
        </w:rPr>
      </w:pPr>
      <w:r>
        <w:rPr>
          <w:rFonts w:ascii="Arial" w:cs="Arial" w:eastAsia="Arial" w:hAnsi="Arial"/>
          <w:sz w:val="18"/>
          <w:szCs w:val="18"/>
          <w:b w:val="1"/>
          <w:bCs w:val="1"/>
          <w:i w:val="1"/>
          <w:iCs w:val="1"/>
          <w:color w:val="auto"/>
        </w:rPr>
        <w:t>Internal Proficiency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has an extensive internal proficiency testing program to assess LCD's analytical and post-analytical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laboratory testing, accuracy, precision of its testing protocols, and technologist/technician performance. This program supplements the external proficiency programs required by the laboratory accrediting agencies.</w:t>
      </w:r>
    </w:p>
    <w:p>
      <w:pPr>
        <w:spacing w:after="0" w:line="203"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b w:val="1"/>
          <w:bCs w:val="1"/>
          <w:i w:val="1"/>
          <w:iCs w:val="1"/>
          <w:color w:val="auto"/>
        </w:rPr>
        <w:t>Accreditation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participates in numerous externally administered quality surveillance programs, including the College of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Pathologists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Clinical Laboratory Improvement Amendments of 1988 (CLIA) requirements. The CAP program involves both on-site inspections of the laboratory and participation in a CAP accepted proficiency testing program for all categories in which the laboratory is accredited. A laboratory's receipt of accreditation by CAP satisfies the CMS requirement for CLIA certification. LCD's major diagnostic laboratories, CDD's major central laboratory facilities, and CDD's Phase I clinical research unit in Dallas, Texas, are accredited by CAP.</w:t>
      </w:r>
    </w:p>
    <w:p>
      <w:pPr>
        <w:sectPr>
          <w:pgSz w:w="11900" w:h="16838" w:orient="portrait"/>
          <w:cols w:equalWidth="0" w:num="1">
            <w:col w:w="11420"/>
          </w:cols>
          <w:pgMar w:left="240" w:top="125" w:right="239" w:bottom="1440"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multiple labs that have received ISO 15189 accreditation. ISO 15189 is an international standard that recognizes the quality and technical competence of medical laboratories. The list below reflects the Company's labs that have achieved this accreditation and the year in which it was achieved: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Testing Facility, Raritan, New Jersey - January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Testing Facility, Knoxville, Tennessee - November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Testing Facility, San Antonio, Texas - July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Colorado Coagulation, Denver, Colorado - January 2016</w:t>
      </w:r>
    </w:p>
    <w:p>
      <w:pPr>
        <w:spacing w:after="0" w:line="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Dynacare, Laval, Québec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Dublin, Ohio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Endocrine Sciences, Calabasas, California - January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Dallas, Texas - April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Denver, Colorado - March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Integrated Genetics, Santa Fe, New Mexico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Integrated Genetics, Westborough, Massachusetts - September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Dynacare, Montreal, Québec - June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Phoenix, Arizona - April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Birmingham, Alabama - February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Integrated Oncology, Brentwood, Tennessee - February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ViroMed, Burlington, North Carolina - January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Center for Molecular Biology and Pathology (CMBP), Research Triangle Park, North Carolina - February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Tampa, Florida - January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Integrated Oncology, Phoenix, Arizona - September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Covance Central Laboratory Services Inc., Los Angeles, California -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Covance Central Laboratory Services Inc., Indianapolis, Indiana - August 2015</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BML Covance Central Laboratory, Tokyo, Japan - March 2015 (Operated for CDD pursuant to a strategic agreement with BML,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Covance Pharmaceutical Research and Development (Shanghai) Co. Ltd., Shanghai, China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Covance (Asia) Pte. Ltd., Singapore - June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Covance Central Laboratory Services SARL, Geneva, Switzerland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RCRI Medical Devices - ISO 13485 - January 2019</w:t>
      </w:r>
    </w:p>
    <w:p>
      <w:pPr>
        <w:spacing w:after="0" w:line="11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2019, the Company’s Aviation Department achieved International Standard for Business Aircraft Operations (IS-BAO) Stage 3 certification, which is the final and highest level in a performance-based assessment and audit of the Company’s aviation Safety Management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20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As of December 31, 2019, the Company had nearly 65,000 employees worldwide, approximately 28.0% of whom were employed outside of the U.S. The Company's U.S. based subsidiaries have three collective bargaining agreements, which cover approximately 700 employees. Non-U.S. based subsidiaries have nine collective bargaining agreements, which cover approximately 1,700 employees.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success is highly dependent on its ability to attract and retain qualified employees, and the Company believes that it has good working relationships with its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environments and in a variety of locations worldwide, it is subject to numerous, and sometimes overlapping, regulatory requirements.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 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214"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19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193"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and Other Regulatory Agency Laws and Regulations</w:t>
      </w:r>
    </w:p>
    <w:p>
      <w:pPr>
        <w:spacing w:after="0" w:line="25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Various regulatory agencies, including the FDA in the U.S., have regulatory responsibility over the development, testing, manufacturing, labeling, advertising, marketing, distribution, and surveillance of diagnostic and therapeutic products and services, including certain products and services offered by the Company, and the development of therapeutic products that comprise the majority of CDD’s business. The FDA and other regulatory agencies periodically inspect and review the manufacturing processes and product performance of diagnostic and therapeutic products. The FDA and other regulatory agencies also periodically inspect clinical study sites and CROs that conduct clinical trials, including test facilities that perform tests on samples from human subjects enrolled in such clinical studies of drugs, biologics, and medical devices. These agencies have the authority to take various administrative and legal actions for noncompliance, such as fines, product suspensions, warning or untitled letters, recalls, injunctions and other civil and criminal sanctions. There are similar national and regional regulatory agencies in the jurisdictions outside the U.S. in which the Company operates.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On October 3, 2014, the FDA issued draft guidance regarding FDA regulation of LDTs. On November 18, 2016, the FDA announced that it would not release final guidance at this time and instead would continue to work with stakeholders, the new administration, and Congress to determine the right approach, and on January 13, 2017, the FDA released a discussion paper outlining a possible risk-based approach for FDA and CMS oversight of LDTs. Later in 2017, the FDA indicated that Congress should enact legislation to address improved oversight of diagnostics including LDTs, rather than the FDA addressing the issue through administrative policy proposals. There are other regulatory and legislative proposals that would increase general FDA oversight of clinical laboratories and LDTs. The outcome and ultimate impact of such proposals on the Company is difficult to predict at this time.</w:t>
      </w:r>
    </w:p>
    <w:p>
      <w:pPr>
        <w:spacing w:after="0" w:line="20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CDD’s laboratory facilities and LCD's clinical laboratory facilities that perform testing in support of clinical trials, must conform to a range of standards and regulations, including good laboratory practice (GLP) and good clinical practice (GCP), good manufacturing practice (GMP),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National Medical Products Administration in China (NMPA), and the Pharmaceuticals and Medical Devices Agency in Japan, to determine compliance with GLP and GCP as well as other applicable standards and regulations. If a regulatory agency determines during an inspection that the Company’s equipment, facilities, laboratories, operations, or processes do not comply with applicable regulations and GLP and/or GCP standards, the regulatory agency may issue a formal notice, which may be followed by a warning letter if observations are not addressed satisfactorily. Noncompliance may result in, among other things, unanticipated compliance expenditures, or the regulatory agency seeking civil, criminal or administrative sanctions and/or remedies against the Company, including suspension of its operations.</w:t>
      </w:r>
    </w:p>
    <w:p>
      <w:pPr>
        <w:spacing w:after="0" w:line="21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Additionally, certain CDD services and activities, such as CMC services and manufacturing of investigational medicinal products for use in certain Phase I studies managed by CDD, must conform to GMP. CDD is subject to periodic inspections by the FDA and the MHRA, as well as other regulatory agencies in the jurisdictions outside the U.S. in which the Company operates, in order to assess, among other things, GMP compliance. If a regulatory agency identifies deficiencies during an inspection, it may issue a formal notice, which may be followed by a warning letter if observations are not addressed satisfactorily. Failure to maintain compliance with GMP regulations and other applicable requirements of various regulatory agencies could result in, among other things, fines, unanticipated compliance expenditures, suspension of manufacturing, enforcement actions, injunctions, or criminal prosecution.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U.S Animal Welfare Act (AWA)</w:t>
      </w:r>
    </w:p>
    <w:p>
      <w:pPr>
        <w:spacing w:after="0" w:line="25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conduct of animal research at CDD’s facilities in the U.S. must be in compliance with the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CDD’s animal-related activities may be subject to regulation by the U.S. Centers for Disease Control and Prevention, the Office of Laboratory Animal Welfare of the National Institutes of Health, the U.S. Fish and Wildlife Service, and similar organizations in other jurisdictions.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2019, LCD derived approximately 14.5% of its revenue directly from the Medicare and Medicaid programs. In addition, LCD's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21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Reimbursement under the Medicare PFS is capped at different rates in each Medicare Administrative Contractor's jurisdiction. Pursuant to PAMA,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11.7% of LCD's revenue is reimbursed directly by Medicare under the CLFS.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Approximately 0.6% of LCD's revenue is reimbursed under the PFS.</w:t>
      </w:r>
    </w:p>
    <w:p>
      <w:pPr>
        <w:spacing w:after="0" w:line="20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 addition to changes in reimbursement rates, LCD is also impacted by changes in coverage policies for laboratory tests and annual CPT coding revisions. Medicare, Medicaid and private payer diagnosis code requirements and payment policies negatively impact LCD's ability to be paid for some of the tests it performs. Further, some payers require additional information to process claims, employ third-party utilization management tools, or have implemented prior authorization policies which delay or prohibit payment.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were implemented in 2018 and 2019. While limited changes are expected to be implemented in 2020, the Company expects some delays in pricing and implementation of these new codes.</w:t>
      </w:r>
    </w:p>
    <w:p>
      <w:pPr>
        <w:spacing w:after="0" w:line="21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Further healthcare reform could occur in 2020, including changes to the ACA and Medicare reform, initiatives to address surprise billing and increased price transparency, as well as administrative requirements that may continue to affect coverage, reimbursement, and utilization of laboratory services in ways that are currently unpredictable.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Privacy, Security and Confidentiality of Health Information and Other Personal Information</w:t>
      </w:r>
    </w:p>
    <w:p>
      <w:pPr>
        <w:spacing w:after="0" w:line="252"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which requires the use of a unique employer identifier in connection with certain electronic transactions; (v) the National Provider Identifier Rule, which requires the use of a unique healthcare provider identifier in connection with certain electronic transactions; and (vi) the Health Plan Identifier Rule, which required the use of a unique health plan identifier in connection with certain electronic transactions.</w:t>
      </w:r>
    </w:p>
    <w:p>
      <w:pPr>
        <w:spacing w:after="0" w:line="21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believes that it is in compliance in all material respects with the current Transactions and Code Sets Rule. The Company implemented Version 5010 of the HIPAA Transaction Standards and believes it has fully adopted the ICD-10-CM code set. While to date the Company has not experienced any sustained disruption in receipts or indications of substantive reductions to reimbursement and revenues related to the implementation of the ICD-10-CM code set, further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18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 The Company believes that it is in compliance in all material respects with the requirements of the HIPAA Privacy Rule.</w:t>
      </w:r>
    </w:p>
    <w:p>
      <w:pPr>
        <w:spacing w:after="0" w:line="20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12, 2018, HHS issued a request for information (RFI) seeking input from the public on how the HIPAA regulations, and the Privacy Rule in particular, could be modified to amend existing, or impose additional, obligations relating to the processing of PHI. The Company participated in this process and no further action has yet been taken by HHS.</w:t>
      </w:r>
    </w:p>
    <w:p>
      <w:pPr>
        <w:spacing w:after="0" w:line="20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w:t>
      </w:r>
    </w:p>
    <w:p>
      <w:pPr>
        <w:sectPr>
          <w:pgSz w:w="11900" w:h="16838" w:orient="portrait"/>
          <w:cols w:equalWidth="0" w:num="1">
            <w:col w:w="11420"/>
          </w:cols>
          <w:pgMar w:left="240" w:top="125"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Security Rule.</w:t>
      </w:r>
    </w:p>
    <w:p>
      <w:pPr>
        <w:spacing w:after="0" w:line="252"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Company believes its policies and procedures are fully compliant with HIPAA as modified by the HITECH requirements.</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The Company believes its policies and procedures and privacy notice comply with the Privacy Rule access requirements.</w:t>
      </w:r>
    </w:p>
    <w:p>
      <w:pPr>
        <w:spacing w:after="0" w:line="2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Standard Unique Employer Identifier Rule requires that employers have standard national numbers that identify them on standard transactions. The Employer Identification Number, or a Federal Tax Identification Number, issued by the Internal Revenue Service was selected as the identifier for employers and was adopted effective July 30, 2002. The Company believes it is in compliance with these requirements.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NPI to identify themselves in standard HIPAA transactions. NPI replaces the unique provider identification number and other provider numbers previously assigned by payers and other entities for the purpose of identifying healthcare providers in standard electronic transactions. The Company believes that it is in compliance with the HIPAA National Provider Identifier Rule in all material respects.</w:t>
      </w:r>
    </w:p>
    <w:p>
      <w:pPr>
        <w:spacing w:after="0" w:line="9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Health Plan Identifier (HPID) was a unique identifier designed to furnish a standard way to identify health plans in electronic transactions. CMS published the final rule adopting the HPID for health plans required by HIPAA on September 12, 2012. Effective October 31, 2014, CMS announced a delay, until further notice, in enforcement of regulations pertaining to health plan enumeration and use of the HPID in HIPAA transactions adopted in the HPID final rule. On October 28, 2019, CMS published a final rule rescinding the adopted standard unique HPID and implementation specifications and requirements for its use and other entity identifier (OEID) and implementation specifications for its use, effective December 27, 2019. This delay remains in effect. The Company will continue to monitor future developments related to the HPID and respond accordingly.</w:t>
      </w:r>
    </w:p>
    <w:p>
      <w:pPr>
        <w:spacing w:after="0" w:line="8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w:t>
      </w:r>
    </w:p>
    <w:p>
      <w:pPr>
        <w:spacing w:after="0" w:line="214"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17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 addition to the HIPAA regulations described above, numerous other data protection, privacy and similar laws govern the confidentiality, security, use and disclosure of personal information. These laws vary by jurisdiction, but they most commonly regulate or restrict the collection, use and disclosure of medical and financial information and other personal information. In the U.S., some state laws are more restrictive and, therefore, are not preempted by HIPAA. Penalties for violation of these laws may include sanctions against a laboratory's licensure, as well as civil and/or criminal penalties.</w:t>
      </w:r>
    </w:p>
    <w:p>
      <w:pPr>
        <w:spacing w:after="0" w:line="18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June 28, 2018, the California legislature passed the California Consumer Privacy Act (CCPA), which was effective January 1, 2020. The CCPA created new transparency requirements and granted California residents several new rights with regard their personal information. Failure to comply with the CCPA may result in, among other things, significant civil penalties and injunctive relief, or potential statutory or actual damages. The Company implemented processes to manage compliance with the CCPA. In addition, California residents have the right to bring a private right of action in connection with certain types of incidents. These claims may result in significant liability and potential damages.</w:t>
      </w:r>
    </w:p>
    <w:p>
      <w:pPr>
        <w:spacing w:after="0" w:line="21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On January 2, 2018, the Substance Abuse and Mental Health Services Administration of HHS (SAMHSA) announced the finalization of proposed changes to the Confidentiality of Substance Use Disorder Patient Records regulation, 42 Code of Federal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Regulations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align to its requirements more closely with HIPAA, while maintaining more stringent confidentiality of substance use disorder information. The Company will adopt such changes to its policies and procedures as may be necessary for compliance.</w:t>
      </w:r>
    </w:p>
    <w:p>
      <w:pPr>
        <w:spacing w:after="0" w:line="22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The European Union General Data Protection Regulation (GDPR) Regulation (EU) 2016/679, became effective May 25, 2018, replacing Directive 95/46/EC. The GDPR established new requirements applicable to the use and transfer of personal data and imposes penalties for noncompliance of up to the greater of €20 million or 4% of worldwide revenue. The GDPR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Personal data may only be transferred outside of the European Union to a country that offers an adequate level of data protection under standards set by the European Union. The GDPR also provides individual data subjects with certain rights, where applicable, including the right of access, the right to rectification, the right to be forgotten, the right to restrict or object to processing and the right to data portability.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20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countries where the Company does business including in Asia, Latin America, Canada, and Europe. Failure to comply with these regulations may result in, among other things, civil, criminal and contractual liability, fines, regulatory sanctions and damage to the Company’s reputation.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252"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conducted under regulations such as HIPAA, which includes several provisions related to fraud and abuse enforcement, including the establishment of a program to coordinate and fund U.S., state and local law enforcement efforts, and the Deficit Reduction Act of 2005, which includes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210"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U.S.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192"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9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the physicians’ staff; (ii) offering certain laboratory services at prices below fair market value in return for referrals of other tests that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 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21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OIG has expressed additional concern about the provision of discounts on laboratory services billed to customers in return for the referral of U.S. healthcare program business. In a 1999 Advisory Opinion, the OIG concluded that a laboratory's offer to a physician of significant discounts on non-U.S. healthcare program laboratory tests might violate the Anti-Kickback Statute on the basis that such discounts could be viewed as in exchange for referrals by the physician of business to be billed by the laboratory to Medicare at non-discounted rates.</w:t>
      </w:r>
    </w:p>
    <w:p>
      <w:pPr>
        <w:spacing w:after="0" w:line="21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OIG issued guidance in 1989 and 2003 regarding joint venture arrangements that may be viewed as suspect under the Anti-Kickback Statute. These documents have relevance to clinical laboratories that are part of (or are considering establishing) joint ventures with potential sources of U.S. healthcare program business. Some of the elements of joint ventures that the OIG identified as “suspect” include: arrangements in which the capital invested by referring providers is disproportionately 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where the physicians' financial and business risk in the venture was minimal and the physicians would contract out substantially all laboratory operations, committing very little in the way of financial, capital, or human resources.</w:t>
      </w:r>
    </w:p>
    <w:p>
      <w:pPr>
        <w:spacing w:after="0" w:line="20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to the Anti-Kickback Statute, in October 2018, the U.S. enacted the Eliminating Kickbacks in Recovery Act of 2018 (EKRA), as part of the Substance Use-Disorder Prevention that Promotes Opioid Recovery and Treatment for Patients and Communities Act (SUPPORT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The Company is working through its trade association to address the scope of EKRA and is seeking clarification or correction.</w:t>
      </w:r>
    </w:p>
    <w:p>
      <w:pPr>
        <w:spacing w:after="0" w:line="20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a June 18, 2007, withdrawal of proposed rulemaking, the OIG stated that it would continue evaluating billing patterns on a case-by-case basis, noting that it is “concerned about disparities in the amounts charged to Medicare and Medicaid when compared to private payers,” that it continues to believe its exclusion authority for excess charges “provides useful backstop protection for the public from providers that routinely charge Medicare or Medicaid substantially more than their other customers” and that it will use “all tools available … to address instances where Medicare or Medicaid are charged substantially more than other payers.” An enforcement action by the OIG under this statutory exclusion basis or an enforcement action by Medicaid officials of similar state law restrictions could have an adverse effect on the Company.</w:t>
      </w:r>
    </w:p>
    <w:p>
      <w:pPr>
        <w:spacing w:after="0" w:line="72"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Enrollment and re-enrollment in U.S. healthcare programs, including Medicare and Medicaid, are subject to certain program integrity requirements intended to protect the programs from fraud, waste, and abuse. In September 2019, the Centers for Medicare and Medicaid Services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that-(1) has uncollected debt; (2) has been or is subject to a payment suspension under a federal health care program; (3) has been or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excluded by the Office of Inspector General (OIG) from Medicare, Medicaid, or CHIP; or (4) has had its Medicare, Medicaid, or CHIP billing privileges denied or revoked. This rule permits CMS to deny enrollment based on such an affiliation when CMS determines that the affiliation poses an undue risk of fraud, waste, or abuse. CMS is phasing in this new affiliation disclosure requirement.</w:t>
      </w:r>
    </w:p>
    <w:p>
      <w:pPr>
        <w:spacing w:after="0" w:line="87"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Under another U.S. statute, known as the Stark Law or “physician self-referral” prohibition, physicians who have a financial or a compensation relationship with a commercial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22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October 2019, the OIG and CMS published proposed rules to amend the regulations implementing the Anti-Kickback Statute and the Stark Law, respectively. The proposed amendments are primarily intended to alleviate perceived impediments to coordinated care and value-based compensation arrangements, and have varying degrees of applicability to laboratories. These proposed rules, which would establish new safe harbors and exceptions and amend existing safe harbors and exceptions, have not been finalized, and are subject to change before finalization.</w:t>
      </w:r>
    </w:p>
    <w:p>
      <w:pPr>
        <w:spacing w:after="0" w:line="7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252"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is subject to licensing and regulation under laws and regulations relating to the protection of the environment, and human health and safety laws and regulations relating to the handling, transportation and disposal of medical specimens and hazardous materials,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and regulations concerning the environment and human health and safety with which the Company must also comply.</w:t>
      </w:r>
    </w:p>
    <w:p>
      <w:pPr>
        <w:spacing w:after="0" w:line="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is committed to reducing its carbon footprint. Energy-saving measures are continuing at Company facilities, including installation of energy-saving LED lighting, engaging in waste-to-energy projects, and helping reduce waste going to landfills, as well as capital investments to systems to improve energy and water usage. CDD has achieved a 9.8% reduction in carbon emissions from 2014 to 2018 from the replacement of older infrastructure and ongoing energy efficiency and conservation efforts. As part of a project with its waste disposal vendor, LCD reduced its rate of waste going to landfills from 2.7% in 2017 to 1.99% in 2018. Funding for these and similar projects continued through 2019 and are continuing in 2020.</w:t>
      </w:r>
    </w:p>
    <w:p>
      <w:pPr>
        <w:spacing w:after="0" w:line="7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Testing</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SAMHSA standards. The Company’s laboratories in Research Triangle Park, North Carolina; Raritan, New Jersey; Houston, Texas; Southaven, Mississippi; Spokane, Washington; and St. Paul, Minnesota are all SAMHSA certified.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handles controlled substances as part of the services it provides in preclinical testing and clinical trials. The use of controlled substances in testing for drugs of abuse is regulated by the U.S. Drug Enforcement Administration. The Company seeks to conduct its business in compliance with these regulations as applicable. Violations of these rules may result in criminal and civil fines and penalties.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3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and monitoring and auditing activities. The compliance program demonstrates the Company's commitment to conducting business at the highest standards of ethical conduct and integrity.</w:t>
      </w:r>
    </w:p>
    <w:p>
      <w:pPr>
        <w:spacing w:after="0" w:line="83"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jc w:val="both"/>
        <w:ind w:left="60" w:firstLine="243"/>
        <w:spacing w:after="0" w:line="257" w:lineRule="auto"/>
        <w:rPr>
          <w:sz w:val="20"/>
          <w:szCs w:val="20"/>
          <w:color w:val="auto"/>
        </w:rPr>
      </w:pPr>
      <w:r>
        <w:rPr>
          <w:rFonts w:ascii="Arial" w:cs="Arial" w:eastAsia="Arial" w:hAnsi="Arial"/>
          <w:sz w:val="18"/>
          <w:szCs w:val="18"/>
          <w:color w:val="auto"/>
        </w:rPr>
        <w:t>Information security is one of the Company's top priorities. Securing personal and health information is critical to the Company’s business operations and to future growth, as the Company is committed to using technology to improve the delivery of care. A security breach could have a material adverse operational, financial, regulatory, and reputational impact to the Company. The Company employs a secure technology framework that enables continuous operations of laboratory devices, computers, and communications systems. The Company has experienced and expects to continue to confront attempts by cybercriminals who seek access to its systems and data.</w:t>
      </w:r>
    </w:p>
    <w:p>
      <w:pPr>
        <w:spacing w:after="0" w:line="94" w:lineRule="exact"/>
        <w:rPr>
          <w:sz w:val="20"/>
          <w:szCs w:val="20"/>
          <w:color w:val="auto"/>
        </w:rPr>
      </w:pPr>
    </w:p>
    <w:p>
      <w:pPr>
        <w:jc w:val="both"/>
        <w:ind w:left="60" w:firstLine="243"/>
        <w:spacing w:after="0" w:line="297" w:lineRule="auto"/>
        <w:rPr>
          <w:sz w:val="20"/>
          <w:szCs w:val="20"/>
          <w:color w:val="auto"/>
        </w:rPr>
      </w:pPr>
      <w:r>
        <w:rPr>
          <w:rFonts w:ascii="Arial" w:cs="Arial" w:eastAsia="Arial" w:hAnsi="Arial"/>
          <w:sz w:val="16"/>
          <w:szCs w:val="16"/>
          <w:color w:val="auto"/>
        </w:rPr>
        <w:t>The Company uses state-of-the art tools and advanced analytics to proactively identify and protect against potential information system disruptions and breaches; to monitor, test and secure key networks and services; and to facilitate prompt resumption of operations if a system disruption or interruption should occur. The Company has implemented policies and procedures designed to comply with global laws and regulations related to the privacy and security of personal or health information. In addition, the Company follows protocols for evaluating the cybersecurity status of any vendor or third-party that will have access to the Company's data or information technology systems. The Company also carries cybercrime and business interruption insurance.</w:t>
      </w:r>
    </w:p>
    <w:p>
      <w:pPr>
        <w:spacing w:after="0" w:line="64" w:lineRule="exact"/>
        <w:rPr>
          <w:sz w:val="20"/>
          <w:szCs w:val="20"/>
          <w:color w:val="auto"/>
        </w:rPr>
      </w:pPr>
    </w:p>
    <w:p>
      <w:pPr>
        <w:jc w:val="both"/>
        <w:ind w:left="60" w:firstLine="243"/>
        <w:spacing w:after="0" w:line="259" w:lineRule="auto"/>
        <w:rPr>
          <w:sz w:val="20"/>
          <w:szCs w:val="20"/>
          <w:color w:val="auto"/>
        </w:rPr>
      </w:pPr>
      <w:r>
        <w:rPr>
          <w:rFonts w:ascii="Arial" w:cs="Arial" w:eastAsia="Arial" w:hAnsi="Arial"/>
          <w:sz w:val="18"/>
          <w:szCs w:val="18"/>
          <w:color w:val="auto"/>
        </w:rPr>
        <w:t>Over the past several years, the Company has significantly increased its investment in cybersecurity technology and training to help protect its information technology systems and operations in response to the ever-evolving cyberthreat landscape. Additional resources have been and will be dedicated to expand the Company’s ability to investigate and remediate any cybersecurity vulnerabilities, and to manage any impact of a cybersecurity event on its business and operations.</w:t>
      </w:r>
    </w:p>
    <w:p>
      <w:pPr>
        <w:spacing w:after="0" w:line="92" w:lineRule="exact"/>
        <w:rPr>
          <w:sz w:val="20"/>
          <w:szCs w:val="20"/>
          <w:color w:val="auto"/>
        </w:rPr>
      </w:pPr>
    </w:p>
    <w:p>
      <w:pPr>
        <w:jc w:val="both"/>
        <w:ind w:left="60" w:firstLine="243"/>
        <w:spacing w:after="0" w:line="259" w:lineRule="auto"/>
        <w:rPr>
          <w:sz w:val="20"/>
          <w:szCs w:val="20"/>
          <w:color w:val="auto"/>
        </w:rPr>
      </w:pPr>
      <w:r>
        <w:rPr>
          <w:rFonts w:ascii="Arial" w:cs="Arial" w:eastAsia="Arial" w:hAnsi="Arial"/>
          <w:sz w:val="18"/>
          <w:szCs w:val="18"/>
          <w:color w:val="auto"/>
        </w:rPr>
        <w:t>In July 2018, the Company experienced a ransomware incident which affected certain LCD information technology systems. The incident temporarily affected test processing and customer access to test results, and also affected certain other information technology systems involved in conducting Company-wide operations. The investigation determined that the ransomware did not and could not transfer patient or client data outside of Company systems and that there was no theft or misuse of patient or client data.</w:t>
      </w:r>
    </w:p>
    <w:p>
      <w:pPr>
        <w:spacing w:after="0" w:line="92" w:lineRule="exact"/>
        <w:rPr>
          <w:sz w:val="20"/>
          <w:szCs w:val="20"/>
          <w:color w:val="auto"/>
        </w:rPr>
      </w:pPr>
    </w:p>
    <w:p>
      <w:pPr>
        <w:jc w:val="both"/>
        <w:ind w:left="60" w:firstLine="243"/>
        <w:spacing w:after="0" w:line="259" w:lineRule="auto"/>
        <w:rPr>
          <w:sz w:val="20"/>
          <w:szCs w:val="20"/>
          <w:color w:val="auto"/>
        </w:rPr>
      </w:pPr>
      <w:r>
        <w:rPr>
          <w:rFonts w:ascii="Arial" w:cs="Arial" w:eastAsia="Arial" w:hAnsi="Arial"/>
          <w:sz w:val="18"/>
          <w:szCs w:val="18"/>
          <w:color w:val="auto"/>
        </w:rPr>
        <w:t>The Company is also exposed to risks related to information security arising from the information technology systems and operations of third parites, including those of the Company's vendors and partners. For example, on May 14, 2019, Retrieval-Masters Credit Bureau, Inc. d/b/a/ American Medical Collections Agency (AMCA), an external collection agency, notified the Company about a security incident AMCA experienced that may have involved certain personal information about some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left="60"/>
        <w:spacing w:after="0" w:line="286" w:lineRule="auto"/>
        <w:rPr>
          <w:sz w:val="20"/>
          <w:szCs w:val="20"/>
          <w:color w:val="auto"/>
        </w:rPr>
      </w:pPr>
      <w:r>
        <w:rPr>
          <w:rFonts w:ascii="Arial" w:cs="Arial" w:eastAsia="Arial" w:hAnsi="Arial"/>
          <w:sz w:val="16"/>
          <w:szCs w:val="16"/>
          <w:color w:val="auto"/>
        </w:rPr>
        <w:t>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on behalf of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will be provided free of charge for 24 months. The Company has incurred, and expects to continue to incur, costs related to the AMCA Incident. In addition, the Company is involved in pending and threatened litigation related to the AMCA Incident, as well as various government and regulatory inquiries and processes. For additional information about the AMCA Incident, see Note 16 Commitments and Contingencies to the Consolidated Financial Statements.</w:t>
      </w:r>
    </w:p>
    <w:p>
      <w:pPr>
        <w:spacing w:after="0" w:line="77" w:lineRule="exact"/>
        <w:rPr>
          <w:sz w:val="20"/>
          <w:szCs w:val="20"/>
          <w:color w:val="auto"/>
        </w:rPr>
      </w:pPr>
    </w:p>
    <w:p>
      <w:pPr>
        <w:ind w:right="400" w:firstLine="297"/>
        <w:spacing w:after="0" w:line="391" w:lineRule="auto"/>
        <w:rPr>
          <w:sz w:val="20"/>
          <w:szCs w:val="20"/>
          <w:color w:val="auto"/>
        </w:rPr>
      </w:pPr>
      <w:r>
        <w:rPr>
          <w:rFonts w:ascii="Arial" w:cs="Arial" w:eastAsia="Arial" w:hAnsi="Arial"/>
          <w:sz w:val="18"/>
          <w:szCs w:val="18"/>
          <w:color w:val="auto"/>
        </w:rPr>
        <w:t xml:space="preserve">The Company continues to invest in its technology and training to help protect its information technology systems and operations from cyberattacks. </w:t>
      </w:r>
      <w:r>
        <w:rPr>
          <w:rFonts w:ascii="Arial" w:cs="Arial" w:eastAsia="Arial" w:hAnsi="Arial"/>
          <w:sz w:val="18"/>
          <w:szCs w:val="18"/>
          <w:b w:val="1"/>
          <w:bCs w:val="1"/>
          <w:color w:val="auto"/>
        </w:rPr>
        <w:t>Item 1A. Risk Factors</w:t>
      </w:r>
    </w:p>
    <w:p>
      <w:pPr>
        <w:spacing w:after="0" w:line="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“Forward-Looking Statements” in Item 7.</w:t>
      </w:r>
    </w:p>
    <w:p>
      <w:pPr>
        <w:spacing w:after="0" w:line="83" w:lineRule="exact"/>
        <w:rPr>
          <w:sz w:val="20"/>
          <w:szCs w:val="20"/>
          <w:color w:val="auto"/>
        </w:rPr>
      </w:pPr>
    </w:p>
    <w:p>
      <w:pPr>
        <w:jc w:val="both"/>
        <w:ind w:firstLine="45"/>
        <w:spacing w:after="0" w:line="266"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regulations or approvals, or changes in other laws, regulations or policies in the United States (U.S.), may adversely affect U.S. governmental and third-party coverage or reimbursement for clinical laboratory testing and may have a material adverse effect upon the Company.</w:t>
      </w:r>
    </w:p>
    <w:p>
      <w:pPr>
        <w:spacing w:after="0" w:line="86"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7"/>
          <w:szCs w:val="17"/>
          <w:color w:val="auto"/>
        </w:rPr>
        <w:t>U.S. and state government payers, such as Medicare and Medicaid, as well as insurers, including managed care organizations (MCOs), have increased their efforts to control the cost, utilization and delivery of healthcare services. From time to time, Congress has considered and implemented changes in Medicare fee schedules in conjunction with budgetary legislation. The first phase of reductions pursuant to the Protecting Access to Medicare Act (PAMA) came into effect on January 1, 2018, and will continue annually subject to certain phase-in limits through 2025, and without limitations for subsequent periods. Further reductions due to changes in policy regarding coverage of tests or other requirements for payment, such as prior authorization, diagnosis code and other claims edits, or a physician or qualified practitioner’s signature on test requisitions, may be implemented from time to time. Reimbursement for pathology services performed by LabCorp Diagnostics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LCD's business. Actions by federal and state agencies regulating insurance, including healthcare exchanges, or changes in other laws, regulations, or policies may also have a material adverse effect upon LCD's business.</w:t>
      </w:r>
    </w:p>
    <w:p>
      <w:pPr>
        <w:spacing w:after="0" w:line="81" w:lineRule="exact"/>
        <w:rPr>
          <w:sz w:val="20"/>
          <w:szCs w:val="20"/>
          <w:color w:val="auto"/>
        </w:rPr>
      </w:pPr>
    </w:p>
    <w:p>
      <w:pPr>
        <w:jc w:val="both"/>
        <w:ind w:firstLine="58"/>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government programs if it violates anti-fraud and abuse laws.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authorities may take a contrary position with respect to the Eliminating Kickbacks in Recovery Act (EKRA), given its recent passage and lack of associated regulations to clarify or add exceptions. Such occurrences, regardless of their outcome, could damage the Company’s reputation and adversely affect important business relationships.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1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9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U.S. Food and Drug Administration (FDA) regulation of diagnostic products and increased FDA regulation of laboratory-developed tests (LDTs) could result in increased costs and the imposition of fines or penalties, and could have a material adverse effect upon the Company’s business.</w:t>
      </w:r>
    </w:p>
    <w:p>
      <w:pPr>
        <w:spacing w:after="0" w:line="14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LCD’s point-of-care testing devices are subject to regulation by the FDA.</w:t>
      </w:r>
    </w:p>
    <w:p>
      <w:pPr>
        <w:spacing w:after="0" w:line="2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FDA has instead continued its enforcement discretion policy and has indicated that it intends to work with Congress to enact comprehensive legislative preform of diagnostics oversight. As such, LDTs developed by high complexity clinical laboratories are currently generally offered as services to health care providers under the CLIA regulatory framework administered by the Centers for Medicare and Medicaid Services (CMS) of the U.S. Department of Health and Human Services (HHS),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 On February 20, 2020, the FDA issued a statement with a table of pharmacogenetic associations setting forth certain gene-drug interactions that the agency has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while it is committed to work with Congress on new comprehensive diagnostic oversight reform legislation, it could still take enforcement actions under the current medical device framework regarding diagnostic claims the agency determines not to be sufficiently supported. Even without issuance of a finalized LDT oversight framework, in light of the April 4, 2019, FDA warning letter issued to Inova Genomics Laboratory related to certain LDTs that Inova offered, as well as the February 2020 pharmacogenetics statement, there may be an increased risk of FDA enforcement actions for laboratory tests offered by companies without FDA clearance or approval.</w:t>
      </w:r>
    </w:p>
    <w:p>
      <w:pPr>
        <w:spacing w:after="0" w:line="74"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As previously discussed in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Health Insurance Portability and Accountability Act of 1996 (HIPAA) privacy and security regulations, including the expanded requirements under U.S. Health Information Technology for Economic and Clinical Health Act (HITECH), establish comprehensive standards with respect to the use and disclosure of protected health information (PHI), by covered entities, in addition to setting standards to protect the confidentiality, integrity and security of PHI.</w:t>
      </w:r>
    </w:p>
    <w:p>
      <w:pPr>
        <w:spacing w:after="0" w:line="9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94" w:lineRule="exact"/>
        <w:rPr>
          <w:sz w:val="20"/>
          <w:szCs w:val="20"/>
          <w:color w:val="auto"/>
        </w:rPr>
      </w:pPr>
    </w:p>
    <w:p>
      <w:pPr>
        <w:ind w:left="260" w:hanging="252"/>
        <w:spacing w:after="0" w:line="274"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23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w:t>
      </w:r>
    </w:p>
    <w:p>
      <w:pPr>
        <w:spacing w:after="0" w:line="22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June 28, 2018, the California legislature passed the California Consumer Privacy Act (CCPA), which was effective January 1, 2020. The CCPA created new transparency requirements and granted California residents several new rights with regard their personal information. Failure to comply with the CCPA may result in, among other things, significant civil penalties and injunctive relief, or potential statutory or actual damages. The Company implemented processes to manage compliance with the CCPA. In addition, California residents have the right to bring a private right of action in connection with certain types of incidents. These claims may result in significant liability and potential damages.</w:t>
      </w:r>
    </w:p>
    <w:p>
      <w:pPr>
        <w:spacing w:after="0" w:line="21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may also be required to comply with the data privacy and security laws of other countries in which it operates or with which it transfers and receives data. For example, the European Union’s (EU) General Data Protection Regulation (GDPR), which took effect May 25, 2018, created a range of new compliance obligations for subject companies and imposes penalties for noncompliance of up to the greater of €20 million or 4% of worldwide revenue. The Company has established processes and frameworks to manage compliance with the GDPR, but there remains uncertainty as to how EU supervisory authorities will interpret and enforce the regulation. The costs of compliance with the GDPR could be significant.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countries where the Company does business, including in Asia, Latin America, Canada and Europe. The Company expects to make changes to its business practices and to incur additional costs associated with compliance with these evolving and complex regulations.</w:t>
      </w:r>
    </w:p>
    <w:p>
      <w:pPr>
        <w:spacing w:after="0" w:line="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 information. A compromise in the Company’s security systems, or those of the Company's third party service providers and vendors, that results in customer personal information being obtained by unauthorized persons or the Company’s or third party's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the Company has incurred, and expects to continue to incur, costs, and the Company is involved in pending and threatened litigation, as well as various government and regulatory inquiries and processes. For additional information about the AMCA Incident, see Note 16 Commitments and Contingencies to the Consolidated Financial Statements.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 depends on third parties to provide services critical to the Company's business, and depends on them to comply with applicable laws and regulations. Additionally, any breaches of the information technology systems of third parties could have a material adverse effect on the Company's operations.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depends on third parties to provide services critical to the Company's business, including supplies, ground and air transport of clinical and diagnostic testing supplies and specimens, research products, and people, among other services.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 receive services from the third parties, legal liability of the Company for the actions or inactions of third parties, or otherwise.</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third parties to whom the Company outsources certain services or functions may process personal data, or other confidential information of the Company. A breach or attack affecting these third parties could also harm the Company's business, results of operations and reputation.</w:t>
      </w:r>
    </w:p>
    <w:p>
      <w:pPr>
        <w:spacing w:after="0" w:line="4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6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83"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94"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7"/>
          <w:szCs w:val="17"/>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lead to increased testing by physicians in their offices or by patients at home, which could affect the Company’s market for laboratory testing services and negatively impact its revenues.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effect on the Company's revenues, profitability and cash flow.</w:t>
      </w:r>
    </w:p>
    <w:p>
      <w:pPr>
        <w:spacing w:after="0" w:line="20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LCD's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20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Capitation shifts the risk of increased test utilization (and the underlying mix of testing services) to the commercial laboratory provider. The Company makes significant efforts to obtain adequate compensation for its services in its capitated arrangements. For the year ended December 31, 2019, such capitated contracts accounted for approximately $298.0 million, or 4.3%, of LCD's revenues.</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76" w:lineRule="exact"/>
        <w:rPr>
          <w:sz w:val="20"/>
          <w:szCs w:val="20"/>
          <w:color w:val="auto"/>
        </w:rPr>
      </w:pPr>
    </w:p>
    <w:p>
      <w:pPr>
        <w:jc w:val="both"/>
        <w:ind w:firstLine="303"/>
        <w:spacing w:after="0" w:line="271" w:lineRule="auto"/>
        <w:rPr>
          <w:sz w:val="20"/>
          <w:szCs w:val="20"/>
          <w:color w:val="auto"/>
        </w:rPr>
      </w:pPr>
      <w:r>
        <w:rPr>
          <w:rFonts w:ascii="Arial" w:cs="Arial" w:eastAsia="Arial" w:hAnsi="Arial"/>
          <w:sz w:val="17"/>
          <w:szCs w:val="17"/>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8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These issues (particularly payer policy changes) and changes in coverage had a negative impact on revenue, revenue per requisition, and margins and cash flows beginning in 2014, and are expected to have a continuing negative impact. Similarly, the Clinical Laboratory Fee Schedule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were implemented in 2018 and 2019. While limited changes are expected to be implemented in 2020, the Company expects some delays in pricing and implementation of these new codes.</w:t>
      </w:r>
    </w:p>
    <w:p>
      <w:pPr>
        <w:spacing w:after="0" w:line="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certain types of testing such as molecular, genetic and toxicology testing.</w:t>
      </w:r>
    </w:p>
    <w:p>
      <w:pPr>
        <w:spacing w:after="0" w:line="9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expects the efforts to impose reduced reimbursement, more stringent payment policies, and utilization and cost controls by government and other payers to continue. If LCD cannot offset additional reductions in the payments it receives for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which were revised by Congress in 2019. For 2018-2020, a test price cannot be reduced by more than 10.0% per year; for 2021-2023, a test price cannot be reduced by more than 15.0% per year. The process of data reporting and repricing will be repeated every three years for Clinical Diagnostic Laboratory Tests (CDLTs) beginning in 2021. Under the current law, the second data reporting period for CDLTs will occur during the first quarter of 2021 (based on data collected in 2019), and new CLFS rates for CDLTs will be established based on that data beginning in 2022, subject to the previously described phase-in limits for 2022-2023. The third data reporting period for CDLTs will occur during the first quarter of 2024, and new CLFS rates for CDLTs will be established based on that data beginning in 2025. CLFS rates for 2024 and subsequent periods will not be subject to phase-in limits. CLFS rates for Advanced Diagnostic Laboratory Tests (ADLTs) will be updated annually. CMS published its initial proposed CLFS rates under PAMA for 2018-2020 on September 22, 2017. Following a public comment period, CMS made adjustments and published final CLFS rates for 2018-2020 on November 17, 2017, with additional adjustments published on December 1, 2017. For 2019, the Company realized a net reduction in reimbursement of approximately $107.0 million from all payers affected by the CLFS (approximately $70.0 million in 2018). Unless implementation of PAMA is further delayed or changed, an additional reduction of approximately $90.0 million is expected for 2020, from all payers affected by the CLFS.</w:t>
      </w:r>
    </w:p>
    <w:p>
      <w:pPr>
        <w:spacing w:after="0" w:line="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biopharmaceutical industry could decrease the need for certain services that Covance Drug Development (CDD) provides.</w:t>
      </w:r>
    </w:p>
    <w:p>
      <w:pPr>
        <w:spacing w:after="0" w:line="19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CDD assists biopharmaceutical companies in navigating the regulatory drug approval process. Changes in regulations such as a relaxation in regulatory requirements or the introduction of simplified drug approval procedures, or an increase in regulatory requirements that CDD has difficulty satisfying or that make its services less competitive, could eliminate or substantially reduce the demand for its services. Also, if government efforts to contain drug costs impact biopharmaceutical company profits from new drugs, or if health insurers were to change their practices with respect to reimbursement for biopharmaceutical products, some of CDD’s customers may spend less, or reduce their growth in spending on R&amp;D.</w:t>
      </w:r>
    </w:p>
    <w:p>
      <w:pPr>
        <w:spacing w:after="0" w:line="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December 13, 2016, the 21st Century Cures Act was signed into law. This Act provides funding designed to increase government spending on certain drug development initiatives; contains several provisions designed to help make the drug development process more streamlined and efficient; and allows the FDA to increase staffing to support drug development, review and regulation. These provisions should be helpful to biopharmaceutical companies and contract research organizations (CROs), including CDD, to the extent that they capitalize on the use of data, adaptive trial designs, real-world evidence, biomarkers and other development tools that are accepted by the FDA.</w:t>
      </w:r>
    </w:p>
    <w:p>
      <w:pPr>
        <w:spacing w:after="0" w:line="94" w:lineRule="exact"/>
        <w:rPr>
          <w:sz w:val="20"/>
          <w:szCs w:val="20"/>
          <w:color w:val="auto"/>
        </w:rPr>
      </w:pPr>
    </w:p>
    <w:p>
      <w:pPr>
        <w:jc w:val="both"/>
        <w:ind w:right="20" w:firstLine="270"/>
        <w:spacing w:after="0" w:line="312" w:lineRule="auto"/>
        <w:rPr>
          <w:sz w:val="20"/>
          <w:szCs w:val="20"/>
          <w:color w:val="auto"/>
        </w:rPr>
      </w:pPr>
      <w:r>
        <w:rPr>
          <w:rFonts w:ascii="Arial" w:cs="Arial" w:eastAsia="Arial" w:hAnsi="Arial"/>
          <w:sz w:val="16"/>
          <w:szCs w:val="16"/>
          <w:color w:val="auto"/>
        </w:rPr>
        <w:t>In addition, implementation of healthcare reform legislation that adds costs could limit the profits that can be made from the development of new drugs. This could adversely affect R&amp;D expenditures by biopharmaceutical companies, which could in turn decrease the business opportunities available to CDD both in the U.S. and other countries. New laws or regulations may create a risk of liability, increase CDD costs or limit service offerings through CDD.</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Failure to comply with the regulations of drug regulatory agencies, such as the FDA, the Medicines and Healthcare products Regulatory Agency in the United Kingdom (U.K.), the European Medicines Agency, the National Medical Products Administration in China (NMPA), and the Pharmaceuticals and Medical Devices Agency in Japan, could result in sanctions and/or remedies against CDD and have a material adverse effect upon the Company.</w:t>
      </w:r>
    </w:p>
    <w:p>
      <w:pPr>
        <w:spacing w:after="0" w:line="2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operation of CDD's preclinical laboratory facilities and clinical trial operations must conform to good laboratory practice (GLP) and good clinical practice (GCP), as applicable, as well as all other applicable standards and regulations, as further described in Item 1 of Part I of this report. The business operations of CDD’s clinical and preclinical laboratories also require the import, export and use of medical devices, in vitro diagnostic devices, reagents, and human and animal biological products. Such activities are subject to numerous applicable local and international regulations with which CDD must comply. If CDD does not comply, CDD could potentially be subject to civil, criminal or administrative sanctions and/or remedies, including suspension of its ability to conduct preclinical and clinical studies, and to import or export to or from certain countries, which could have a material adverse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effect upon the Company.</w:t>
      </w:r>
    </w:p>
    <w:p>
      <w:pPr>
        <w:spacing w:after="0" w:line="13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Additionally, certain CDD services and activities must conform to current good manufacturing practice GMP, as further described in Item 1 of Part I of this report. Failure to maintain compliance with GLP, GCP, or GMP regulations and other applicable requirements of various regulatory agencies could result in warning or untitled letters, fines, unanticipated compliance expenditures, suspension of manufacturing, and civil, criminal or administrative sanctions and/or remedies against CDD, including suspension of its laboratory operations, which could have a material adverse effect upon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effect on the Company’s revenues and profitability.</w:t>
      </w:r>
    </w:p>
    <w:p>
      <w:pPr>
        <w:spacing w:after="0" w:line="14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further described in Item 1 of Part I of this report, both LCD and CDD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4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Competitors in the CRO industry range from hundreds of smaller CROs to a limited number of large CROs with global capabilities. CDD’s main competition consists of these small and large CROs, as well as in-house departments of biopharmaceutical companies and, to a lesser extent, select universities and teaching hospitals. CDD’s services have from time to time experienced periods of increased price competition that had an adverse effect on a segment's profitability and consolidated revenues and net income. There is competition among CROs for both customers and potential acquisition candidates. Additionally, few barriers to entering the CRO industry further increases possible new competition.</w:t>
      </w:r>
    </w:p>
    <w:p>
      <w:pPr>
        <w:spacing w:after="0" w:line="1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These competitive pressures may affect the attractiveness or profitability of LCD’s and CDD’s services, and could adversely affect the financial results of the Company.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20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existing customers, an inability to gain new customers and a reduction in the Company's business.</w:t>
      </w:r>
    </w:p>
    <w:p>
      <w:pPr>
        <w:spacing w:after="0" w:line="91" w:lineRule="exact"/>
        <w:rPr>
          <w:sz w:val="20"/>
          <w:szCs w:val="20"/>
          <w:color w:val="auto"/>
        </w:rPr>
      </w:pPr>
    </w:p>
    <w:p>
      <w:pPr>
        <w:ind w:left="80" w:right="20" w:firstLine="648"/>
        <w:spacing w:after="0" w:line="282" w:lineRule="auto"/>
        <w:rPr>
          <w:sz w:val="20"/>
          <w:szCs w:val="20"/>
          <w:color w:val="auto"/>
        </w:rPr>
      </w:pPr>
      <w:r>
        <w:rPr>
          <w:rFonts w:ascii="Arial" w:cs="Arial" w:eastAsia="Arial" w:hAnsi="Arial"/>
          <w:sz w:val="18"/>
          <w:szCs w:val="18"/>
          <w:b w:val="1"/>
          <w:bCs w:val="1"/>
          <w:color w:val="auto"/>
        </w:rPr>
        <w:t>Continued and increased consolidation of MCOs, biopharmaceutical companies, health systems, physicians and other customers could adversely affect the Company's business.</w:t>
      </w:r>
    </w:p>
    <w:p>
      <w:pPr>
        <w:spacing w:after="0" w:line="193"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Many healthcare companies and providers, including MCOs, biopharmaceutical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1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physicians as they become part of healthcare systems and networks and/or to create new relationships could impact its ability to successfully grow its business.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disruption in services or supplies provided by third parties, including transportation, could adversely affect the Company’s business.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Company depends on third parties to provide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of these services, products, or animal populations may arise from export/import restrictions or embargoes, political or economic instability, pressure from animal rights activists, adverse weather, natural disasters, public health crises, transportation disruptions, or other causes, as well as from termination of relationships with suppliers or vendors for their failure to follow the Company’s performance standards and requirements. Disruption of supply could have a material adverse effect on the Company’s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2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Many of the Company’s facilities could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bears financial risk for contracts that, for reasons beyond the Company's control, may be underpriced, subject to cost overruns, delayed, or terminated or reduced in scope.</w:t>
      </w:r>
    </w:p>
    <w:p>
      <w:pPr>
        <w:spacing w:after="0" w:line="8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CDD’s contracts, in particular, provide for services on a fixed-price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CDD’s failure to perform its duties properly under the contract.</w:t>
      </w:r>
    </w:p>
    <w:p>
      <w:pPr>
        <w:spacing w:after="0" w:line="103" w:lineRule="exact"/>
        <w:rPr>
          <w:sz w:val="20"/>
          <w:szCs w:val="20"/>
          <w:color w:val="auto"/>
        </w:rPr>
      </w:pPr>
    </w:p>
    <w:p>
      <w:pPr>
        <w:ind w:right="20" w:firstLine="162"/>
        <w:spacing w:after="0" w:line="33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CDD faces a range of potential liabilities, including:</w:t>
      </w:r>
    </w:p>
    <w:p>
      <w:pPr>
        <w:spacing w:after="0" w:line="23" w:lineRule="exact"/>
        <w:rPr>
          <w:sz w:val="20"/>
          <w:szCs w:val="20"/>
          <w:color w:val="auto"/>
        </w:rPr>
      </w:pPr>
    </w:p>
    <w:p>
      <w:pPr>
        <w:ind w:left="260" w:hanging="252"/>
        <w:spacing w:after="0" w:line="250"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subjects during a trial or to consumers of a drug after the trial is completed and regulatory approval of the drug has been granted;</w:t>
      </w:r>
    </w:p>
    <w:p>
      <w:pPr>
        <w:ind w:left="260" w:hanging="252"/>
        <w:spacing w:after="0" w:line="250"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ind w:left="260" w:right="320" w:hanging="252"/>
        <w:spacing w:after="0" w:line="265"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that animals in CDD’s facilities may be infected with diseases that may be harmful and even lethal to themselves and humans despite preventive measures contained in CDD's business policies, including those for the quarantine and handling of imported animals; and</w:t>
      </w:r>
    </w:p>
    <w:p>
      <w:pPr>
        <w:ind w:left="260" w:hanging="252"/>
        <w:spacing w:after="0" w:line="261"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Errors and omissions during a trial that may undermine the usefulness of a trial or data from the trial or study or may delay the entry of a drug to the market.</w:t>
      </w:r>
    </w:p>
    <w:p>
      <w:pPr>
        <w:spacing w:after="0" w:line="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While CDD endeavors to include in its contracts provisions entitling it to be indemnified and entitling it to a limitation of liability, these provisions are not always successfully obtained and, even if obtained, do not uniformly protect CDD against liability arising from certain of its own actions. CDD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CDD is not successful in limiting its liability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in the event that the damages and costs exceed CDD's insurance coverage. CDD may also be required to agree to contract provisions with clinical trial sites or its customers related to the conduct of clinical trials, and CDD could be materially and adversely affected if it were required to indemnify a site or customer against claims pursuant to such contract terms. There can be no assurance that CDD will be able to maintain sufficient insurance coverage on acceptable terms.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may become subject in the ordinary course of business to material legal actions related to, among other things, intellectual property disputes, contract disputes, data and privacy issues, professional liability and employee-related matters. The Company may also receive inquiries and requests for information from governmental agencies and bodies, including Medicare or Medicaid payers, requesting comment and/or information on allegations of billing irregularities, billing and pricing arrangements, or privacy practices that are brought to their attention through audits or third parties. Legal actions could result in substantial monetary damages as well as damage to the Company’s reputation with customers, which could have a material adverse effect upon its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operating results, may vary significantly from quarter to quarter and are influenced by factors over which the Company has little control, such as:</w:t>
      </w:r>
    </w:p>
    <w:p>
      <w:pPr>
        <w:spacing w:after="0" w:line="7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contracts or groups of projects;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1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20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CDD’s revenues depend on the biopharmaceutical industry.</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CDD’s revenues depend greatly on the expenditures made by the biopharmaceutical industry in R&amp;D. In some instances, biopharmaceutical companies are reliant on their ability to raise capital in order to fund their R&amp;D projects. Biopharmaceutical companies are also reliant on reimbursement for their products from government programs and commercial payers. Accordingly, economic factors and industry trends affecting CDD’s customers in these industries may also affect CDD. If these companies were to reduce the number of R&amp;D projects they conduct or outsource, whether through the inability to raise capital, reductions in reimbursement from governmental programs or commercial payers, industry trends, economic conditions or otherwise, CDD could be materially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CDD's preclinical services utilize animals in preclinical testing of the safety and efficacy of drugs. Such activities are required for the development of new medicines and medical devices under regulatory regimes in the U.S., Europe, Japan and other countries. Acts of vandalism and other acts by animal rights activists who object to the use of animals in drug development could have an adverse effect on the Company.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Animal populations may suffer diseases that can damage CDD's inventory, harm its reputation, result in decreased sales of research products or result in other liability.</w:t>
      </w:r>
    </w:p>
    <w:p>
      <w:pPr>
        <w:sectPr>
          <w:pgSz w:w="11900" w:h="16838" w:orient="portrait"/>
          <w:cols w:equalWidth="0" w:num="1">
            <w:col w:w="11420"/>
          </w:cols>
          <w:pgMar w:left="240" w:top="125"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animal welfare laws and regulations could result in sanctions and/or remedies against CDD and have a material adverse effect upon the Company.</w:t>
      </w:r>
    </w:p>
    <w:p>
      <w:pPr>
        <w:spacing w:after="0" w:line="19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conduct of animal research at CDD’s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CDD conducts animal research, including the European Union (E.U.) and China. CDD complies with licensing and registration requirement standards set by these laws and regulations in the jurisdictions in which it conducts animal research. If an enforcement agency determines that CDD’s equipment, facilities, laboratories or processes do not comply with applicable standards, it may issue an inspection report documenting the deficiencies and setting deadlines for any required corrective actions. For noncompliance, the agency may take action against CDD that may include fines, suspension and/or revocation of animal research licenses, or confiscation of research animals.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inability to attract and retain experienced and qualified personnel, including key management personnel, could adversely affect the Company’s business.</w:t>
      </w:r>
    </w:p>
    <w:p>
      <w:pPr>
        <w:spacing w:after="0" w:line="19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The loss of key management personnel or the inability to attract and retain experienced and qualified employees at the Company’s clinical laboratories, drug development, and diagnostic facilities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depends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and retain qualified personnel,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19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Unproductive labor environment, union strikes, work stoppages, Works Council negotiations, or failure to comply with labor or employment laws could adversely affect the Company's operations and have a material adverse effect upon the Company's business.</w:t>
      </w:r>
    </w:p>
    <w:p>
      <w:pPr>
        <w:spacing w:after="0" w:line="16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is a party to a limited number of collective bargaining agreements with various labor unions and is subject to unionization activity,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(OFCCP) compliance, and unlawful workplace harassment and discrimination.</w:t>
      </w:r>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increase in LCD's or CDD's days sales outstanding could have an adverse effect on the Company’s business, including its cash flow, by increasing its bad debt or decreasing its cash flow.</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has experienced an increase in patient responsibility as a result of managed care fee-for-service plans that continue to increase patient deductibles, coinsurance and copayments, or implement restrictive coverage or</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administrative policies that can further increase patient costs. LCD expects this trend to continue. A material increase in LCD’s days sales outstanding level could have an adverse effect on the Company's business, including potentially increasing its bad debt rate and decreasing its cash flows. Although CDD does not face the same level of complexity in its billing processes, it could also experience delays in billing or collection, and a material increase in CDD’s days sales outstanding could have an adverse effect on the Company’s business, including potentially decreasing its cash flows.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updates or enhancements to those systems could significantly increase testing turnaround time or delay billing processes and otherwise disrupt the Company’s operations or customer relationships.</w:t>
      </w:r>
    </w:p>
    <w:p>
      <w:pPr>
        <w:spacing w:after="0" w:line="207" w:lineRule="exact"/>
        <w:rPr>
          <w:sz w:val="20"/>
          <w:szCs w:val="20"/>
          <w:color w:val="auto"/>
        </w:rPr>
      </w:pPr>
    </w:p>
    <w:p>
      <w:pPr>
        <w:jc w:val="both"/>
        <w:ind w:firstLine="308"/>
        <w:spacing w:after="0" w:line="272" w:lineRule="auto"/>
        <w:rPr>
          <w:sz w:val="20"/>
          <w:szCs w:val="20"/>
          <w:color w:val="auto"/>
        </w:rPr>
      </w:pPr>
      <w:r>
        <w:rPr>
          <w:rFonts w:ascii="Arial" w:cs="Arial" w:eastAsia="Arial" w:hAnsi="Arial"/>
          <w:sz w:val="17"/>
          <w:szCs w:val="17"/>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Failure of the Company’s information technology systems could adversely affect the Company’s business, profitability and financial condition.</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new systems or system enhancements to existing systems, and cybersecurity breaches may harm the Company.</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success depends on the efficient and uninterrupted operation of its computer and communications systems. A failure of the network or data-gathering procedures could impede the processing of data, delivery of databases and services, customer orders and day-to-day management of the business and could result in the corruption or loss of data. While certain operations have appropriate disaster recovery plans in place, there currently are not redundant facilities everywhere in the world to provide information technology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Company's or its customers’ data could harm the Company’s reputation and adversely affect its business.</w:t>
      </w:r>
    </w:p>
    <w:p>
      <w:pPr>
        <w:spacing w:after="0" w:line="8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The Company has experienced and expects to continue to experience attempts by computer programmers and hackers to attack and penetrate the Company’s layered security controls, like the 2018 ransomware attack. The Company has also experienced and expects to continue to experience similar attempts to attack and penetrate the systems of third-party suppliers and vendors to whom the Company has provided data, like the 2019 data breach of Retrieval-Masters Credit Bureau, Inc. d/b/a/ American Medical Collections Agency (AMCA). These attempts, if successful, could result in the misappropriation or compromise of personal information or proprietary or confidential information stored within the Company's systems or within the systems of third-parties, create system disruptions or cause shutdowns. External actors may be able to develop and deploy viruses, worms and other malicious software programs that attack the Company’s systems, the systems of third-parties,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 The Company has robust information security procedures and other safeguards in place, including evaluating the cybersecurity status of third-party suppliers and vendors that will have access to the Company’s data or information technology systems, which are monitored and routinely tested internally and by external parties. However,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This could also impact the cost and availability of cyber insurance to the Company. Breaches of the Company’s or third-parties' security measures and the unauthorized dissemination of personal, proprietary or confidential information about the Company or its customers or other third-parties could expose customers’ private information. Such breaches could expose customers to the risk of financial or medical identity theft or expose the Company or other third-parties to a risk of loss or misuse of this information, result in litigation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natural disasters, political crises, public health crises, and other events outside of the Company's control.</w:t>
      </w:r>
    </w:p>
    <w:p>
      <w:pPr>
        <w:spacing w:after="0" w:line="19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Natural disasters, such as adverse weather, fires, earthquakes, power shortages and outages, political crises, such as terrorism, war, political instability, or other conflict, criminal activities, public health crises, such as coronavirus (COVID-19) and disease epidemics and pandemics, and other disruptions or events outside of the Company’s control could negatively affect the Company’s operations. Any of these events may result in a temporary decline of volumes in both segments. In addition, such events may temporarily interrupt the Company’s ability to transport specimens, the Company's ability to efficiently commence studies, the Company’s information technology systems, the Company’s ability to utilize certain laboratories, and/or the Company’s ability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deterioration in the economy could negatively impact testing volumes, drug development services, cash collections and the availability of credit.</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Company’s operations are dependent upon ongoing demand for diagnostic testing and drug development services by patients, physicians, hospitals, MCOs, biopharmaceutical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fluctuations could have an adverse effect on the Company’s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business and operations outside the U.S., and CDD derives a significant portion of its revenues from international operations. Since the Company's consolidated financial statements are denominated in U.S. dollars, fluctuations in exchange rates from period to period will have an impact on reported results. In addition, CDD may incur costs in one currency related to its services or products for which it is paid in a different currency. As a result, factors associated with international operations, including changes in foreign currency exchange rates, could significantly affect CDD's results of operations, financial condition and cash flows.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international operations could subject it to additional risks and expenses that could adversely impact the business or results of operations.</w:t>
      </w:r>
    </w:p>
    <w:p>
      <w:pPr>
        <w:spacing w:after="0" w:line="19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Company's international operations expose it to risks from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international operations may increase the Company’s exposure to liabilities under the anti-corruption laws.</w:t>
      </w:r>
    </w:p>
    <w:p>
      <w:pPr>
        <w:spacing w:after="0" w:line="25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Anti-corruption laws in the countries where the Company conducts business, including the U.S. Foreign Corrupt Practices Act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and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laws could have a significant adverse effect on the business or results of operations.</w:t>
      </w:r>
    </w:p>
    <w:p>
      <w:pPr>
        <w:spacing w:after="0" w:line="1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effect on the Company's business objectives and its revenues and profitability.</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2015, the Company has invested net cash of approximately $7.2 billion and equity of $1.8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84"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related to litigation including the acquired companies;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periodic impairment of goodwill and intangible assets acquired;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disruption of the ongoing business and diversion of management's resources.</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businesses that it may acquire in the future, the Company may not be able to realize the benefits that it expects from such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level of indebtedness could adversely affect the Company’s liquidity, results of operations and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2019, indebtedness on the Company's outstanding Senior Notes totaled approximately $5,860.0 million in aggregate principal. The Company is also a party to credit agreements relating to a $1.0 billion revolving credit facility and a 2019 term loan with a balance of $375.0 million as of December 31, 2019. Under the term loan facility and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21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20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U.K.'s exit from the European Union (E.U.) could adversely impact the Company’s business and results of operations.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could be adversely impacted due to the consequences of changes in the economy, governments or regulations across the globe. On January 31, 2020 the U.K. withdrew from its membership of the E.U. (often referred to as Brexit). During an implementation period which is due to end on December 31, 2020, E.U. laws and regulations will continue to apply to the U.K. The terms of future relations between the U.K. and E.U. following this implementation period have not yet been determined. Until</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process is completed, it is difficult to anticipate how the clinical trial landscape in the U.K. might change in the next several years.</w:t>
      </w:r>
    </w:p>
    <w:p>
      <w:pPr>
        <w:spacing w:after="0" w:line="13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reduce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headquarters are located in Burlington, North Carolina, and include facilities that are both owned and leased.</w:t>
      </w:r>
    </w:p>
    <w:p>
      <w:pPr>
        <w:spacing w:after="0" w:line="131"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LabCorp Diagnostics (LCD) operates through a network of patient service centers, branches, rapid response laboratories, primary laboratories, and specialty laboratories. The table below summarizes certain information as to LCD's principal operating and administrative facilities as of December 31, 2019.</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Birmingham, Alabama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Phoenix,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Los Angeles,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Monrovia,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Diego,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Shelton, Connecticut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Tampa,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Westborough, Massachusetts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St. Paul,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Kansas City, Missouri</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Raritan,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Burlington, North Carolina (5)</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Triangle Park, North Carolina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Dublin, Ohio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Brentwood,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Houston,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Herndon,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Seattle,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Spokane, Washington (3)</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Covance Drug Development (CDD) operates on a global scale. The table below summarizes certain information as to CDD's principal operating and administrative facilities as of December 31,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Mechelen, Belgium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Beijing, China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Shanghai, China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Muenster, 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Pune, India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Bangalore, India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Geneva, Switzerland</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Eye,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Harrogate,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Huntington,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Leeds,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Maidenhead,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Shardlow,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York,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Daytona Beach,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Greenfield,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Indianapolis,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Gaithersburg, Maryland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Ann Arbor, Michigan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Minneapolis,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Princeton,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Somerset,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Chantilly,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Madison, 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16 Commitments and Contingencies to the Consolidated Financial Statements.</w:t>
      </w:r>
    </w:p>
    <w:p>
      <w:pPr>
        <w:spacing w:after="0" w:line="1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095"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common stock, par value $0.10 per share, or Common Stock, trades on the New York Stock Exchange or NYSE under the symbol “LH.”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26, 2020, there were approximately 1,038 holders of record of the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135"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color w:val="auto"/>
        </w:rPr>
        <w:t>The graph below shows the cumulative total return assuming an investment of $100 on December 31, 2014, in each of the Company’s common stock, the Standard &amp; Poor’s, or S&amp;P Composite-500 Stock Index and the S&amp;P 500 healthcare Index, or Peer Group, and assuming that all dividends were reinvested.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12/2015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12/2019</w:t>
            </w:r>
          </w:p>
        </w:tc>
      </w:tr>
      <w:tr>
        <w:trPr>
          <w:trHeight w:val="34"/>
        </w:trPr>
        <w:tc>
          <w:tcPr>
            <w:tcW w:w="40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Laboratory Corporation of America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156.78</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tcPr>
          <w:p>
            <w:pPr>
              <w:ind w:left="20"/>
              <w:spacing w:after="0"/>
              <w:rPr>
                <w:sz w:val="20"/>
                <w:szCs w:val="20"/>
                <w:color w:val="auto"/>
              </w:rPr>
            </w:pPr>
            <w:r>
              <w:rPr>
                <w:rFonts w:ascii="Arial" w:cs="Arial" w:eastAsia="Arial" w:hAnsi="Arial"/>
                <w:sz w:val="18"/>
                <w:szCs w:val="18"/>
                <w:color w:val="auto"/>
              </w:rPr>
              <w:t>Index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173.86</w:t>
            </w: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163.34</w:t>
            </w:r>
          </w:p>
        </w:tc>
      </w:tr>
      <w:tr>
        <w:trPr>
          <w:trHeight w:val="27"/>
        </w:trPr>
        <w:tc>
          <w:tcPr>
            <w:tcW w:w="7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0</wp:posOffset>
            </wp:positionV>
            <wp:extent cx="5257165" cy="319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(all amounts in millions, except per share amounts)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information with respect to purchases of shares of the Company’s Common Stock made during the quarter ended December 31, 2019, by or on behalf of the Company:</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3"/>
              </w:rPr>
              <w:t>Maximum Dollar Value</w:t>
            </w:r>
          </w:p>
        </w:tc>
      </w:t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Repurchased as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0"/>
              </w:rPr>
              <w:t>of Shares that May Yet</w:t>
            </w:r>
          </w:p>
        </w:tc>
      </w:tr>
      <w:tr>
        <w:trPr>
          <w:trHeight w:val="216"/>
        </w:trPr>
        <w:tc>
          <w:tcPr>
            <w:tcW w:w="366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Number of Shares</w:t>
            </w: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Average Price Paid Per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Part of Publicly</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Be Repurchased Under</w:t>
            </w:r>
          </w:p>
        </w:tc>
      </w:tr>
      <w:tr>
        <w:trPr>
          <w:trHeight w:val="230"/>
        </w:trPr>
        <w:tc>
          <w:tcPr>
            <w:tcW w:w="366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Repurchased</w:t>
            </w:r>
          </w:p>
        </w:tc>
        <w:tc>
          <w:tcPr>
            <w:tcW w:w="40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83"/>
              </w:rPr>
              <w:t>Share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Announced Program</w:t>
            </w:r>
          </w:p>
        </w:tc>
        <w:tc>
          <w:tcPr>
            <w:tcW w:w="280" w:type="dxa"/>
            <w:vAlign w:val="bottom"/>
          </w:tcPr>
          <w:p>
            <w:pPr>
              <w:spacing w:after="0"/>
              <w:rPr>
                <w:sz w:val="20"/>
                <w:szCs w:val="20"/>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color w:val="auto"/>
                <w:w w:val="88"/>
              </w:rPr>
              <w:t>the Program</w:t>
            </w:r>
          </w:p>
        </w:tc>
      </w:tr>
      <w:tr>
        <w:trPr>
          <w:trHeight w:val="34"/>
        </w:trPr>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3660" w:type="dxa"/>
            <w:vAlign w:val="bottom"/>
            <w:tcBorders>
              <w:top w:val="single" w:sz="8" w:color="CCEEFF"/>
            </w:tcBorders>
          </w:tcPr>
          <w:p>
            <w:pPr>
              <w:spacing w:after="0"/>
              <w:rPr>
                <w:sz w:val="21"/>
                <w:szCs w:val="21"/>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165.91</w:t>
            </w:r>
          </w:p>
        </w:tc>
        <w:tc>
          <w:tcPr>
            <w:tcW w:w="120" w:type="dxa"/>
            <w:vAlign w:val="bottom"/>
            <w:tcBorders>
              <w:top w:val="single" w:sz="8" w:color="CCEEFF"/>
            </w:tcBorders>
          </w:tcPr>
          <w:p>
            <w:pPr>
              <w:spacing w:after="0"/>
              <w:rPr>
                <w:sz w:val="21"/>
                <w:szCs w:val="21"/>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bl>
    <w:p>
      <w:pPr>
        <w:spacing w:after="0" w:line="13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At the end of 2018, the Company had outstanding authorization from the board of directors to purchase up to $443.5 of Company common stock. On February 6, 2019, the board of directors replaced the Company’s existing share repurchase plan with a new plan authorizing repurchase of up to $1.25 billion of the Company’s shares. The repurchase authorization has no expiration date. During 2019, the Company purchased 2.9 shares of its common stock at an average price of $154.94 for a total cost of $450.0, of which $100.0 was repurchased prior to the new plan in February 2019. At the end of 2019, the Company had outstanding authorization from the board of directors to purchase an additional $900.0 of Company common stock.</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millions, except per share amounts)</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selected financial data presented below under the captions “Statement of Operations Data” and “Balance Sheet Data” as of and for the five-year period ended December 31, 2019, are derived from consolidated financial statements of the Company, which have been audited by an independent registered public accounting firm.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5"/>
        </w:trPr>
        <w:tc>
          <w:tcPr>
            <w:tcW w:w="5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w:t>
            </w:r>
          </w:p>
        </w:tc>
        <w:tc>
          <w:tcPr>
            <w:tcW w:w="2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(b)</w:t>
            </w:r>
          </w:p>
        </w:tc>
        <w:tc>
          <w:tcPr>
            <w:tcW w:w="260" w:type="dxa"/>
            <w:vAlign w:val="bottom"/>
          </w:tcPr>
          <w:p>
            <w:pPr>
              <w:spacing w:after="0"/>
              <w:rPr>
                <w:sz w:val="19"/>
                <w:szCs w:val="19"/>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(d)</w:t>
            </w:r>
          </w:p>
        </w:tc>
        <w:tc>
          <w:tcPr>
            <w:tcW w:w="26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(e)</w:t>
            </w:r>
          </w:p>
        </w:tc>
      </w:t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34"/>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11,554.8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11,333.4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10,308.0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8,505.7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income (h)</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996.8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Corporation of America Holdings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437.6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70"/>
        </w:trPr>
        <w:tc>
          <w:tcPr>
            <w:tcW w:w="5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 and short-term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716.4</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 (g)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9,526.6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 (g) (f)</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18,046.4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16,185.3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16,673.0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1"/>
              </w:rPr>
              <w:t>14,334.8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14,104.7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(f)</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4,945.1</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2019, the Company recorded net restructuring charges of $54.6. The charges were comprised of $32.9 in severance and other personnel costs and $24.9 in facility-related costs primarily associated with facility closures and general integration initiatives. These charges were offset by the reversal of previously established reserves of $1.7 in unused severance and $1.5 in unused facility-related costs.</w:t>
      </w:r>
    </w:p>
    <w:p>
      <w:pPr>
        <w:spacing w:after="0" w:line="70"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2018, the Company recorded net restructuring charges of $48.1. The charges were comprised of $40.3 in severance and other personnel costs and $11.8 in facility-related costs primarily associated with facility closures and general integration initiatives. These charges were offset by the reversal of previously established reserves of $2.0 in unused severance and $2.0 in unused facility-related costs.</w:t>
      </w:r>
    </w:p>
    <w:p>
      <w:pPr>
        <w:sectPr>
          <w:pgSz w:w="11900" w:h="16838" w:orient="portrait"/>
          <w:cols w:equalWidth="0" w:num="1">
            <w:col w:w="11420"/>
          </w:cols>
          <w:pgMar w:left="240" w:top="125"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left="660" w:hanging="652"/>
        <w:spacing w:after="0" w:line="29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2017, the Company recorded net restructuring charges of $70.9. The charges were comprised of $36.1 in severance and other personnel costs and $39.9 in facility-related costs primarily associated with facility closures and general integration initiatives. These charges were offset by the reversal of previously established reserves of $0.5 in unused severance and $4.6 in unused facility-related costs. The Company also recognized asset impairment losses of $23.5 related to the termination of software development projects within the Covance Drug Development (CDD) segment and the forgiveness of certain indebtedness for LabCorp Diagnostics (LCD) customers in areas heavily impacted by hurricanes during the third quarter.</w:t>
      </w:r>
    </w:p>
    <w:p>
      <w:pPr>
        <w:spacing w:after="0" w:line="63"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2016, the Company recorded net restructuring charges of $58.4. The charges were comprised of $30.9 in severance and other personnel costs and $33.8 in facility-related costs primarily associated with facility closures and general integration initiatives. These charges were offset by the reversal of previously established reserves of $2.8 in unused severance and $3.5 in unused facility-related costs.</w:t>
      </w:r>
    </w:p>
    <w:p>
      <w:pPr>
        <w:spacing w:after="0" w:line="70"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pacing w:after="0" w:line="8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5 Leases and Note 12 Debt to the Consolidated Financial Statements.</w:t>
      </w:r>
    </w:p>
    <w:p>
      <w:pPr>
        <w:spacing w:after="0" w:line="13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2016, the Company revised the final purchase price allocation for Covance. As a result, an out of period adjustment of $25.6 was recorded to reduce goodwill and increase a deferred tax asset as of December 31, 2015. The Company concluded that the impact of this adjustment was not material to the current or prior periods.</w:t>
      </w:r>
    </w:p>
    <w:p>
      <w:pPr>
        <w:spacing w:after="0" w:line="8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earnings attributable to Laboratory Corporation of America Holdings in 2017 includes a provisional net benefit of $519.0 due to the Tax Cuts and Jobs Act (TCJA). For additional information on the TCJA, see Note 14 Income Taxes to the Consolidated Financial Statements.</w:t>
      </w:r>
    </w:p>
    <w:p>
      <w:pPr>
        <w:spacing w:after="0" w:line="386"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(in millions)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 ended December 31, 2019, the Company's revenue grew by 2.0%, driven by growth from acquisitions of 2.3% and organic growth of 1.6% (which includes the negative impact from PAMA of 0.9%), partially offset by the disposition of businesses of 1.4% and negative foreign currency translation of 0.5%.</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defines organic growth as the increase in revenue excluding revenue from acquisitions for the first twelve months after the close of each acquisition.</w:t>
      </w:r>
    </w:p>
    <w:p>
      <w:pPr>
        <w:spacing w:after="0" w:line="7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June 3, 2019, the Company's CDD segment completed the acquisition of Envigo's nonclinical contract research services business, expanding CDD's global nonclinical drug development capabilities with additional locations and resources. Additionally, the Company divested the Covance Research Products (CRP) business, which was a part of the CDD segment, to Envigo. As part of this sale, CDD entered into a multi-year, renewable supply agreement with Envigo. The Company paid cash consideration of $601.0, received a floating rate secured note of $110.0, and recorded a loss on the sale of CRP of $12.2. The Company funded the transaction through a new term loan facility. During the year ended December 31, 2019, the Company also acquired various other businesses and related assets for approximately $286.4 in cash (net of cash acquired).</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remains on track to deliver $150.0 of net savings from CDD's three-year LaunchPad initiative by the end of 2020. The Company expects phase II of LCD’s LaunchPad initiative to deliver approximately $200.0 in net savings by the end of 2021, while incurring approximately $40.0 in one-time implementation costs. Approximately one-third of the total savings are expected to be realized each year.</w:t>
      </w:r>
    </w:p>
    <w:p>
      <w:pPr>
        <w:spacing w:after="0" w:line="8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is also exposed to risks related to information security arising from the information technology systems and operations of third parites, including thosse of the Company's vendors and partners. For example, 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on behalf of the Company. AMCA informed the Company that it appeared that an unauthorized user had access to AMCA's system between August 1, 2018 and March 30, 2019, and that AMCA could not rule out the possibility that personal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7"/>
          <w:szCs w:val="17"/>
          <w:color w:val="auto"/>
        </w:rPr>
        <w:t>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infonnation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will be provided free of charge for 24 months. The Company has incurred, and expects to continue to incur, costs related to the AMCA Incident. In addition, the Company is involved in pending and threatened litigation related to the AMCA Incident, as well as various government and regulatory inquiries and processes. For additional information about the AMCA Incident, see Note 16 Commitments and Contingencies to the Consolidated Financial Statements.</w:t>
      </w:r>
    </w:p>
    <w:p>
      <w:pPr>
        <w:spacing w:after="0" w:line="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PAMA, which went into effect on January 1, 2018, resulted in a net reduction of revenue of approximately $107.0 and $70.0 in 2019 and 2018, respectively from all payers affected by the Clinical Lab Fee Schedule. Unless further implementation of PAMA is delayed or changed, an additional reduction of approximately $90.0 is expected for 2020.</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Effective January 1, 2019, the Company adopted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The Company elected the package of practical expedients, which includes not reassessing whether existing contracts contain leases under the new definition of a lease, reassessing the classification of existing leases, and reassessing whether previously capitalized initial direct costs qualify for capitalization under the new standard. The Company also elected not to separate lease and non-lease components. The adoption of this standard resulted in the recording of $778.1 of additional operating lease liabilities 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12529"/>
        </w:rPr>
        <w:t xml:space="preserve">The following tables present the financial measures that management considers to be the most significant indicators of the Company's performance. For discussion of 2018 results and comparison with 2017 results refer to </w:t>
      </w:r>
      <w:r>
        <w:rPr>
          <w:rFonts w:ascii="Arial" w:cs="Arial" w:eastAsia="Arial" w:hAnsi="Arial"/>
          <w:sz w:val="18"/>
          <w:szCs w:val="18"/>
          <w:color w:val="000000"/>
        </w:rPr>
        <w:t>“</w:t>
      </w:r>
      <w:r>
        <w:rPr>
          <w:rFonts w:ascii="Arial" w:cs="Arial" w:eastAsia="Arial" w:hAnsi="Arial"/>
          <w:sz w:val="18"/>
          <w:szCs w:val="18"/>
          <w:color w:val="212529"/>
        </w:rPr>
        <w:t>Management's Discussion and Analysis of Financial Conditions and Results of Operations</w:t>
      </w:r>
      <w:r>
        <w:rPr>
          <w:rFonts w:ascii="Arial" w:cs="Arial" w:eastAsia="Arial" w:hAnsi="Arial"/>
          <w:sz w:val="18"/>
          <w:szCs w:val="18"/>
          <w:color w:val="000000"/>
        </w:rPr>
        <w:t>”</w:t>
      </w:r>
      <w:r>
        <w:rPr>
          <w:rFonts w:ascii="Arial" w:cs="Arial" w:eastAsia="Arial" w:hAnsi="Arial"/>
          <w:sz w:val="18"/>
          <w:szCs w:val="18"/>
          <w:color w:val="212529"/>
        </w:rPr>
        <w:t xml:space="preserve"> in our Annual Report on Form 10-K for the fiscal year ended December 31, 2018.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2019 and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Years Ended December 31,</w:t>
            </w:r>
          </w:p>
        </w:tc>
        <w:tc>
          <w:tcPr>
            <w:tcW w:w="1380" w:type="dxa"/>
            <w:vAlign w:val="bottom"/>
          </w:tcPr>
          <w:p>
            <w:pPr>
              <w:spacing w:after="0"/>
              <w:rPr>
                <w:sz w:val="20"/>
                <w:szCs w:val="20"/>
                <w:color w:val="auto"/>
              </w:rPr>
            </w:pPr>
          </w:p>
        </w:tc>
      </w:tr>
      <w:tr>
        <w:trPr>
          <w:trHeight w:val="34"/>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34"/>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CDD</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4,313.1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eliminations</w:t>
            </w: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122.9 %</w:t>
            </w:r>
          </w:p>
        </w:tc>
      </w:tr>
      <w:tr>
        <w:trPr>
          <w:trHeight w:val="264"/>
        </w:trPr>
        <w:tc>
          <w:tcPr>
            <w:tcW w:w="73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11,554.8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11,333.4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2.0% increase in revenues for the year ended December 31, 2019, as compared with the corresponding period in 2018 was primarily due to growth from acquisitions of 2.3%, organic growth of 1.6% (which includes the negative impact from PAMA of 0.9%), partially offset by the disposition of businesses of 1.4% and negative foreign currency translation of 0.5%.</w:t>
      </w:r>
    </w:p>
    <w:p>
      <w:pPr>
        <w:spacing w:after="0" w:line="8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LCD revenues for the year ended December 31, 2019, were $7,000.1, a decrease of 0.4% over revenues of $7,030.8 in the corresponding period in 2018. The decline in revenues was due to the negative impact from the disposition of businesses of 1.9% and negative currency translation of 0.1%, partially offset by acquisitions of 1.2% and organic revenue growth of 0.4% which includes the negative impact of lower reimbursement from PAMA of 1.5%.</w:t>
      </w:r>
    </w:p>
    <w:p>
      <w:pPr>
        <w:spacing w:after="0" w:line="5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 revenues for the year ended December 31, 2019, were $4,578.1, an increase of 6.1% over revenues of $4,313.1 in the corresponding period in 2018. The increase in revenues was due to acquisitions, which contributed growth of 4.1%, an increase in organic growth of 3.8%, partially offset by negative foreign currency translation of approximately 1.2% and a business disposition of 0.6%. Excluding pass-throughs, organic revenue grew mid-to-high single digits.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20" w:type="dxa"/>
            <w:vAlign w:val="bottom"/>
          </w:tcPr>
          <w:p>
            <w:pPr>
              <w:spacing w:after="0"/>
              <w:rPr>
                <w:sz w:val="20"/>
                <w:szCs w:val="20"/>
                <w:color w:val="auto"/>
              </w:rPr>
            </w:pPr>
          </w:p>
        </w:tc>
      </w:tr>
      <w:tr>
        <w:trPr>
          <w:trHeight w:val="34"/>
        </w:trPr>
        <w:tc>
          <w:tcPr>
            <w:tcW w:w="4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1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Change</w:t>
            </w:r>
          </w:p>
        </w:tc>
      </w:tr>
      <w:tr>
        <w:trPr>
          <w:trHeight w:val="34"/>
        </w:trPr>
        <w:tc>
          <w:tcPr>
            <w:tcW w:w="41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revenues</w:t>
            </w:r>
          </w:p>
        </w:tc>
        <w:tc>
          <w:tcPr>
            <w:tcW w:w="3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8,157.0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180" w:type="dxa"/>
            <w:vAlign w:val="bottom"/>
          </w:tcPr>
          <w:p>
            <w:pPr>
              <w:ind w:left="120"/>
              <w:spacing w:after="0"/>
              <w:rPr>
                <w:sz w:val="20"/>
                <w:szCs w:val="20"/>
                <w:color w:val="auto"/>
              </w:rPr>
            </w:pPr>
            <w:r>
              <w:rPr>
                <w:rFonts w:ascii="Arial" w:cs="Arial" w:eastAsia="Arial" w:hAnsi="Arial"/>
                <w:sz w:val="18"/>
                <w:szCs w:val="18"/>
                <w:color w:val="auto"/>
              </w:rPr>
              <w:t>Cost of revenues as a % of revenues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567"/>
        </w:trPr>
        <w:tc>
          <w:tcPr>
            <w:tcW w:w="4180" w:type="dxa"/>
            <w:vAlign w:val="bottom"/>
          </w:tcPr>
          <w:p>
            <w:pPr>
              <w:spacing w:after="0"/>
              <w:rPr>
                <w:sz w:val="24"/>
                <w:szCs w:val="24"/>
                <w:color w:val="auto"/>
              </w:rPr>
            </w:pPr>
          </w:p>
        </w:tc>
        <w:tc>
          <w:tcPr>
            <w:tcW w:w="3060" w:type="dxa"/>
            <w:vAlign w:val="bottom"/>
          </w:tcPr>
          <w:p>
            <w:pPr>
              <w:jc w:val="right"/>
              <w:ind w:right="135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46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Cost of revenues (primarily laboratory, labor and distribution costs) increased 1.8% in 2019 as compared with 2018 primarily due to acquisitions and organic volume growth. Cost of revenues as a percentage of revenues remained consistent in 2019 as compared to 2018 at approximately 72.0%.</w:t>
      </w:r>
    </w:p>
    <w:p>
      <w:pPr>
        <w:spacing w:after="0" w:line="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 and testing supplies for the year ended December 31, 2019, comprise over 71.3% of the Company’s cost of revenues. Cost of revenues has increased over the two-year period ended December 31, 2019, primarily due to the impact of acquisitions, overall growth in the Company's volume, and increases in merit-based labor costs.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2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SG&amp;A as a % of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2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Selling, general and administrative expenses as a percentage of revenues increased to 14.1% in 2019 compared to 13.9% in 2018. The increase in selling, general and administrative expenses as a percentage of revenues is primarily due to acquisitions and cybersecurity investments.</w:t>
      </w:r>
    </w:p>
    <w:p>
      <w:pPr>
        <w:spacing w:after="0" w:line="17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2019, the Company incurred $69.2 of acquisition and divestiture related costs, $15.2 in management transition costs, $11.5 in costs related to the Retrieval-Masters Credit Bureau, Inc. d/b/a/ American Medical Collection Agency (AMCA) data breach, and $10.1 of non-capitalized costs associated with the implementation of a major system as part of its LaunchPad business process improvement initiative, partially offset by $9.1 in reimbursements related to the 2018 ransomware attack and a $14.1 gain related to the settlement of a contingent purchase price related to a 2016 acquisition. These items increased selling, general and administrative expenses by $82.8. Excluding these charges, selling, general and administrative expenses as a percentage of revenues were 13.3% for the year ended December 31, 2019.</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2018, the Company incurred integration and other costs of $54.7 primarily relating to the Chiltern acquisition and the sale of the Covance Food Solutions business. 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As a direct result of the ransomware attack experienced during July, the Company incurred $12.6 in consulting fees and employee overtime during the recovery period following the attack. The Company also recorded $9.6 in consulting expenses relating to the Chiltern integration and management integration costs along with a special one-time bonus of $31.1 ($6.3 of which was recorded in selling, general and administrative expenses) to its non-bonus eligible employees in recognition of the benefits the Company received from the passage of the TCJA. In addition, the Company incurred $9.8 of non-capitalized costs associated with the implementation of a major system as part of its LaunchPad business process improvement initiative. Excluding these charges, selling, general and administrative expenses as a percentage of revenues were 13.0% for the year ended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Amortization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9"/>
        </w:trPr>
        <w:tc>
          <w:tcPr>
            <w:tcW w:w="1720" w:type="dxa"/>
            <w:vAlign w:val="bottom"/>
            <w:tcBorders>
              <w:top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Years Ended December 31,</w:t>
            </w:r>
          </w:p>
        </w:tc>
        <w:tc>
          <w:tcPr>
            <w:tcW w:w="1380" w:type="dxa"/>
            <w:vAlign w:val="bottom"/>
          </w:tcPr>
          <w:p>
            <w:pPr>
              <w:spacing w:after="0"/>
              <w:rPr>
                <w:sz w:val="24"/>
                <w:szCs w:val="24"/>
                <w:color w:val="auto"/>
              </w:rPr>
            </w:pPr>
          </w:p>
        </w:tc>
      </w:tr>
      <w:tr>
        <w:trPr>
          <w:trHeight w:val="34"/>
        </w:trPr>
        <w:tc>
          <w:tcPr>
            <w:tcW w:w="17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17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34"/>
        </w:trPr>
        <w:tc>
          <w:tcPr>
            <w:tcW w:w="17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LCD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7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CDD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r>
      <w:tr>
        <w:trPr>
          <w:trHeight w:val="257"/>
        </w:trPr>
        <w:tc>
          <w:tcPr>
            <w:tcW w:w="7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intangibles and other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1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from 2018 through 2019 primarily reflects the impact of acquisitions offset by the impact of business dispositions and working capital and earnout adjustments.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Charges</w:t>
      </w:r>
    </w:p>
    <w:p>
      <w:pPr>
        <w:spacing w:after="0" w:line="17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31750</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70" w:lineRule="exact"/>
        <w:rPr>
          <w:sz w:val="20"/>
          <w:szCs w:val="20"/>
          <w:color w:val="auto"/>
        </w:rPr>
      </w:pPr>
    </w:p>
    <w:p>
      <w:pPr>
        <w:ind w:left="7820"/>
        <w:spacing w:after="0"/>
        <w:tabs>
          <w:tab w:leader="none" w:pos="9160" w:val="left"/>
          <w:tab w:leader="none" w:pos="1046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380" w:val="left"/>
          <w:tab w:leader="none" w:pos="8180" w:val="left"/>
          <w:tab w:leader="none" w:pos="8740" w:val="left"/>
          <w:tab w:leader="none" w:pos="9540" w:val="left"/>
          <w:tab w:leader="none" w:pos="10900" w:val="left"/>
        </w:tabs>
        <w:rPr>
          <w:sz w:val="20"/>
          <w:szCs w:val="20"/>
          <w:color w:val="auto"/>
        </w:rPr>
      </w:pPr>
      <w:r>
        <w:rPr>
          <w:rFonts w:ascii="Arial" w:cs="Arial" w:eastAsia="Arial" w:hAnsi="Arial"/>
          <w:sz w:val="18"/>
          <w:szCs w:val="18"/>
          <w:color w:val="auto"/>
        </w:rPr>
        <w:t>Restructuring and other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54.6</w:t>
        <w:tab/>
        <w:t>$</w:t>
      </w:r>
      <w:r>
        <w:rPr>
          <w:sz w:val="20"/>
          <w:szCs w:val="20"/>
          <w:color w:val="auto"/>
        </w:rPr>
        <w:tab/>
      </w: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13.5%</w:t>
      </w:r>
    </w:p>
    <w:p>
      <w:pPr>
        <w:spacing w:after="0" w:line="200" w:lineRule="exact"/>
        <w:rPr>
          <w:sz w:val="20"/>
          <w:szCs w:val="20"/>
          <w:color w:val="auto"/>
        </w:rPr>
      </w:pPr>
    </w:p>
    <w:p>
      <w:pPr>
        <w:spacing w:after="0" w:line="28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2019, the Company recorded net restructuring charges of $54.6; $26.7 within LCD and $27.9 within CDD. The charges were comprised of $32.9 in severance and other personnel costs and $24.9 in facility-related costs primarily associated with general integration activities. The charges were offset by the reversal of previously established reserves of $1.7 in unused severance and $1.5 in unused facility-related costs.</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2018, the Company recorded net restructuring charges of $48.1; $20.5 within LCD and $27.6 within CDD. The charges were comprised of $40.3 in severance and other personnel costs and $11.8 in facility-related costs primarily associated with general</w:t>
      </w:r>
    </w:p>
    <w:p>
      <w:pPr>
        <w:sectPr>
          <w:pgSz w:w="11900" w:h="16838" w:orient="portrait"/>
          <w:cols w:equalWidth="0" w:num="1">
            <w:col w:w="11420"/>
          </w:cols>
          <w:pgMar w:left="240" w:top="125"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integration activities. The charges were offset by the reversal of previously established reserves of $2.0 in unused severance and $2.0 in unused facility-related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7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16637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0" w:lineRule="exact"/>
        <w:rPr>
          <w:sz w:val="20"/>
          <w:szCs w:val="20"/>
          <w:color w:val="auto"/>
        </w:rPr>
      </w:pPr>
    </w:p>
    <w:p>
      <w:pPr>
        <w:ind w:left="7760"/>
        <w:spacing w:after="0"/>
        <w:tabs>
          <w:tab w:leader="none" w:pos="9100" w:val="left"/>
          <w:tab w:leader="none" w:pos="104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320" w:val="left"/>
          <w:tab w:leader="none" w:pos="8040" w:val="left"/>
          <w:tab w:leader="none" w:pos="8680" w:val="left"/>
          <w:tab w:leader="none" w:pos="9400" w:val="left"/>
          <w:tab w:leader="none" w:pos="1088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240.7</w:t>
        <w:tab/>
        <w:t>$</w:t>
      </w:r>
      <w:r>
        <w:rPr>
          <w:sz w:val="20"/>
          <w:szCs w:val="20"/>
          <w:color w:val="auto"/>
        </w:rPr>
        <w:tab/>
      </w:r>
      <w:r>
        <w:rPr>
          <w:rFonts w:ascii="Arial" w:cs="Arial" w:eastAsia="Arial" w:hAnsi="Arial"/>
          <w:sz w:val="18"/>
          <w:szCs w:val="18"/>
          <w:color w:val="auto"/>
        </w:rPr>
        <w:t>244.2</w:t>
      </w:r>
      <w:r>
        <w:rPr>
          <w:sz w:val="20"/>
          <w:szCs w:val="20"/>
          <w:color w:val="auto"/>
        </w:rPr>
        <w:tab/>
      </w:r>
      <w:r>
        <w:rPr>
          <w:rFonts w:ascii="Arial" w:cs="Arial" w:eastAsia="Arial" w:hAnsi="Arial"/>
          <w:sz w:val="16"/>
          <w:szCs w:val="16"/>
          <w:color w:val="auto"/>
        </w:rPr>
        <w:t>(1.4)%</w:t>
      </w:r>
    </w:p>
    <w:p>
      <w:pPr>
        <w:spacing w:after="0" w:line="14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decrease in interest expense for 2019 as compared with the corresponding period in 2018 is primarily due to lower average debt balances, partially offset by $5.0 of accelerated deferred financing fees and make-whole premiums associated with the debt refinancing in the fourth quarter of 2019.</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Method Income, Net</w:t>
      </w:r>
    </w:p>
    <w:p>
      <w:pPr>
        <w:spacing w:after="0" w:line="175"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70" w:lineRule="exact"/>
        <w:rPr>
          <w:sz w:val="20"/>
          <w:szCs w:val="20"/>
          <w:color w:val="auto"/>
        </w:rPr>
      </w:pPr>
    </w:p>
    <w:p>
      <w:pPr>
        <w:ind w:left="7760"/>
        <w:spacing w:after="0"/>
        <w:tabs>
          <w:tab w:leader="none" w:pos="9100" w:val="left"/>
          <w:tab w:leader="none" w:pos="104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320" w:val="left"/>
          <w:tab w:leader="none" w:pos="8220" w:val="left"/>
          <w:tab w:leader="none" w:pos="8680" w:val="left"/>
          <w:tab w:leader="none" w:pos="9500" w:val="left"/>
          <w:tab w:leader="none" w:pos="10780" w:val="left"/>
        </w:tabs>
        <w:rPr>
          <w:sz w:val="20"/>
          <w:szCs w:val="20"/>
          <w:color w:val="auto"/>
        </w:rPr>
      </w:pPr>
      <w:r>
        <w:rPr>
          <w:rFonts w:ascii="Arial" w:cs="Arial" w:eastAsia="Arial" w:hAnsi="Arial"/>
          <w:sz w:val="18"/>
          <w:szCs w:val="18"/>
          <w:color w:val="auto"/>
        </w:rPr>
        <w:t>Equity method income,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w:t>
        <w:tab/>
        <w:t>$</w:t>
      </w:r>
      <w:r>
        <w:rPr>
          <w:sz w:val="20"/>
          <w:szCs w:val="20"/>
          <w:color w:val="auto"/>
        </w:rPr>
        <w:tab/>
      </w: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(15.5)%</w:t>
      </w:r>
    </w:p>
    <w:p>
      <w:pPr>
        <w:spacing w:after="0" w:line="144"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Equity method income, net represents the Company's ownership share in joint venture partnerships along with equity investments in other companies in the healthcare industry. All of these partnerships and investments reside within the LCD segment. The decrease in income for 2019 as compared with the corresponding period in 2018 was primarily due to the decreased profitability of the Company's joint ventures combined with the consolidation of a joint venture during the second quarter of 2018 related to the acquisition of Pathology Associates Medical Laboratories (PAML).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Net</w:t>
      </w:r>
    </w:p>
    <w:p>
      <w:pPr>
        <w:spacing w:after="0" w:line="17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31750</wp:posOffset>
            </wp:positionV>
            <wp:extent cx="1732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70" w:lineRule="exact"/>
        <w:rPr>
          <w:sz w:val="20"/>
          <w:szCs w:val="20"/>
          <w:color w:val="auto"/>
        </w:rPr>
      </w:pPr>
    </w:p>
    <w:p>
      <w:pPr>
        <w:ind w:left="7820"/>
        <w:spacing w:after="0"/>
        <w:tabs>
          <w:tab w:leader="none" w:pos="9160" w:val="left"/>
          <w:tab w:leader="none" w:pos="1046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380" w:val="left"/>
          <w:tab w:leader="none" w:pos="8220" w:val="left"/>
          <w:tab w:leader="none" w:pos="8740" w:val="left"/>
          <w:tab w:leader="none" w:pos="9460" w:val="left"/>
          <w:tab w:leader="none" w:pos="10800" w:val="left"/>
        </w:tabs>
        <w:rPr>
          <w:sz w:val="20"/>
          <w:szCs w:val="20"/>
          <w:color w:val="auto"/>
        </w:rPr>
      </w:pPr>
      <w:r>
        <w:rPr>
          <w:rFonts w:ascii="Arial" w:cs="Arial" w:eastAsia="Arial" w:hAnsi="Arial"/>
          <w:sz w:val="18"/>
          <w:szCs w:val="18"/>
          <w:color w:val="auto"/>
        </w:rPr>
        <w:t>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w:t>
        <w:tab/>
        <w:t>$</w:t>
      </w:r>
      <w:r>
        <w:rPr>
          <w:sz w:val="20"/>
          <w:szCs w:val="20"/>
          <w:color w:val="auto"/>
        </w:rPr>
        <w:tab/>
      </w:r>
      <w:r>
        <w:rPr>
          <w:rFonts w:ascii="Arial" w:cs="Arial" w:eastAsia="Arial" w:hAnsi="Arial"/>
          <w:sz w:val="18"/>
          <w:szCs w:val="18"/>
          <w:color w:val="auto"/>
        </w:rPr>
        <w:t>167.7</w:t>
      </w:r>
      <w:r>
        <w:rPr>
          <w:sz w:val="20"/>
          <w:szCs w:val="20"/>
          <w:color w:val="auto"/>
        </w:rPr>
        <w:tab/>
      </w:r>
      <w:r>
        <w:rPr>
          <w:rFonts w:ascii="Arial" w:cs="Arial" w:eastAsia="Arial" w:hAnsi="Arial"/>
          <w:sz w:val="16"/>
          <w:szCs w:val="16"/>
          <w:color w:val="auto"/>
        </w:rPr>
        <w:t>101.9%</w:t>
      </w:r>
    </w:p>
    <w:p>
      <w:pPr>
        <w:spacing w:after="0" w:line="14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For the year ended December 31, 2019, Other, net included a loss of $13.3, primarily related to the sale of its CRP business, offset by $20.9 in net gains on venture fund investments. For the year ended December 31, 2018, Other, net included a gain of $258.3 recognized on the sale of the Covance Food Solutions (CFS) business offset by losses on the dispositions of the Company's forensic testing services businesses in the U.K. and the U.S. of $48.9 and $24.5, respectively, the impairment of a venture fund investment of $5.2 and a $7.5 pension settlement charge. In addition, foreign currency transaction losses were $11.1 and $3.6, respectively, for the 2019 and 2018 periods presented.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940" w:type="dxa"/>
            <w:vAlign w:val="bottom"/>
          </w:tcPr>
          <w:p>
            <w:pPr>
              <w:spacing w:after="0"/>
              <w:rPr>
                <w:sz w:val="24"/>
                <w:szCs w:val="24"/>
                <w:color w:val="auto"/>
              </w:rPr>
            </w:pPr>
          </w:p>
        </w:tc>
        <w:tc>
          <w:tcPr>
            <w:tcW w:w="3200" w:type="dxa"/>
            <w:vAlign w:val="bottom"/>
            <w:gridSpan w:val="4"/>
          </w:tcPr>
          <w:p>
            <w:pPr>
              <w:jc w:val="right"/>
              <w:ind w:right="190"/>
              <w:spacing w:after="0"/>
              <w:rPr>
                <w:sz w:val="20"/>
                <w:szCs w:val="20"/>
                <w:color w:val="auto"/>
              </w:rPr>
            </w:pPr>
            <w:r>
              <w:rPr>
                <w:rFonts w:ascii="Arial" w:cs="Arial" w:eastAsia="Arial" w:hAnsi="Arial"/>
                <w:sz w:val="18"/>
                <w:szCs w:val="18"/>
                <w:color w:val="auto"/>
              </w:rPr>
              <w:t>Years Ended December 31,</w:t>
            </w:r>
          </w:p>
        </w:tc>
        <w:tc>
          <w:tcPr>
            <w:tcW w:w="6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1"/>
                <w:szCs w:val="21"/>
                <w:color w:val="auto"/>
              </w:rPr>
            </w:pPr>
          </w:p>
        </w:tc>
      </w:tr>
      <w:tr>
        <w:trPr>
          <w:trHeight w:val="34"/>
        </w:trPr>
        <w:tc>
          <w:tcPr>
            <w:tcW w:w="160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384.4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income before tax</w:t>
            </w: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r>
    </w:tbl>
    <w:p>
      <w:pPr>
        <w:spacing w:after="0" w:line="24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In 2019, the Company's effective tax rate was 25.3%. The 2019 rate was favorable compared to the 2018 rate as a result of the favorable revaluation of deferred taxes resulting from tax law changes and clarifications. The Company's share-based compensation benefit was unfavorable compared to 2018.</w:t>
      </w:r>
    </w:p>
    <w:p>
      <w:pPr>
        <w:spacing w:after="0" w:line="15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2018, the Company's effective tax rate was 30.3%. The 2018 rate was unfavorable as a result of the re-measurement of deferred taxes primarily due to the Company's state rate mix and state income tax law changes. In 2018, the Company recorded additional tax for TCJA under SAB 118. Additionally, the 2018 rate was higher due to increased income taxes paid on divestitures where next tax basis was lower than net book basis.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Both 2019 and 2018 were negatively impacted by the global intangible low taxed income tax.</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considers substantially all of its foreign earnings to be permanently reinvested overseas.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67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50"/>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Operating Results by Segment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42"/>
        </w:trPr>
        <w:tc>
          <w:tcPr>
            <w:tcW w:w="4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6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34"/>
        </w:trPr>
        <w:tc>
          <w:tcPr>
            <w:tcW w:w="4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LCD 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LCD operating margin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CDD 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CDD operating margin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64"/>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 operating income was $1,086.0 for the year ended December 31, 2019, a decrease of 6.9% over operating income of $1,166.7 in the corresponding period of 2018 and a decrease of 110 basis points in operating margin year-over-year. The decrease in operating income and margin was primarily due to lower reimbursement as a result of PAMA, higher personnel costs, disposition of businesses, and cybersecurity expenses, partially offset by the Company’s LaunchPad initiatives, and acquisitions. The Company remains on track to deliver approximately $200.0 of net savings from its three-year, phase II of LabCorp Diagnostics’ LaunchPad initiative by the end of 2021.</w:t>
      </w:r>
    </w:p>
    <w:p>
      <w:pPr>
        <w:spacing w:after="0" w:line="80"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CDD operating income was $411.5 for the year ended December 31, 2019, an increase of 35.5% over operating income of $303.6 in the corresponding period of 2018 and an increase of 200 basis points in operating margin year-over-year. The increase in operating income and margin were primarily due to organic demand, LaunchPad savings, acquisitions and currency translation, partially offset by personnel costs, and cybersecurity investments. The Company is on track to deliver $150.0 of net savings from its three-year CDD LaunchPad initiative by the end of 2020.</w:t>
      </w:r>
    </w:p>
    <w:p>
      <w:pPr>
        <w:spacing w:after="0" w:line="7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General corporate expenses are comprised primarily of administrative services such as executive management, human resources, legal, finance, corporate affairs, and information technology. Corporate expenses were $167.3 for the year ended December 31, 2019, an increase of 15.7% over corporate expenses of $144.6 in the corresponding period of 2018. The increase in corporate expenses in 2019 is primarily due to higher personnel costs, including executive transition costs and increases in merit based labor costs, as well as the benefit of a favorable legal settlement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12 Debt to the Company's Consolidated Financial Statements.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Management’s discussion and analysis of cash flows for the year ended December 31, 2018 compared to the year ended December 31, 2017 may be found in the “Management’s Discussion and Analysis of Financial Condition and Results of Operations Liquidity, Capital Resources and Financial Position” section of our Annual Report on Form 10-K for the fiscal year ended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In summary the Company's cash flows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right"/>
              <w:ind w:right="670"/>
              <w:spacing w:after="0"/>
              <w:rPr>
                <w:sz w:val="20"/>
                <w:szCs w:val="20"/>
                <w:color w:val="auto"/>
              </w:rPr>
            </w:pPr>
            <w:r>
              <w:rPr>
                <w:rFonts w:ascii="Arial" w:cs="Arial" w:eastAsia="Arial" w:hAnsi="Arial"/>
                <w:sz w:val="18"/>
                <w:szCs w:val="18"/>
                <w:color w:val="auto"/>
              </w:rPr>
              <w:t>For the Year Ended December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(2,228.7)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at December 31, 2019 and 2018 totaled $337.5 and $426.8, respectively. Cash and cash equivalents consist of highly liquid instruments, such as time deposits and other money market investments, which have original maturities of three months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year ended December 31, 2019, the Company's operations provided $1,444.7 of cash as compared to $1,305.4 in 2018. The $139.3 increase in cash provided from operations in 2019 as compared with the corresponding 2018 period was primarily due to higher cash earnings, partially offset by increased working capital to support growth. In addition, the Company had a net tax payment of approximately $105.0 related to the divestiture of its food and forensic testing service businesses in 2018, the</w:t>
      </w:r>
    </w:p>
    <w:p>
      <w:pPr>
        <w:sectPr>
          <w:pgSz w:w="11900" w:h="16838" w:orient="portrait"/>
          <w:cols w:equalWidth="0" w:num="1">
            <w:col w:w="11420"/>
          </w:cols>
          <w:pgMar w:left="240" w:top="108"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08"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which are recorded in net cash provided by investing activities. The Company’s 2019 earnings were impacted by $54.6 of restructuring and other charges compared to an impact of $48.1 during the same period in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Net cash used by investing activities for the year ended December 31, 2019, was $1,283.1 as compared to net cash provided by investing activities of $206.7 for the year ended December 31, 2018. The $1,489.8 increase in cash used by investing activities for the year ended December 31, 2019, was primarily due to a year over year increase of $758.2 in cash paid for acquisitions. In addition, the Company had proceeds of $708.3 from the sale of assets and disposition of businesses during 2018 in comparison to $7.7 during 2019. Capital expenditures were $400.2 and $379.8 for the years ended December 31, 2019 and 2018, respectively. Capital expenditures in 2019 were 3.5% of revenues primarily in connection with projects to support growth in the Company's core businesses, projects related to LaunchPad and further Covance integration initiatives. The Company intends to continue to pursue acquisitions to fund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2020 to be approximately 3.5% to 4.0% of revenues, primarily in connection with projects to support growth in the Company's core businesses, facility updates, ongoing projects related to LaunchPad within the LCD business, LaunchPad's expansion within the CDD business, and further acquisition integration initiatives.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Net cash used in financing activities for the year ended December 31, 2019, was $252.7 compared to cash used in financing activities of $1,389.9 for the year ended December 31, 2018. This movement in cash within financing activities for 2019, as compared to 2018, was primarily a result of $198.5 net financing proceeds offset by $450.0 in share repurchases in 2019 compared to $695.0 in net financing payments and $700.0 in share repurchases in 2018.</w:t>
      </w:r>
    </w:p>
    <w:p>
      <w:pPr>
        <w:spacing w:after="0" w:line="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June 3, 2019, the Company entered into a new $850.0 term loan facility in addition to its $750.0 2017 term loan facility. The 2019 term loan facility will mature on June 3, 2021. Proceeds of the 2019 term loan facility were used for general corporate purposes, including to repay approximately $250.0 of the 2017 term loan facility and in connection with the acquisition of Envigo's nonclinical research services business.</w:t>
      </w:r>
    </w:p>
    <w:p>
      <w:pPr>
        <w:spacing w:after="0" w:line="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November 25, 2019, the Company issued $1,050.0 in debt securities, consisting of $400.0 aggregate principal amount of 2.300% Senior Notes due 2024 and $650.0 aggregate principal amount of 2.950% Senior Notes due 2029. The net proceeds from the new Senior Notes were used to redeem all of the outstanding $500.0 principal amount of its 2.625% Senior Notes due February 1, 2020, redeem $187.9 of the outstanding 4.625% Senior Notes due November 15, 2020 in a tender offer, and to repay $348.3 outstanding under the Company's term loan credit facilities.</w:t>
      </w:r>
    </w:p>
    <w:p>
      <w:pPr>
        <w:spacing w:after="0" w:line="19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total, during 2019, the Company redeemed or repaid $687.9 million of its Senior Notes and $1,002.0 million of its term loans. In addition, the Company borrowed and repaid a total of $495.0 million of debt through its revolving credit facility within 2019. The Company will continue to evaluate all opportunities for strategic deployment of capital in light of market conditions.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revolving credit facility consists of a five year revolving facility in the principal amount of up to $1,000.0 with the option of increasing the facility by up to an additional $350.0, subject to the agreement of one or more new or existing lenders to provide such additional amounts and certain other customary conditions.</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Company's term loan credit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term loan credit facilities and the revolving credit facility at December 31, 2019. As of December 31, 2019, the ratio of total debt to consolidated pro forma trailing 12 month earnings before interest, tax, depreciation, and amortization (EBITDA) was 3.1 to 1.0.</w:t>
      </w:r>
    </w:p>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At the end of 2018, the Company had outstanding authorization from the board of directors to purchase up to $443.5 of Company common stock. On February 6, 2019, the board of directors replaced the Company’s existing share repurchase plan with a new plan authorizing repurchase of up to $1.25 billion of the Company’s shares. The repurchase authorization has no expiration date. During 2019, the Company purchased 2.9 shares of its common stock at an average price of $154.94 for a total cost of $450.0, of which $100.0 was repurchased prior to the new plan in February 2019. At the end of 2019, the Company had outstanding authorization from the board of directors to purchase an additional $900.0 of Company common stock.</w:t>
      </w:r>
    </w:p>
    <w:p>
      <w:pPr>
        <w:spacing w:after="0" w:line="2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2019 and 2018, the Company settled notices to convert $8.6 and $0.3 aggregate principal amount at maturity of its zero-coupon subordinated notes due 2021 (the zero-coupon notes) with a conversion value of $16.6 and $0.7, respectively. The total cash used for these settlements was $8.2 and $0.3 and the Company also issued 0.1 and 0.0 additional shares of common stock, respectively. As a result of these conversions in 2019 and 2018, the Company also reversed approximately $2.0 and $0.2,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deferred tax liability to reflect the tax benefit realized upon issuance of the shares. On December 19, 2019, the Company redeemed any remaining outstanding zero-coupon notes that did not convert.</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Ratings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investment grade debt ratings from Moody’s and BBB from Standard &amp; Poor's (S&amp;P) contribute to its ability to access capital markets.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6"/>
          </w:tcPr>
          <w:p>
            <w:pPr>
              <w:jc w:val="right"/>
              <w:ind w:right="30"/>
              <w:spacing w:after="0"/>
              <w:rPr>
                <w:sz w:val="20"/>
                <w:szCs w:val="20"/>
                <w:color w:val="auto"/>
              </w:rPr>
            </w:pPr>
            <w:r>
              <w:rPr>
                <w:rFonts w:ascii="Arial" w:cs="Arial" w:eastAsia="Arial" w:hAnsi="Arial"/>
                <w:sz w:val="18"/>
                <w:szCs w:val="18"/>
                <w:color w:val="auto"/>
              </w:rPr>
              <w:t>Payments Due by Period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2021 -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2023 -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2025 and</w:t>
            </w:r>
          </w:p>
        </w:tc>
      </w:tr>
      <w:tr>
        <w:trPr>
          <w:trHeight w:val="270"/>
        </w:trPr>
        <w:tc>
          <w:tcPr>
            <w:tcW w:w="4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5"/>
              </w:rPr>
              <w:t>thereafter</w:t>
            </w:r>
          </w:p>
        </w:tc>
      </w:tr>
      <w:tr>
        <w:trPr>
          <w:trHeight w:val="34"/>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289.9</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 on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1,045.8</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Scheduled interest payments on Term Loan (d)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6,247.9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3,157.0</w:t>
            </w:r>
          </w:p>
        </w:tc>
      </w:tr>
      <w:tr>
        <w:trPr>
          <w:trHeight w:val="264"/>
        </w:trPr>
        <w:tc>
          <w:tcPr>
            <w:tcW w:w="4640" w:type="dxa"/>
            <w:vAlign w:val="bottom"/>
          </w:tcPr>
          <w:p>
            <w:pPr>
              <w:ind w:left="40"/>
              <w:spacing w:after="0"/>
              <w:rPr>
                <w:sz w:val="20"/>
                <w:szCs w:val="20"/>
                <w:color w:val="auto"/>
              </w:rPr>
            </w:pPr>
            <w:r>
              <w:rPr>
                <w:rFonts w:ascii="Arial" w:cs="Arial" w:eastAsia="Arial" w:hAnsi="Arial"/>
                <w:sz w:val="18"/>
                <w:szCs w:val="18"/>
                <w:color w:val="auto"/>
              </w:rPr>
              <w:t>Total contractual cash obligations (b) (c)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9,436.3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2,136.9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4,590.9</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the achievement of specified revenue milestones.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17 Pension and Postretirement Plans to Consolidated Financial Statements. Benefits under the Company's postretirement medical plan are made when claims are submitted for payment, the timing of which is not practicable to estimate.</w:t>
      </w:r>
    </w:p>
    <w:p>
      <w:pPr>
        <w:spacing w:after="0" w:line="7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table does not include the Company’s reserve for unrecognized tax benefits. The Company had a $37.2 and $26.7 reserve for unrecognized tax benefits, including interest and penalties, at December 31, 2019, and 2018, respectively, which is included in Note 14 Income Taxes to Consolidated Financial Statements. For the year ended December 31, 2019, approximately $6.1 of the tax reserve is classified in accrued expenses and other in the Company's Consolidated Balance Sheet while the remaining $31.1 is classified in deferred income taxes and other tax liabilities. For the year ended December 31, 2018, approximately $6.0 of the tax reserve is classified in accrued expenses and other in the Company's Consolidated Balance Sheet while the remaining $20.7 is classified in deferred income taxes and other tax liabilities.</w:t>
      </w:r>
    </w:p>
    <w:p>
      <w:pPr>
        <w:spacing w:after="0" w:line="70"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Interest payments due by period for the Company's debt subject to variable interest rates are calculated based on rates in place as of December 31, 2019.</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amount of debt issuance costs included in the long-term debt balance.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31"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As of December 31, 2019, the Company provided letters of credit aggregating approximately $76.3, primarily in connection with certain insurance programs. Letters of credit provided by the Company are secured by the Company’s revolving credit facility and are renewed annually.</w:t>
      </w:r>
    </w:p>
    <w:p>
      <w:pPr>
        <w:spacing w:after="0" w:line="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$15.8 and $15.0 at December 31, 2019, and 2018, respectively, and has been classified as mezzanine equity in the Company's consolidated balance sheet.</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Accruals for self-insurance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13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Within the LCD segment, a revenue transaction is initiated when LCD receives a requisition order to perform a diagnostic test. The information provided on the requisition form is used to determine the party that will be billed for the testing performed and the expected reimbursement. LCD recognizes revenue and satisfies its performance obligation for services rendered when the testing process is complete and the associated results are reported. Revenues are distributed among four payer portfolios - clients, patients, Medicare and Medicaid and third-party.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LCD payer portfolios: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Client payers represent the portion of LCD’s revenue related to physicians, hospitals, health systems, accountable care organizations (ACOs), employers and other entities where payment is received exclusively from the entity ordering the testing service. Generally, client revenues are recorded on a fee-for-service basis at LCD’s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252"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LCD’s patient fee schedules, net of any discounts negotiated with physicians on behalf of their patients. LCD bills insured patients as directed by their health plan and after consideration of the fees and terms associated with an established health plan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26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LCD’s results of operations in any period presented</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Third-party includes revenue related to MCOs. The majority of LCD's third-party revenue is reimbursed on a fee-for-service basis. These payers are billed at LCD's established list price and revenue is recorded net of contractual discounts. The majority of LCD’s MCO revenues are recorded based upon contractually negotiated fee schedules with revenues for non-contracted MCOs recorded based on historical reimbursement experience.</w:t>
      </w:r>
    </w:p>
    <w:p>
      <w:pPr>
        <w:spacing w:after="0" w:line="1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LCD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LCD recognizes revenue monthly, based upon the established capitation rate or anticipated distribution from a capitated pool.</w:t>
      </w:r>
    </w:p>
    <w:p>
      <w:pPr>
        <w:spacing w:after="0" w:line="13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LCD has a formal process to estimate implicit price concessions for uncollectable accounts. The majority of LCD's collection risk is related to accounts receivable from both insured and uninsured patients who are unwilling or unable to pay. Anticipated</w:t>
      </w:r>
    </w:p>
    <w:p>
      <w:pPr>
        <w:sectPr>
          <w:pgSz w:w="11900" w:h="16838" w:orient="portrait"/>
          <w:cols w:equalWidth="0" w:num="1">
            <w:col w:w="11420"/>
          </w:cols>
          <w:pgMar w:left="240" w:top="125"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write-offs are recorded as adjustments to revenue an at an amount considered necessary to record the segment's revenue at its net realizable value. In addition to contractual discounts, other adjustments including anticipated payer denials and other external factors that could affect the collectablity of its receivables are considered when determining revenue and the net receivable amount. Any remaining adjustments to revenue are recorded at the time of final collection and settlement. These adjustments are not material to LCD's results of operations in any period presented.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nature of CDD’s obligations include agreements to provide preclinical services,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Historically a majority of CDD's revenues have been earned under contracts that range in duration from a few months to a few years, but can extend in duration up to five years or longer. Occasionally, CDD also has entered into minimum volume arrangements with certain customers. Under these types of arrangements, if the annual minimum dollar value of a service commitment is not reached, the customer is required to pay CDD for the shortfall. Annual minimum commitment shortfalls are not recognized until the end of the period when the amount has been determined and agreed to by the customer.</w:t>
      </w:r>
    </w:p>
    <w:p>
      <w:pPr>
        <w:spacing w:after="0" w:line="6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8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w:t>
      </w:r>
    </w:p>
    <w:p>
      <w:pPr>
        <w:spacing w:after="0" w:line="6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 Billing schedules and payment terms are generally negotiated on a contract-by-contract basis. In some cases, CDD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CDD allocates the contract price to the goods and services based on a customer price list, if available. If a price list is not available, CDD will estimate the transaction price using either market prices or an “expected cost plus margin” approach.</w:t>
      </w:r>
    </w:p>
    <w:p>
      <w:pPr>
        <w:spacing w:after="0" w:line="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While CDD attempts to negotiate terms that provide for billing and payment of services prior or within close proximity to the provision of services, this is not always possible.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7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other cases, services may be provided and revenue recognized before the customer is invoiced. In these cases, revenue recognized will exceed amounts billed, and the difference, representing a contract asset, is recorded for the amount that is currently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5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revenues when services are performed and realization is assured.</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are descriptions of the full range of drug development services provided by CDD:</w:t>
      </w:r>
    </w:p>
    <w:p>
      <w:pPr>
        <w:spacing w:after="0" w:line="131"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Preclinical services include fee-for-service activities such as bioanalytical testing services, and proportional performance activities such as toxicology studies. Until June 3, 2019, preclinical services also included the sale of research models. See Note 3 Business Acquisitions and Dispositions to the Consolidated Financial Statements for more information. Revenue for sale of research models was recognized at a point in time, typically upon shipment, when control transferred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70"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Through its central laboratory, CDD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CDD also provides long-term specimen storage services, for which revenue is recognized using an input-based measure of progress based on costs incurred.</w:t>
      </w:r>
    </w:p>
    <w:p>
      <w:pPr>
        <w:spacing w:after="0" w:line="60"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CDD 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The majority of clinical development and commercialization service long-term contracts are service contracts for clinical research that represent a single performance obligation (e.g., management of a clinical study). Revenue for these service contracts is recognized over time based on the progress of the performance obligation which was measured by the proportion of the actual costs incurred to the total costs expected to complete the contract (including labor and pass-through costs such as investigator grants and reimbursable out-of-pocket expenses). This cost-based method of revenue recognition required management to estimate the costs to complete these services on an ongoing basis. Clinical services utilizing the input-based measure of progress account for approximately 50% of CDD revenue.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21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accounted for business combination transactions under the acquisition method of accounting and reported the results of operations of the acquired entities from its respective date of acquisition. Assets acquired were recorded at their 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 of the ability to gain access to and penetrate the acquired entities' historical patient base and the benefits of being able to leverage operational efficiencies with favorable growth opportunities based on positive demographic trends in the market. None of the goodwill recorded as a result from these transactions is deductible for federal income tax purposes.</w:t>
      </w:r>
    </w:p>
    <w:p>
      <w:pPr>
        <w:spacing w:after="0" w:line="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in Note 3 Business Acquisitions and Dispositions to the consolidated financial statements, the Company acquired the nonclinical contract research services business of Envigo for consideration of $601.0 in 2019, which resulted in $141.4 of identifiable intangible assets and $379.3 of goodwill being recorded. Management applied significant judgment in estimating the fair value of identifiable intangible assets, which involved the use of significant estimates and assumptions with respect to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attrition rates and the discount rate. During the year ended December 31, 2019, the Company also acquired various businesses and related assets for approximately $286.4 in cash (net of cash acquired). The purchase consideration for all acquisitions year to date has been allocated to the estimated fair market value of the net assets acquired, including approximately $184.3 in identifiable intangible assets and a residual amount of non-tax-deductible goodwill of approximately $115.1.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has a defined-benefit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w:t>
      </w:r>
    </w:p>
    <w:p>
      <w:pPr>
        <w:spacing w:after="0" w:line="9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Plan covers substantially all employees employed by the Company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a result of the Covance acquisition, the Company sponsors two defined-benefit pension plans for the benefit of its employees at two U.K. subsidiaries (U.K. Plans) and one defined-benefit pension plan for the benefit of its employees at a German subsidiary (German Plan), all of which are legacy plans of previously acquired companies and are closed to new entrants.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a result of the Envigo acquisition, the Company assumed a defined benefit pension plan for the benefit of Envigo's U.K. employees (the Envigo plan), which is a legacy plan of a company previously acquired by Envigo. The Envigo plan is a funded plan that is closed to future accrual. The Company’s funding policy has been to contribute amounts at least equal to the local statutory funding requirements.</w:t>
      </w:r>
    </w:p>
    <w:p>
      <w:pPr>
        <w:spacing w:after="0" w:line="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defined-benefit retirement plans were a 3.3% discount rate and a 6.5% expected long-term rate of return on plan assets for the Company Plan, a 3.4% discount rate for the PEP, a 1.9% discount rate and a 2.0% expected salary increase for the German plan and a 2.9% discount rate, a 3.6% expected salary increase for the U.K. Plans and a 2.3% discount rate and 3.9% expected return on assets for the Envigo plan as of December 31,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31"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at which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2019 retirement plan expense of $2.0 for the Company Plan and PEP. A one percentage point decrease or increase in the discount rate would have resulted in a respective increase or decrease in 2019 retirement plan expense of $0.4 for the U.K.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3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2019 pension expense of $2.4 for the Company Plan. A one percentage point increase or decrease in the expected return on plan assets would have resulted in a corresponding change in 2019 pension expense of $3.5 for the U.K. Plans.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Net pension cost for 2019 was $13.8 as compared with $20.9 in 2018 and $14.6 in 2017. The decrease in pension expense was due to decreases in the amount of net amortization and deferral as a result of higher discount rates. In addition, a $7.5 settlement charge was incurred in 2018. Pension expense for the Company Plan and the PEP is expected to decrease to $11.8 in 2020 primarily due to the impact of strong asset returns in 2019 for the Company Plan offset by lower discount rates impacting the PEP. Pension expense for the Germany Plan and the U.K. Plans is expected to decrease to a credit of $3.5 in 2020, primarily due to the impact of freezing the legacy U.K. Plans as of December 31, 2019, leading to a lower service cost in 2020.</w:t>
      </w:r>
    </w:p>
    <w:p>
      <w:pPr>
        <w:spacing w:after="0" w:line="7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Further information on the Company’s defined-benefit retirement plans is provided in Note 17 Pension and Postretirement Plans to the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Self-Insurance Reserves</w:t>
      </w:r>
    </w:p>
    <w:p>
      <w:pPr>
        <w:spacing w:after="0" w:line="13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87" w:lineRule="exact"/>
        <w:rPr>
          <w:sz w:val="20"/>
          <w:szCs w:val="20"/>
          <w:color w:val="auto"/>
        </w:rPr>
      </w:pPr>
    </w:p>
    <w:p>
      <w:pPr>
        <w:jc w:val="both"/>
        <w:ind w:firstLine="207"/>
        <w:spacing w:after="0" w:line="279" w:lineRule="auto"/>
        <w:rPr>
          <w:sz w:val="20"/>
          <w:szCs w:val="20"/>
          <w:color w:val="auto"/>
        </w:rPr>
      </w:pPr>
      <w:r>
        <w:rPr>
          <w:rFonts w:ascii="Arial" w:cs="Arial" w:eastAsia="Arial" w:hAnsi="Arial"/>
          <w:sz w:val="17"/>
          <w:szCs w:val="17"/>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77" w:lineRule="exact"/>
        <w:rPr>
          <w:sz w:val="20"/>
          <w:szCs w:val="20"/>
          <w:color w:val="auto"/>
        </w:rPr>
      </w:pPr>
    </w:p>
    <w:p>
      <w:pPr>
        <w:ind w:right="220" w:firstLine="216"/>
        <w:spacing w:after="0" w:line="391" w:lineRule="auto"/>
        <w:rPr>
          <w:sz w:val="20"/>
          <w:szCs w:val="20"/>
          <w:color w:val="auto"/>
        </w:rPr>
      </w:pPr>
      <w:r>
        <w:rPr>
          <w:rFonts w:ascii="Arial" w:cs="Arial" w:eastAsia="Arial" w:hAnsi="Arial"/>
          <w:sz w:val="18"/>
          <w:szCs w:val="18"/>
          <w:color w:val="auto"/>
        </w:rPr>
        <w:t xml:space="preserve">If actual trends differ from these estimates, the financial results could be impacted. Historical trends have not differed significantly from these estimates.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accordance with updates to the Financial Accounting Standards Board's (FASB)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quantitative assessment. Similarly, a company can proceed directly to a quantitative assessment in the case of impairment testing for indefinite-lived intangible assets as well.</w:t>
      </w:r>
    </w:p>
    <w:p>
      <w:pPr>
        <w:spacing w:after="0" w:line="8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quantitative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An entity should recognize an impairment charge for the amount by which the carrying amount exceeds the reporting unit’s fair value; however, the loss recognized should not exceed the total amount of goodwill allocated to that reporting unit.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4" w:lineRule="exact"/>
        <w:rPr>
          <w:sz w:val="20"/>
          <w:szCs w:val="20"/>
          <w:color w:val="auto"/>
        </w:rPr>
      </w:pPr>
    </w:p>
    <w:p>
      <w:pPr>
        <w:ind w:left="660" w:hanging="652"/>
        <w:spacing w:after="0" w:line="277"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75"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75" w:lineRule="exact"/>
        <w:rPr>
          <w:rFonts w:ascii="Arial" w:cs="Arial" w:eastAsia="Arial" w:hAnsi="Arial"/>
          <w:sz w:val="18"/>
          <w:szCs w:val="18"/>
          <w:color w:val="auto"/>
        </w:rPr>
      </w:pPr>
    </w:p>
    <w:p>
      <w:pPr>
        <w:ind w:left="660" w:hanging="652"/>
        <w:spacing w:after="0" w:line="259"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performed its annual goodwill and intangible asset impairment testing as of the beginning of the fourth quarter of 2019. The Company elected to perform the qualitative assessment for goodwill and intangible assets for the domestic LCD reporting units, a quantitative assessment for the CDD reporting units and a quantitative assessment for the Canadian reporting unit and its indefinite-lived assets consisting of acquired Canadian licenses.</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the Company utilized a combination of the market and income approaches to determine the fair value of the CDD reporting units and the income approach to determine the fair value of the Canadian reporting unit and its indefinite-lived assets consisting of acquired Canadian licenses. Based upon the results of the quantitative assessments, the Company concluded that the fair values of the goodwill and intangible assets, including the indefinite-lived Canadian licenses, was greater than the carrying value.</w:t>
      </w:r>
    </w:p>
    <w:p>
      <w:pPr>
        <w:spacing w:after="0" w:line="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2019 will prove to be accurate predictions of the future, if, for example, (i) the businesses do not perform as projected, (ii) overall economic conditions in 2019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The Company will continue to monitor the financial performance of and assumptions for one of the CDD reporting units for which an income approach was performed in 2019 and where the fair value exceeded carrying value by approximately 10%. Goodwill for this reporting unit as of December 31, 2019, was $2.2 billion. Management's impairment analysis for this reporting unit utilized significant judgments and assumptions related to the market comparable method analysis, such as selected market multiples, and related to cash flow projections, such as revenue and terminal growth rate, projected operating income, and the discount rate. A significant increase in the discount rate, decrease in the revenue and terminal growth rate, decreased operation margin or substantial reductions in end markets and volume assumptions could have a negative impact on the estimated fair value of this reporting unit. A future impairment charge for goodwill or intangible assets could have a material effect on the Company's consolidated financial position and results of operations. Management notes that a 1% change in the discount rate would reduce the headroom to approximately 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Laboratory Corporation of America® Holdings together with its subsidiaries (the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this Annual Report on Form 10-K, and in the Company’s other public filings, press releases, and discussions with Company management, including:</w:t>
      </w:r>
    </w:p>
    <w:p>
      <w:pPr>
        <w:spacing w:after="0" w:line="195" w:lineRule="exact"/>
        <w:rPr>
          <w:sz w:val="20"/>
          <w:szCs w:val="20"/>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8"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3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and the U.S. Needlestick Safety and Prevention Act and similar laws and regulations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(U.K.), the National Medical Products Administration in China, the Pharmaceutical and Medical Devices Agency in Japan, the European Medicines Agency and similar regulations and policies of agencies in other jurisdictions in which the Company conducts business;</w:t>
      </w:r>
    </w:p>
    <w:p>
      <w:pPr>
        <w:spacing w:after="0" w:line="50"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government regulations or reimbursement pertaining to the biopharmaceutical and medical device and diagnostic industries, changes in reimbursement of biopharmaceutical products or reduced spending on research and development by biopharmaceutical customers;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11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7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retain or attract managed care organization (MCO) business as a result of changes in business models, including new risk-based or network approaches, out-sourced laboratory network management or utilization management companies, or other changes in strategy or business models by MCOs;</w:t>
      </w:r>
    </w:p>
    <w:p>
      <w:pPr>
        <w:spacing w:after="0" w:line="7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consolidation and convergence of MCOs, biopharmaceutical companies, health systems, large physician organizations and other customers, potentially causing material shifts in insourcing, utilization, pricing and reimbursement, including full and partial risk-based models;</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business interruption or other impact on the business due to natural disasters, including adverse weather, fires and earthquakes, political crises, including terrorism and war, public health crises and disease epidemics and pandemics, and other events outside of the Company's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5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 party utilization management organizations and increasing levels of patient payment responsibility;</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 including the U.S. Tax Cuts and Jobs Act (TCJA);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economic conditions and government and regulatory changes, including, but not limited to the U.K.'s exit from the European Union.</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ABOUT MARKET RISK (in millions)</w:t>
      </w:r>
    </w:p>
    <w:p>
      <w:pPr>
        <w:spacing w:after="0" w:line="25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Although, as set forth below, the Company’s zero-coupon subordinated notes contained features were considered to be embedded derivative instruments, the Company does not hold or issue derivative financial instruments for trading purposes.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Approximately 12.7% and 13.6% of the Company's revenues for the year ended December 31, 2019 and 2018, respectively,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both 2019 and 2018, the most significant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2019 by approximately $4.3. Gross accumulated currency translation adjustments recorded as a separate component of shareholders’ equity were $104.4 and $(176.6) at December 31, 2019, and 2018, respectively. The Company does not have significant operations in countries in which the economy is considered to be highly inflationary.</w:t>
      </w:r>
    </w:p>
    <w:p>
      <w:pPr>
        <w:spacing w:after="0" w:line="21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2019, the Company had 34 open foreign exchange forward contracts with various amounts maturing monthly through January 2020 with a notional value totaling approximately $369.2. At December 31, 2018, the Company had 34 open foreign exchange forward contracts with various amounts maturing monthly through January 2019 with a notional value totaling approximately $487.9.</w:t>
      </w:r>
    </w:p>
    <w:p>
      <w:pPr>
        <w:spacing w:after="0" w:line="194"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Company is party to USD to Swiss Franc cross-currency swap agreements with an aggregate notional amount of $600.0, maturing in 2022 and 2025, as a hedge against the impact of foreign exchange movements on its net investment in a Swiss Franc functional currency subsidiary.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20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facilities and revolving credit facility are subject to variable interest rates, unless fixed through interest rate swaps or other agreements. As of December 31, 2019, and 2018, the Company had approximately $375.0 and $0.0, respectively, of unhedged variable rate debt under the 2019 term loan credit facility and $0.0 and $527.1, respectively, under the 2017 term loan credit facility.</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$0.9 per year for the Company's unhedged variable rate debt.</w:t>
      </w:r>
    </w:p>
    <w:p>
      <w:pPr>
        <w:spacing w:after="0" w:line="19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 xml:space="preserve">During the third quarter of 2013, the Company entered into two fixed-to-variable interest rate swap agreements for its 4.625% Senior Notes due 2020 with an aggregate notional amount of $600.0 and variable interest rates based on one-month London Interbank Offered Rate </w:t>
      </w:r>
      <w:r>
        <w:rPr>
          <w:rFonts w:ascii="Arial" w:cs="Arial" w:eastAsia="Arial" w:hAnsi="Arial"/>
          <w:sz w:val="17"/>
          <w:szCs w:val="17"/>
          <w:b w:val="1"/>
          <w:bCs w:val="1"/>
          <w:color w:val="auto"/>
        </w:rPr>
        <w:t>(</w:t>
      </w:r>
      <w:r>
        <w:rPr>
          <w:rFonts w:ascii="Arial" w:cs="Arial" w:eastAsia="Arial" w:hAnsi="Arial"/>
          <w:sz w:val="17"/>
          <w:szCs w:val="17"/>
          <w:color w:val="auto"/>
        </w:rPr>
        <w:t>LIBOR) plus 2.298% to hedge against changes in the fair value of a portion of the Company's long-term debt. The Company exited one of these swap arrangements in December 2019 in connection with the redemption of $187.9 of the 4.625% Senior Notes due 2020 and recorded a gain of $1.6.</w:t>
      </w:r>
    </w:p>
    <w:p>
      <w:pPr>
        <w:spacing w:after="0" w:line="19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On December 19, 2019, the Company redeemed any remaining outstanding zero-coupon subordinated notes due 2021 (the zero-coupon notes) that did not convert.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by reference to the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and the consolidated financial statements, related notes and supplementary data. See the Index on Page F-1.</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ind w:right="320"/>
        <w:spacing w:after="0" w:line="418" w:lineRule="auto"/>
        <w:rPr>
          <w:sz w:val="20"/>
          <w:szCs w:val="20"/>
          <w:color w:val="auto"/>
        </w:rPr>
      </w:pPr>
      <w:r>
        <w:rPr>
          <w:rFonts w:ascii="Arial" w:cs="Arial" w:eastAsia="Arial" w:hAnsi="Arial"/>
          <w:sz w:val="18"/>
          <w:szCs w:val="18"/>
          <w:color w:val="auto"/>
        </w:rPr>
        <w:t xml:space="preserve">financial officer concluded that the Company’s disclosure controls and procedures were effective as of the end of the period covered by this annual report. </w:t>
      </w:r>
      <w:r>
        <w:rPr>
          <w:rFonts w:ascii="Arial" w:cs="Arial" w:eastAsia="Arial" w:hAnsi="Arial"/>
          <w:sz w:val="18"/>
          <w:szCs w:val="18"/>
          <w:b w:val="1"/>
          <w:bCs w:val="1"/>
          <w:color w:val="auto"/>
        </w:rPr>
        <w:t>Changes in Internal Control over Financial Reporting</w:t>
      </w:r>
    </w:p>
    <w:p>
      <w:pPr>
        <w:spacing w:after="0" w:line="4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On June 3, 2019, the Company completed the acquisition of Envigo's nonclinical contract research services business. The Company’s management has extended its oversight and monitoring processes that support internal control over financial reporting to include the acquired Envigo operations. The Company’s management is continuing to integrate the acquired operations of Envigo's nonclinical contract research services business into the Company’s overall internal control over financial reporting process. However, management has excluded these operations from its annual assessment of internal controls over financial reporting for the year ending December 31, 2019. There have been no changes in the Company’s internal control over financial reporting (as defined in Exchange Act Rules 13a-15(f) and 15d-15(f)) during the quarter ended December 31, 2019, that have materially affected, or are reasonably likely to materially affect,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7"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2019.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2019, the Company maintained effective internal control over financial reporting. Management reviewed the results of its assessment with the Audit Committee of the Company’s board of directors.</w:t>
      </w:r>
    </w:p>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June 3, 2019, the Company completed the acquisition of Envigo's nonclinical contract research services business. As a result, management has excluded Envigo from its assessment of internal control over financial reporting. Envigo is a wholly-owned subsidiary whose total assets and total revenues, excluded from management's assessment, represent 1.3% and 1.1%, respectively, of the related consolidated financial statement amounts as of and for the year ended December 31, 2019.</w:t>
      </w:r>
    </w:p>
    <w:p>
      <w:pPr>
        <w:spacing w:after="0" w:line="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2019, as stated in its report, which is included herein immediately preceding the Company’s audited financial statements.</w:t>
      </w:r>
    </w:p>
    <w:p>
      <w:pPr>
        <w:spacing w:after="0" w:line="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2020 (the 2020 Proxy Statement) under the caption Election of Directors. Information regarding executive officers is incorporated by reference to the Company’s 2020 Proxy Statement under the caption Executive Officers. Information concerning the Company’s Audit Committee, including the designation of audit committee financial experts and information regarding compliance with Section 16(a) of the Exchange Act responsive to this item is incorporated by reference to the Company’s 2020 Proxy Statement under the captions Corporate Governance and Section 16(a) Beneficial Ownership Reporting Compliance respectively. Information concerning the Company's code of ethics is incorporated by reference to the Company's 2020 Proxy Statement under the caption Corporate Governance Policies and Procedures.</w:t>
      </w:r>
    </w:p>
    <w:p>
      <w:pPr>
        <w:spacing w:after="0" w:line="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2020 Proxy Statement under the captions “Executive Compensation” and “Director Compensation.”</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See Note 15 Stock Compensation Plans to the Consolidated Financial Statements for a discussion of the Company’s Stock Compensation Plans. Except for the above referenced footnote, the information called for by this item is incorporated by reference to information in the 2020 Proxy Statement under the captions “Security Ownership of Certain Beneficial Holders and Management,” “Compensation Discussion and Analysis” and “Executive Compensation.”</w:t>
      </w:r>
    </w:p>
    <w:p>
      <w:pPr>
        <w:spacing w:after="0" w:line="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2020 Proxy Statement under the captions “Board Independence” and “Related Party Transactions.”</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2020 Proxy Statement under the caption “Fees to Independent Registered Public Accounting Firm.”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71" w:lineRule="exact"/>
        <w:rPr>
          <w:rFonts w:ascii="Arial" w:cs="Arial" w:eastAsia="Arial" w:hAnsi="Arial"/>
          <w:sz w:val="18"/>
          <w:szCs w:val="18"/>
          <w:color w:val="auto"/>
        </w:rPr>
      </w:pPr>
    </w:p>
    <w:p>
      <w:pPr>
        <w:ind w:left="640" w:right="1299" w:hanging="605"/>
        <w:spacing w:after="0" w:line="454"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ind w:left="640" w:hanging="605"/>
        <w:spacing w:after="0"/>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84" w:lineRule="exact"/>
        <w:rPr>
          <w:rFonts w:ascii="Arial" w:cs="Arial" w:eastAsia="Arial" w:hAnsi="Arial"/>
          <w:sz w:val="18"/>
          <w:szCs w:val="18"/>
          <w:color w:val="auto"/>
        </w:rPr>
      </w:pPr>
    </w:p>
    <w:p>
      <w:pPr>
        <w:ind w:left="640" w:right="239"/>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as they are inapplicable or the required information is furnished in the Consolidated Financial Statements or notes thereto.</w:t>
      </w:r>
    </w:p>
    <w:p>
      <w:pPr>
        <w:spacing w:after="0" w:line="129" w:lineRule="exact"/>
        <w:rPr>
          <w:rFonts w:ascii="Arial" w:cs="Arial" w:eastAsia="Arial" w:hAnsi="Arial"/>
          <w:sz w:val="18"/>
          <w:szCs w:val="18"/>
          <w:color w:val="auto"/>
        </w:rPr>
      </w:pPr>
    </w:p>
    <w:p>
      <w:pPr>
        <w:ind w:left="640" w:hanging="605"/>
        <w:spacing w:after="0"/>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125" w:right="144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32">
              <w:r>
                <w:rPr>
                  <w:rFonts w:ascii="Arial" w:cs="Arial" w:eastAsia="Arial" w:hAnsi="Arial"/>
                  <w:sz w:val="18"/>
                  <w:szCs w:val="18"/>
                  <w:color w:val="0000FF"/>
                  <w:w w:val="92"/>
                </w:rPr>
                <w:t>Amended and Restated Certificate of Incorporation of the Company dated May 24, 2001 (incorporated herein by reference to Exhibit 3.1 to</w:t>
              </w:r>
            </w:hyperlink>
          </w:p>
        </w:tc>
      </w:tr>
      <w:tr>
        <w:trPr>
          <w:trHeight w:val="196"/>
        </w:trPr>
        <w:tc>
          <w:tcPr>
            <w:tcW w:w="1140" w:type="dxa"/>
            <w:vAlign w:val="bottom"/>
          </w:tcPr>
          <w:p>
            <w:pPr>
              <w:spacing w:after="0"/>
              <w:rPr>
                <w:sz w:val="17"/>
                <w:szCs w:val="17"/>
                <w:color w:val="auto"/>
              </w:rPr>
            </w:pPr>
          </w:p>
        </w:tc>
        <w:tc>
          <w:tcPr>
            <w:tcW w:w="88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w:anchor="page132">
              <w:r>
                <w:rPr>
                  <w:rFonts w:ascii="Arial" w:cs="Arial" w:eastAsia="Arial" w:hAnsi="Arial"/>
                  <w:sz w:val="18"/>
                  <w:szCs w:val="18"/>
                  <w:color w:val="0000FF"/>
                  <w:w w:val="91"/>
                </w:rPr>
                <w:t>the Company’s Registration Statement on Form S-3, filed with the Commission on October 19, 2001, File No. 333-71896).</w:t>
              </w:r>
            </w:hyperlink>
          </w:p>
        </w:tc>
        <w:tc>
          <w:tcPr>
            <w:tcW w:w="1300" w:type="dxa"/>
            <w:vAlign w:val="bottom"/>
            <w:gridSpan w:val="2"/>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gridSpan w:val="13"/>
          </w:tcPr>
          <w:p>
            <w:pPr>
              <w:spacing w:after="0"/>
              <w:rPr>
                <w:rFonts w:ascii="Arial" w:cs="Arial" w:eastAsia="Arial" w:hAnsi="Arial"/>
                <w:sz w:val="18"/>
                <w:szCs w:val="18"/>
                <w:color w:val="0000FF"/>
              </w:rPr>
            </w:pPr>
            <w:hyperlink r:id="rId19">
              <w:r>
                <w:rPr>
                  <w:rFonts w:ascii="Arial" w:cs="Arial" w:eastAsia="Arial" w:hAnsi="Arial"/>
                  <w:sz w:val="18"/>
                  <w:szCs w:val="18"/>
                  <w:color w:val="0000FF"/>
                </w:rPr>
                <w:t>Amended and Restated By-Laws of the Company, as amended dated February 5, 2020*</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Specimen of the Company’s Common Stock Certificate (incorporated herein by reference to Exhibit 4.1 to the Company’s Annual Report on</w:t>
              </w:r>
            </w:hyperlink>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Form 10-K for the fiscal year ended December 31, 2001).</w:t>
              </w:r>
            </w:hyperlink>
          </w:p>
        </w:tc>
        <w:tc>
          <w:tcPr>
            <w:tcW w:w="6020" w:type="dxa"/>
            <w:vAlign w:val="bottom"/>
            <w:gridSpan w:val="7"/>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9700" w:type="dxa"/>
            <w:vAlign w:val="bottom"/>
            <w:tcBorders>
              <w:bottom w:val="single" w:sz="8" w:color="0000FF"/>
            </w:tcBorders>
            <w:gridSpan w:val="12"/>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Registration Rights Agreement, dated as of January 28, 2003, between the Company and the Initial Purchasers (incorporated herein by</w:t>
              </w:r>
            </w:hyperlink>
          </w:p>
        </w:tc>
        <w:tc>
          <w:tcPr>
            <w:tcW w:w="48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8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reference to Exhibit 10.1 to the Company’s Current Report on Form 8-K, filed with the Commission on February 3, 2003).</w:t>
              </w:r>
            </w:hyperlink>
          </w:p>
        </w:tc>
        <w:tc>
          <w:tcPr>
            <w:tcW w:w="1340" w:type="dxa"/>
            <w:vAlign w:val="bottom"/>
            <w:gridSpan w:val="3"/>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Indenture, dated as of November 19, 2010, between the Company and U.S. Bank National Association, as trustee (incorporated herein by</w:t>
              </w:r>
            </w:hyperlink>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reference to Exhibit 4.1 to the Company’s Current Report on Form 8-K filed on November 19, 2010).</w:t>
              </w:r>
            </w:hyperlink>
          </w:p>
        </w:tc>
        <w:tc>
          <w:tcPr>
            <w:tcW w:w="2860" w:type="dxa"/>
            <w:vAlign w:val="bottom"/>
            <w:gridSpan w:val="5"/>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Second Supplemental Indenture, dated as of November 19, 2010,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including the form of the 2020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November 19, 2010).</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Third Supplemental Indenture, dated as of August 23, 2012, between the Company and U.S. Bank National Association, as trustee, including</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the form of the 2017 Notes (incorporated herein by reference to Exhibit 4.2 to the Company’s Current Report on Form 8-K filed on August</w:t>
              </w:r>
            </w:hyperlink>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23, 2012).</w:t>
              </w:r>
            </w:hyperlink>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Fourth Supplemental Indenture, dated as of August 23, 2012,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including the form of the 2022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August 23, 2012).</w:t>
              </w:r>
            </w:hyperlink>
          </w:p>
        </w:tc>
      </w:tr>
      <w:tr>
        <w:trPr>
          <w:trHeight w:val="20"/>
        </w:trPr>
        <w:tc>
          <w:tcPr>
            <w:tcW w:w="11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Fifth Supplemental Indenture, dated as of November 1, 2013,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including the form of the 2018 Notes (incorporated herein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November 1, 2013).</w:t>
              </w:r>
            </w:hyperlink>
          </w:p>
        </w:tc>
        <w:tc>
          <w:tcPr>
            <w:tcW w:w="8720" w:type="dxa"/>
            <w:vAlign w:val="bottom"/>
            <w:gridSpan w:val="9"/>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Sixth Supplemental Indenture, dated as of November 1, 2013,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including the form of the 2023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November 1, 2013).</w:t>
              </w:r>
            </w:hyperlink>
          </w:p>
        </w:tc>
        <w:tc>
          <w:tcPr>
            <w:tcW w:w="8720" w:type="dxa"/>
            <w:vAlign w:val="bottom"/>
            <w:gridSpan w:val="9"/>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4.9</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Seventh Supplemental Indenture, dated as of January 30, 2015,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including the form of the 2020 Notes (incorporated herein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January 30, 2015).</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Eighth Supplemental Indenture, dated as of January 30, 2015,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including the form of the 2022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January 30, 2015).</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4.11</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6"/>
              </w:rPr>
            </w:pPr>
            <w:hyperlink r:id="rId30">
              <w:r>
                <w:rPr>
                  <w:rFonts w:ascii="Arial" w:cs="Arial" w:eastAsia="Arial" w:hAnsi="Arial"/>
                  <w:sz w:val="18"/>
                  <w:szCs w:val="18"/>
                  <w:color w:val="0000FF"/>
                  <w:w w:val="96"/>
                </w:rPr>
                <w:t>Ninth Supplemental Indenture, dated as of January 30, 2015,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including the form of the 2025 Notes (incorporated herein by reference to Exhibit 4.4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January 30, 2015).</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4.12</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Tenth Supplemental Indenture, dated as of January 30, 2015,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including the form of the 2045 Notes (incorporated herein by reference to Exhibit 4.5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January 30, 2015).</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4.13</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Eleventh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including the form of the 2024 Notes (incorporated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August 22, 2017).</w:t>
              </w:r>
            </w:hyperlink>
          </w:p>
        </w:tc>
      </w:tr>
      <w:tr>
        <w:trPr>
          <w:trHeight w:val="20"/>
        </w:trPr>
        <w:tc>
          <w:tcPr>
            <w:tcW w:w="11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4.14</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Twelfth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33">
              <w:r>
                <w:rPr>
                  <w:rFonts w:ascii="Arial" w:cs="Arial" w:eastAsia="Arial" w:hAnsi="Arial"/>
                  <w:sz w:val="18"/>
                  <w:szCs w:val="18"/>
                  <w:color w:val="0000FF"/>
                  <w:w w:val="96"/>
                </w:rPr>
                <w:t>including the form of the 2027 Notes (incorporated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August 22, 2017).</w:t>
              </w:r>
            </w:hyperlink>
          </w:p>
        </w:tc>
      </w:tr>
      <w:tr>
        <w:trPr>
          <w:trHeight w:val="20"/>
        </w:trPr>
        <w:tc>
          <w:tcPr>
            <w:tcW w:w="11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4.15</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Thirteenth Supplemental Indenture, dated as of November 25, 2019,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including the form of the 2024 Notes (incorporated herein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November 25, 2019).</w:t>
              </w:r>
            </w:hyperlink>
          </w:p>
        </w:tc>
      </w:tr>
      <w:tr>
        <w:trPr>
          <w:trHeight w:val="20"/>
        </w:trPr>
        <w:tc>
          <w:tcPr>
            <w:tcW w:w="11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4.16</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Fourteenth Supplemental Indenture, dated as of November 25, 2019,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including the form of the 2029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November 25, 2019).</w:t>
              </w:r>
            </w:hyperlink>
          </w:p>
        </w:tc>
      </w:tr>
      <w:tr>
        <w:trPr>
          <w:trHeight w:val="20"/>
        </w:trPr>
        <w:tc>
          <w:tcPr>
            <w:tcW w:w="11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4.17</w:t>
            </w:r>
          </w:p>
        </w:tc>
        <w:tc>
          <w:tcPr>
            <w:tcW w:w="10180" w:type="dxa"/>
            <w:vAlign w:val="bottom"/>
            <w:gridSpan w:val="13"/>
          </w:tcPr>
          <w:p>
            <w:pPr>
              <w:spacing w:after="0"/>
              <w:rPr>
                <w:sz w:val="20"/>
                <w:szCs w:val="20"/>
                <w:color w:val="auto"/>
              </w:rPr>
            </w:pPr>
            <w:r>
              <w:rPr>
                <w:rFonts w:ascii="Arial" w:cs="Arial" w:eastAsia="Arial" w:hAnsi="Arial"/>
                <w:sz w:val="18"/>
                <w:szCs w:val="18"/>
                <w:color w:val="auto"/>
              </w:rPr>
              <w:t>Description of Securities*</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13"/>
          </w:tcPr>
          <w:p>
            <w:pPr>
              <w:spacing w:after="0"/>
              <w:rPr>
                <w:sz w:val="20"/>
                <w:szCs w:val="20"/>
                <w:color w:val="auto"/>
              </w:rPr>
            </w:pPr>
            <w:r>
              <w:rPr>
                <w:rFonts w:ascii="Arial" w:cs="Arial" w:eastAsia="Arial" w:hAnsi="Arial"/>
                <w:sz w:val="18"/>
                <w:szCs w:val="18"/>
                <w:color w:val="auto"/>
                <w:w w:val="91"/>
              </w:rPr>
              <w:t>National Health Laboratories Incorporated Pension Equalization Plan (incorporated herein by reference to the Company’s Annual Report on</w:t>
            </w:r>
          </w:p>
        </w:tc>
      </w:tr>
      <w:tr>
        <w:trPr>
          <w:trHeight w:val="230"/>
        </w:trPr>
        <w:tc>
          <w:tcPr>
            <w:tcW w:w="1140" w:type="dxa"/>
            <w:vAlign w:val="bottom"/>
          </w:tcPr>
          <w:p>
            <w:pPr>
              <w:spacing w:after="0"/>
              <w:rPr>
                <w:sz w:val="20"/>
                <w:szCs w:val="20"/>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Form 10-K for the fiscal year ended December 31, 1992).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0180" w:type="dxa"/>
            <w:vAlign w:val="bottom"/>
            <w:tcBorders>
              <w:bottom w:val="single" w:sz="8" w:color="0000FF"/>
            </w:tcBorders>
            <w:gridSpan w:val="13"/>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Laboratory Corporation of America Holdings amended and restated new Pension Equalization Plan (incorporated herein by reference to</w:t>
              </w:r>
            </w:hyperlink>
          </w:p>
        </w:tc>
      </w:tr>
      <w:tr>
        <w:trPr>
          <w:trHeight w:val="196"/>
        </w:trPr>
        <w:tc>
          <w:tcPr>
            <w:tcW w:w="1140" w:type="dxa"/>
            <w:vAlign w:val="bottom"/>
          </w:tcPr>
          <w:p>
            <w:pPr>
              <w:spacing w:after="0"/>
              <w:rPr>
                <w:sz w:val="17"/>
                <w:szCs w:val="17"/>
                <w:color w:val="auto"/>
              </w:rPr>
            </w:pPr>
          </w:p>
        </w:tc>
        <w:tc>
          <w:tcPr>
            <w:tcW w:w="10180" w:type="dxa"/>
            <w:vAlign w:val="bottom"/>
            <w:gridSpan w:val="13"/>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Exhibit 10.1 to the Company’s Quarterly Report on Form 10-Q for the period ended September 30, 2004).</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60"/>
          </w:cols>
          <w:pgMar w:left="240" w:top="125" w:right="29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79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First Amendment to the Laboratory Corporation of America Holdings amended and restated new Pension Equalization Plan (incorporated</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herein by reference to Exhibit 10.2 to the Company’s Quarterly Report on Form 10-Q for the period ended September 30, 2004).</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Second Amendment to the Laboratory Corporation of America Holdings amended and restated new Pension Equalization Plan. (incorporated</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herein by reference to Exhibit 10.4 to the Company’s Annual Report on Form 10-K for the fiscal year ended December 31, 2004).</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Laboratory Corporation of America Holdings Senior Executive Transition Policy (incorporated herein by reference to Exhibit 10.1 to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Company’s Quarterly Report on Form 10-Q for the period ended June 30, 2004).</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9"/>
              </w:rPr>
            </w:pPr>
            <w:hyperlink r:id="rId40">
              <w:r>
                <w:rPr>
                  <w:rFonts w:ascii="Arial" w:cs="Arial" w:eastAsia="Arial" w:hAnsi="Arial"/>
                  <w:sz w:val="18"/>
                  <w:szCs w:val="18"/>
                  <w:color w:val="0000FF"/>
                  <w:w w:val="99"/>
                </w:rPr>
                <w:t>Laboratory Corporation of America Holdings Deferred Compensation Plan (incorporated herein by reference to Exhibit 10.22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Company’s Annual Report on Form 10-K for the fiscal year ended December 31, 2004).</w:t>
              </w:r>
            </w:hyperlink>
          </w:p>
        </w:tc>
        <w:tc>
          <w:tcPr>
            <w:tcW w:w="3820" w:type="dxa"/>
            <w:vAlign w:val="bottom"/>
            <w:gridSpan w:val="9"/>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First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10.23 to the Company’s Annual Report on Form 10-K for the fiscal year ended December 31, 2004).</w:t>
              </w:r>
            </w:hyperlink>
          </w:p>
        </w:tc>
        <w:tc>
          <w:tcPr>
            <w:tcW w:w="2340" w:type="dxa"/>
            <w:vAlign w:val="bottom"/>
            <w:gridSpan w:val="6"/>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Second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Exhibit 10.8 to the Company’s Quarterly Report on Form 10-Q for the period ended June 30, 2005).</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Third Amendment to the Laboratory Corporation of America Amended and Restated New Pension Equalization Plan (incorporated herein by</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reference Exhibit 10.6 to the Company’s Quarterly Report on Form 10-Q for the period ended June 30, 2005).</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Third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Exhibit 10.28 to the Company’s Annual Report on Form 10-K for the fiscal year ended December 31, 2006).</w:t>
              </w:r>
            </w:hyperlink>
          </w:p>
        </w:tc>
        <w:tc>
          <w:tcPr>
            <w:tcW w:w="2340" w:type="dxa"/>
            <w:vAlign w:val="bottom"/>
            <w:gridSpan w:val="6"/>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Fourth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Exhibit 10.34 to the Company’s Annual Report on Form 10-K for the fiscal year ended December 31, 2007).</w:t>
              </w:r>
            </w:hyperlink>
          </w:p>
        </w:tc>
        <w:tc>
          <w:tcPr>
            <w:tcW w:w="2340" w:type="dxa"/>
            <w:vAlign w:val="bottom"/>
            <w:gridSpan w:val="6"/>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Laboratory Corporation of America Holdings 2008 Stock Incentive Plan (incorporated herein by reference to Annex III to the Company’s</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Definitive Proxy Statement on Schedule 14A filed on March 25, 2008).</w:t>
              </w:r>
            </w:hyperlink>
          </w:p>
        </w:tc>
        <w:tc>
          <w:tcPr>
            <w:tcW w:w="5020" w:type="dxa"/>
            <w:vAlign w:val="bottom"/>
            <w:gridSpan w:val="12"/>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Amendment to Laboratory Corporation of America Holdings 2008 Stock Incentive Plan (incorporated herein by reference to Exhibit 10.2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the Company’s Current Report on Form 8-K filed on May 7, 2008).</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Laboratory Corporation of America Holdings Amended and Restated Master Senior Executive Severance Plan (incorporated herein by</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reference to Exhibit 10.1 to the Company’s Quarterly Report on Form 10-Q for the period ended March 31, 2009).</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Laboratory Corporation of America Holdings Master Senior Executive Change in Control Severance Plan (incorporated herein by reference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to Exhibit 10.2 to the Company’s Quarterly Report on Form 10-Q for the period ended March 31, 2009).</w:t>
              </w:r>
            </w:hyperlink>
          </w:p>
        </w:tc>
        <w:tc>
          <w:tcPr>
            <w:tcW w:w="2640" w:type="dxa"/>
            <w:vAlign w:val="bottom"/>
            <w:gridSpan w:val="7"/>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First Amendment to the Laboratory Corporation of America Holdings Master Senior Executive Change in Control Severance Plan</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(incorporated herein by reference to Exhibit 10.1 to the Company’s Quarterly Report on Form 10-Q for the period ended March 31, 2010).</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Second Amendment to the Laboratory Corporation of America Holdings Master Senior Executive Change in Control Severance Plan</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(incorporated herein by reference to Exhibit 10.2 to the Company’s Quarterly Report on Form 10-Q for the period ended March 31, 2010).</w:t>
              </w:r>
            </w:hyperlink>
          </w:p>
        </w:tc>
      </w:tr>
      <w:tr>
        <w:trPr>
          <w:trHeight w:val="20"/>
        </w:trPr>
        <w:tc>
          <w:tcPr>
            <w:tcW w:w="11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8"/>
              </w:rPr>
            </w:pPr>
            <w:hyperlink r:id="rId52">
              <w:r>
                <w:rPr>
                  <w:rFonts w:ascii="Arial" w:cs="Arial" w:eastAsia="Arial" w:hAnsi="Arial"/>
                  <w:sz w:val="18"/>
                  <w:szCs w:val="18"/>
                  <w:color w:val="0000FF"/>
                  <w:w w:val="98"/>
                </w:rPr>
                <w:t>Laboratory Corporation of America Holdings 2012 Omnibus Incentive Plan (incorporated herein by reference to Exhibit 10.1 to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Company’s Current Report on Form 8-K filed on May, 2, 2012).</w:t>
              </w:r>
            </w:hyperlink>
          </w:p>
        </w:tc>
        <w:tc>
          <w:tcPr>
            <w:tcW w:w="5540" w:type="dxa"/>
            <w:vAlign w:val="bottom"/>
            <w:gridSpan w:val="16"/>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Second Amended and Restated Credit Agreement, dated as of September 15, 2017, (originally dated as of December 21, 2011), among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Company, Bank of America, N.A. as Administrative Agent, Swing Line Lender and L/C Issuer, Wells Fargo Bank, National Association as</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Syndication Agent and L/C Issuer, Credit Suisse AG, Caymen Islands Branch as Documentation Agent and L/C Issuer, the Bank of Tokyo-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Mitsubishi UFJ, LTD., Barclays Bank PLC, Credit Suisse AG, Cayman Islands Branch, KeyBank National Association, PNC Bank, National</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Association, TD Bank, N.A., and U.S. Bank National Association, as Documentation Agents, Merrill Lynch, Pierce, Fenner &amp; Smith</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Incorporated, Wells Fargo Securities, LLC and Credit Suisse Securities (USA) LL as Joint Lead Arrangers and Joint Book Managers, and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lenders named therein (incorporated herein by reference to Exhibit 10.3 to the Company’s Annual Report on Form 10-Q filed on November</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53">
              <w:r>
                <w:rPr>
                  <w:rFonts w:ascii="Arial" w:cs="Arial" w:eastAsia="Arial" w:hAnsi="Arial"/>
                  <w:sz w:val="18"/>
                  <w:szCs w:val="18"/>
                  <w:color w:val="0000FF"/>
                  <w:w w:val="87"/>
                </w:rPr>
                <w:t>2, 2017).</w:t>
              </w:r>
            </w:hyperlink>
          </w:p>
        </w:tc>
        <w:tc>
          <w:tcPr>
            <w:tcW w:w="4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8"/>
              </w:rPr>
            </w:pPr>
            <w:hyperlink r:id="rId54">
              <w:r>
                <w:rPr>
                  <w:rFonts w:ascii="Arial" w:cs="Arial" w:eastAsia="Arial" w:hAnsi="Arial"/>
                  <w:sz w:val="18"/>
                  <w:szCs w:val="18"/>
                  <w:color w:val="0000FF"/>
                  <w:w w:val="98"/>
                </w:rPr>
                <w:t>Laboratory Corporation of America Holdings 2016 Omnibus Incentive Plan (incorporated by reference herein to Exhibit 10.1 to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Company’s Current Report on Form 8-K filed on May 16, 2016).</w:t>
              </w:r>
            </w:hyperlink>
          </w:p>
        </w:tc>
        <w:tc>
          <w:tcPr>
            <w:tcW w:w="5460" w:type="dxa"/>
            <w:vAlign w:val="bottom"/>
            <w:gridSpan w:val="14"/>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Laboratory Corporation of America Holdings 2016 Employee Stock Purchase Plan (incorporated by reference herein to Exhibit 10.2 to the</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Company’s Current Report on Form 8-K filed on May 16, 2016).</w:t>
              </w:r>
            </w:hyperlink>
          </w:p>
        </w:tc>
        <w:tc>
          <w:tcPr>
            <w:tcW w:w="5480" w:type="dxa"/>
            <w:vAlign w:val="bottom"/>
            <w:gridSpan w:val="15"/>
          </w:tcPr>
          <w:p>
            <w:pPr>
              <w:spacing w:after="0"/>
              <w:rPr>
                <w:sz w:val="17"/>
                <w:szCs w:val="17"/>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Retirement Agreement, dated February 8, 2019, by and between the Company and F. Samuel Eberts III (incorporated by reference herein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Exhibit 10.1 to the Company’s Quarterly report on Form 10-Q filed on May 3, 2019).</w:t>
              </w:r>
            </w:hyperlink>
          </w:p>
        </w:tc>
      </w:tr>
      <w:tr>
        <w:trPr>
          <w:trHeight w:val="480"/>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tcBorders>
              <w:top w:val="single" w:sz="8" w:color="0000FF"/>
            </w:tcBorders>
            <w:gridSpan w:val="2"/>
          </w:tcPr>
          <w:p>
            <w:pPr>
              <w:ind w:left="4440"/>
              <w:spacing w:after="0"/>
              <w:rPr>
                <w:sz w:val="20"/>
                <w:szCs w:val="20"/>
                <w:color w:val="auto"/>
              </w:rPr>
            </w:pPr>
            <w:r>
              <w:rPr>
                <w:rFonts w:ascii="Arial" w:cs="Arial" w:eastAsia="Arial" w:hAnsi="Arial"/>
                <w:sz w:val="18"/>
                <w:szCs w:val="18"/>
                <w:color w:val="auto"/>
                <w:w w:val="89"/>
              </w:rPr>
              <w:t>70</w:t>
            </w: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180" w:type="dxa"/>
            <w:vAlign w:val="bottom"/>
            <w:tcBorders>
              <w:bottom w:val="single" w:sz="8" w:color="0000FF"/>
            </w:tcBorders>
            <w:gridSpan w:val="19"/>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Term Loan Credit Agreement, dated June 3, 2019, by and among Laboratory Corporation of America Holdings, Bank of America, N.A., as</w:t>
              </w:r>
            </w:hyperlink>
          </w:p>
        </w:tc>
        <w:tc>
          <w:tcPr>
            <w:tcW w:w="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administrative agent, and the lenders party thereto (incorporated by reference to Exhibit 10.1 to the Company’s Current Report on Form 8-K</w:t>
              </w:r>
            </w:hyperlink>
          </w:p>
        </w:tc>
        <w:tc>
          <w:tcPr>
            <w:tcW w:w="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filed on June 3, 2019).</w:t>
              </w:r>
            </w:hyperlink>
          </w:p>
        </w:tc>
      </w:tr>
      <w:tr>
        <w:trPr>
          <w:trHeight w:val="20"/>
        </w:trPr>
        <w:tc>
          <w:tcPr>
            <w:tcW w:w="11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200" w:type="dxa"/>
            <w:vAlign w:val="bottom"/>
            <w:tcBorders>
              <w:bottom w:val="single" w:sz="8" w:color="0000FF"/>
            </w:tcBorders>
            <w:gridSpan w:val="20"/>
          </w:tcPr>
          <w:p>
            <w:pPr>
              <w:spacing w:after="0"/>
              <w:rPr>
                <w:rFonts w:ascii="Arial" w:cs="Arial" w:eastAsia="Arial" w:hAnsi="Arial"/>
                <w:sz w:val="18"/>
                <w:szCs w:val="18"/>
                <w:color w:val="0000FF"/>
                <w:w w:val="97"/>
              </w:rPr>
            </w:pPr>
            <w:hyperlink r:id="rId58">
              <w:r>
                <w:rPr>
                  <w:rFonts w:ascii="Arial" w:cs="Arial" w:eastAsia="Arial" w:hAnsi="Arial"/>
                  <w:sz w:val="18"/>
                  <w:szCs w:val="18"/>
                  <w:color w:val="0000FF"/>
                  <w:w w:val="97"/>
                </w:rPr>
                <w:t>Executive Employment Agreement, dated June 4, 2019, by and between Laboratory Corporation of America Holdings and Adam H.</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0" w:type="dxa"/>
            <w:vAlign w:val="bottom"/>
            <w:gridSpan w:val="20"/>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Schechter (incorporated by reference to Exhibit 10.1 to the Company’s Current Report on Form 8-K filed on June 5, 2019).</w:t>
              </w:r>
            </w:hyperlink>
          </w:p>
        </w:tc>
      </w:tr>
      <w:tr>
        <w:trPr>
          <w:trHeight w:val="20"/>
        </w:trPr>
        <w:tc>
          <w:tcPr>
            <w:tcW w:w="11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10200" w:type="dxa"/>
            <w:vAlign w:val="bottom"/>
            <w:gridSpan w:val="20"/>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Transition Agreement dated August 6, 2019 between the Company and David P. King (incorporated by reference herein to Exhibit 10.1 to</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the Company’s Quarterly Report on Form 10-Q filed on August 8, 2019).</w:t>
              </w:r>
            </w:hyperlink>
          </w:p>
        </w:tc>
        <w:tc>
          <w:tcPr>
            <w:tcW w:w="20" w:type="dxa"/>
            <w:vAlign w:val="bottom"/>
          </w:tcPr>
          <w:p>
            <w:pPr>
              <w:spacing w:after="0"/>
              <w:rPr>
                <w:sz w:val="17"/>
                <w:szCs w:val="17"/>
                <w:color w:val="auto"/>
              </w:rPr>
            </w:pPr>
          </w:p>
        </w:tc>
      </w:tr>
      <w:tr>
        <w:trPr>
          <w:trHeight w:val="385"/>
        </w:trPr>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51">
              <w:r>
                <w:rPr>
                  <w:rFonts w:ascii="Arial" w:cs="Arial" w:eastAsia="Arial" w:hAnsi="Arial"/>
                  <w:sz w:val="18"/>
                  <w:szCs w:val="18"/>
                  <w:color w:val="0000FF"/>
                  <w:w w:val="91"/>
                </w:rPr>
                <w:t>List of Subsidiaries of the Company</w:t>
              </w:r>
            </w:hyperlink>
          </w:p>
        </w:tc>
        <w:tc>
          <w:tcPr>
            <w:tcW w:w="2560" w:type="dxa"/>
            <w:vAlign w:val="bottom"/>
            <w:tcBorders>
              <w:top w:val="single" w:sz="8" w:color="0000FF"/>
            </w:tcBorders>
            <w:gridSpan w:val="9"/>
          </w:tcPr>
          <w:p>
            <w:pPr>
              <w:spacing w:after="0"/>
              <w:rPr>
                <w:sz w:val="24"/>
                <w:szCs w:val="24"/>
                <w:color w:val="auto"/>
              </w:rPr>
            </w:pPr>
          </w:p>
        </w:tc>
        <w:tc>
          <w:tcPr>
            <w:tcW w:w="4920" w:type="dxa"/>
            <w:vAlign w:val="bottom"/>
            <w:gridSpan w:val="6"/>
          </w:tcPr>
          <w:p>
            <w:pPr>
              <w:spacing w:after="0"/>
              <w:rPr>
                <w:sz w:val="24"/>
                <w:szCs w:val="24"/>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65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Consent of PricewaterhouseCoopers LLP, an independent registered public accounting firm</w:t>
              </w:r>
            </w:hyperlink>
          </w:p>
        </w:tc>
        <w:tc>
          <w:tcPr>
            <w:tcW w:w="3500" w:type="dxa"/>
            <w:vAlign w:val="bottom"/>
            <w:gridSpan w:val="3"/>
          </w:tcPr>
          <w:p>
            <w:pPr>
              <w:spacing w:after="0"/>
              <w:rPr>
                <w:sz w:val="21"/>
                <w:szCs w:val="2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96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158">
              <w:r>
                <w:rPr>
                  <w:rFonts w:ascii="Arial" w:cs="Arial" w:eastAsia="Arial" w:hAnsi="Arial"/>
                  <w:sz w:val="18"/>
                  <w:szCs w:val="18"/>
                  <w:color w:val="0000FF"/>
                  <w:w w:val="93"/>
                </w:rPr>
                <w:t>Power of Attorney of Kerrii B. Anderson</w:t>
              </w:r>
            </w:hyperlink>
          </w:p>
        </w:tc>
        <w:tc>
          <w:tcPr>
            <w:tcW w:w="7120" w:type="dxa"/>
            <w:vAlign w:val="bottom"/>
            <w:gridSpan w:val="11"/>
          </w:tcPr>
          <w:p>
            <w:pPr>
              <w:spacing w:after="0"/>
              <w:rPr>
                <w:sz w:val="21"/>
                <w:szCs w:val="2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Power of Attorney of Jean-Luc Bélingard</w:t>
              </w:r>
            </w:hyperlink>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7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160">
              <w:r>
                <w:rPr>
                  <w:rFonts w:ascii="Arial" w:cs="Arial" w:eastAsia="Arial" w:hAnsi="Arial"/>
                  <w:sz w:val="18"/>
                  <w:szCs w:val="18"/>
                  <w:color w:val="0000FF"/>
                  <w:w w:val="93"/>
                </w:rPr>
                <w:t>Power of Attorney of Jeffrey A. Davis</w:t>
              </w:r>
            </w:hyperlink>
          </w:p>
        </w:tc>
        <w:tc>
          <w:tcPr>
            <w:tcW w:w="220" w:type="dxa"/>
            <w:vAlign w:val="bottom"/>
            <w:tcBorders>
              <w:top w:val="single" w:sz="8" w:color="0000FF"/>
            </w:tcBorders>
            <w:gridSpan w:val="4"/>
          </w:tcPr>
          <w:p>
            <w:pPr>
              <w:spacing w:after="0"/>
              <w:rPr>
                <w:sz w:val="21"/>
                <w:szCs w:val="21"/>
                <w:color w:val="auto"/>
              </w:rPr>
            </w:pPr>
          </w:p>
        </w:tc>
        <w:tc>
          <w:tcPr>
            <w:tcW w:w="7100" w:type="dxa"/>
            <w:vAlign w:val="bottom"/>
            <w:gridSpan w:val="10"/>
          </w:tcPr>
          <w:p>
            <w:pPr>
              <w:spacing w:after="0"/>
              <w:rPr>
                <w:sz w:val="21"/>
                <w:szCs w:val="2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Power of Attorney of D. Gary Gilliland, M.D., Ph.D.</w:t>
              </w:r>
            </w:hyperlink>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800" w:type="dxa"/>
            <w:vAlign w:val="bottom"/>
            <w:tcBorders>
              <w:top w:val="single" w:sz="8" w:color="0000FF"/>
            </w:tcBorders>
            <w:gridSpan w:val="12"/>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Power of Attorney of David P. King</w:t>
              </w:r>
            </w:hyperlink>
          </w:p>
        </w:tc>
        <w:tc>
          <w:tcPr>
            <w:tcW w:w="6280" w:type="dxa"/>
            <w:vAlign w:val="bottom"/>
            <w:gridSpan w:val="7"/>
          </w:tcPr>
          <w:p>
            <w:pPr>
              <w:spacing w:after="0"/>
              <w:rPr>
                <w:sz w:val="21"/>
                <w:szCs w:val="21"/>
                <w:color w:val="auto"/>
              </w:rPr>
            </w:pPr>
          </w:p>
        </w:tc>
      </w:tr>
      <w:tr>
        <w:trPr>
          <w:trHeight w:val="20"/>
        </w:trPr>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Power of Attorney of Garheng Kong, M.D., Ph.D.</w:t>
              </w:r>
            </w:hyperlink>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64">
              <w:r>
                <w:rPr>
                  <w:rFonts w:ascii="Arial" w:cs="Arial" w:eastAsia="Arial" w:hAnsi="Arial"/>
                  <w:sz w:val="18"/>
                  <w:szCs w:val="18"/>
                  <w:color w:val="0000FF"/>
                  <w:w w:val="91"/>
                </w:rPr>
                <w:t>Power of Attorney of Peter M. Neupert</w:t>
              </w:r>
            </w:hyperlink>
          </w:p>
        </w:tc>
        <w:tc>
          <w:tcPr>
            <w:tcW w:w="780" w:type="dxa"/>
            <w:vAlign w:val="bottom"/>
            <w:tcBorders>
              <w:top w:val="single" w:sz="8" w:color="0000FF"/>
            </w:tcBorders>
            <w:gridSpan w:val="5"/>
          </w:tcPr>
          <w:p>
            <w:pPr>
              <w:spacing w:after="0"/>
              <w:rPr>
                <w:sz w:val="21"/>
                <w:szCs w:val="21"/>
                <w:color w:val="auto"/>
              </w:rPr>
            </w:pPr>
          </w:p>
        </w:tc>
        <w:tc>
          <w:tcPr>
            <w:tcW w:w="6480" w:type="dxa"/>
            <w:vAlign w:val="bottom"/>
            <w:gridSpan w:val="8"/>
          </w:tcPr>
          <w:p>
            <w:pPr>
              <w:spacing w:after="0"/>
              <w:rPr>
                <w:sz w:val="21"/>
                <w:szCs w:val="2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9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65">
              <w:r>
                <w:rPr>
                  <w:rFonts w:ascii="Arial" w:cs="Arial" w:eastAsia="Arial" w:hAnsi="Arial"/>
                  <w:sz w:val="18"/>
                  <w:szCs w:val="18"/>
                  <w:color w:val="0000FF"/>
                  <w:w w:val="90"/>
                </w:rPr>
                <w:t>Power of Attorney of Richelle P. Parham</w:t>
              </w:r>
            </w:hyperlink>
          </w:p>
        </w:tc>
        <w:tc>
          <w:tcPr>
            <w:tcW w:w="7140" w:type="dxa"/>
            <w:vAlign w:val="bottom"/>
            <w:gridSpan w:val="12"/>
          </w:tcPr>
          <w:p>
            <w:pPr>
              <w:spacing w:after="0"/>
              <w:rPr>
                <w:sz w:val="21"/>
                <w:szCs w:val="21"/>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52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66">
              <w:r>
                <w:rPr>
                  <w:rFonts w:ascii="Arial" w:cs="Arial" w:eastAsia="Arial" w:hAnsi="Arial"/>
                  <w:sz w:val="18"/>
                  <w:szCs w:val="18"/>
                  <w:color w:val="0000FF"/>
                  <w:w w:val="92"/>
                </w:rPr>
                <w:t>Power of Attorney of R. Sanders Williams, M.D.</w:t>
              </w:r>
            </w:hyperlink>
          </w:p>
        </w:tc>
        <w:tc>
          <w:tcPr>
            <w:tcW w:w="6560" w:type="dxa"/>
            <w:vAlign w:val="bottom"/>
            <w:gridSpan w:val="9"/>
          </w:tcPr>
          <w:p>
            <w:pPr>
              <w:spacing w:after="0"/>
              <w:rPr>
                <w:sz w:val="21"/>
                <w:szCs w:val="21"/>
                <w:color w:val="auto"/>
              </w:rPr>
            </w:pPr>
          </w:p>
        </w:tc>
      </w:tr>
      <w:tr>
        <w:trPr>
          <w:trHeight w:val="53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4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67">
              <w:r>
                <w:rPr>
                  <w:rFonts w:ascii="Arial" w:cs="Arial" w:eastAsia="Arial" w:hAnsi="Arial"/>
                  <w:sz w:val="18"/>
                  <w:szCs w:val="18"/>
                  <w:color w:val="0000FF"/>
                  <w:w w:val="91"/>
                </w:rPr>
                <w:t>Certification by the Chief Executive Officer pursuant to Rule 13a-14(a) or Rule 15d-14(a)</w:t>
              </w:r>
            </w:hyperlink>
          </w:p>
        </w:tc>
        <w:tc>
          <w:tcPr>
            <w:tcW w:w="3600" w:type="dxa"/>
            <w:vAlign w:val="bottom"/>
            <w:gridSpan w:val="4"/>
          </w:tcPr>
          <w:p>
            <w:pPr>
              <w:spacing w:after="0"/>
              <w:rPr>
                <w:sz w:val="24"/>
                <w:szCs w:val="24"/>
                <w:color w:val="auto"/>
              </w:rPr>
            </w:pPr>
          </w:p>
        </w:tc>
      </w:tr>
      <w:tr>
        <w:trPr>
          <w:trHeight w:val="25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0080" w:type="dxa"/>
            <w:vAlign w:val="bottom"/>
            <w:gridSpan w:val="19"/>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Certification by the Chief Financial Officer pursuant to Rule 13a-14(a) or Rule 15d-14(a)</w:t>
              </w:r>
            </w:hyperlink>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900" w:type="dxa"/>
            <w:vAlign w:val="bottom"/>
            <w:gridSpan w:val="12"/>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tcBorders>
              <w:bottom w:val="single" w:sz="8" w:color="0000FF"/>
            </w:tcBorders>
            <w:gridSpan w:val="19"/>
          </w:tcPr>
          <w:p>
            <w:pPr>
              <w:spacing w:after="0"/>
              <w:rPr>
                <w:rFonts w:ascii="Arial" w:cs="Arial" w:eastAsia="Arial" w:hAnsi="Arial"/>
                <w:sz w:val="18"/>
                <w:szCs w:val="18"/>
                <w:color w:val="0000FF"/>
                <w:w w:val="93"/>
              </w:rPr>
            </w:pPr>
            <w:hyperlink w:anchor="page169">
              <w:r>
                <w:rPr>
                  <w:rFonts w:ascii="Arial" w:cs="Arial" w:eastAsia="Arial" w:hAnsi="Arial"/>
                  <w:sz w:val="18"/>
                  <w:szCs w:val="18"/>
                  <w:color w:val="0000FF"/>
                  <w:w w:val="93"/>
                </w:rPr>
                <w:t>Written Statement of Chief Executive Officer and Chief Financial Officer pursuant to Section 906 of the Sarbanes-Oxley Act of 2002 (18</w:t>
              </w:r>
            </w:hyperlink>
          </w:p>
        </w:tc>
      </w:tr>
      <w:tr>
        <w:trPr>
          <w:trHeight w:val="196"/>
        </w:trPr>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19"/>
          </w:tcPr>
          <w:p>
            <w:pPr>
              <w:spacing w:after="0" w:line="196" w:lineRule="exact"/>
              <w:rPr>
                <w:rFonts w:ascii="Arial" w:cs="Arial" w:eastAsia="Arial" w:hAnsi="Arial"/>
                <w:sz w:val="18"/>
                <w:szCs w:val="18"/>
                <w:color w:val="0000FF"/>
              </w:rPr>
            </w:pPr>
            <w:hyperlink w:anchor="page169">
              <w:r>
                <w:rPr>
                  <w:rFonts w:ascii="Arial" w:cs="Arial" w:eastAsia="Arial" w:hAnsi="Arial"/>
                  <w:sz w:val="18"/>
                  <w:szCs w:val="18"/>
                  <w:color w:val="0000FF"/>
                </w:rPr>
                <w:t>U.S.C. Section 1350)</w:t>
              </w:r>
            </w:hyperlink>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560" w:type="dxa"/>
            <w:vAlign w:val="bottom"/>
            <w:gridSpan w:val="17"/>
          </w:tcPr>
          <w:p>
            <w:pPr>
              <w:spacing w:after="0" w:line="20" w:lineRule="exact"/>
              <w:rPr>
                <w:sz w:val="1"/>
                <w:szCs w:val="1"/>
                <w:color w:val="auto"/>
              </w:rPr>
            </w:pPr>
          </w:p>
        </w:tc>
      </w:tr>
      <w:tr>
        <w:trPr>
          <w:trHeight w:val="276"/>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0"/>
                <w:szCs w:val="20"/>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23" w:lineRule="exact"/>
        <w:rPr>
          <w:sz w:val="20"/>
          <w:szCs w:val="20"/>
          <w:color w:val="auto"/>
        </w:rPr>
      </w:pPr>
    </w:p>
    <w:p>
      <w:pPr>
        <w:ind w:left="1300" w:hanging="126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300" w:hanging="126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71</w:t>
      </w:r>
    </w:p>
    <w:p>
      <w:pPr>
        <w:sectPr>
          <w:pgSz w:w="11900" w:h="16838" w:orient="portrait"/>
          <w:cols w:equalWidth="0" w:num="1">
            <w:col w:w="11380"/>
          </w:cols>
          <w:pgMar w:left="240" w:top="108"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Adam H. Schechter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28, 2020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February 28, 2020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460" w:type="dxa"/>
            <w:vAlign w:val="bottom"/>
          </w:tcPr>
          <w:p>
            <w:pPr>
              <w:spacing w:after="0"/>
              <w:rPr>
                <w:sz w:val="17"/>
                <w:szCs w:val="17"/>
                <w:color w:val="auto"/>
              </w:rPr>
            </w:pPr>
          </w:p>
        </w:tc>
        <w:tc>
          <w:tcPr>
            <w:tcW w:w="4000" w:type="dxa"/>
            <w:vAlign w:val="bottom"/>
            <w:gridSpan w:val="3"/>
          </w:tcPr>
          <w:p>
            <w:pPr>
              <w:ind w:left="2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Arial" w:cs="Arial" w:eastAsia="Arial" w:hAnsi="Arial"/>
                <w:sz w:val="18"/>
                <w:szCs w:val="18"/>
                <w:color w:val="auto"/>
              </w:rPr>
              <w:t>/s/ ADAM H. SCHECHTER</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00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Adam H. Schechter</w:t>
            </w:r>
          </w:p>
        </w:tc>
        <w:tc>
          <w:tcPr>
            <w:tcW w:w="40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GLENN A. EISENBERG</w:t>
            </w: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w w:val="96"/>
              </w:rPr>
              <w:t>Executive Vice President, Chief Financial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00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Glenn A. Eisenberg</w:t>
            </w:r>
          </w:p>
        </w:tc>
        <w:tc>
          <w:tcPr>
            <w:tcW w:w="40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PETER J. WILKINSON</w:t>
            </w: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w w:val="91"/>
              </w:rPr>
              <w:t>Senior Vice President and Chief Accounting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J. Wilkinson</w:t>
            </w: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Jeffrey A. Davis</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Gary Gilliland,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Executive Chairman of the Board, 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David P. King</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8"/>
        <w:spacing w:after="0" w:line="308" w:lineRule="auto"/>
        <w:tabs>
          <w:tab w:leader="none" w:pos="1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Sandra van der Vaart, by her signing her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Sandra van der Vaart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02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50"/>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7"/>
          </w:tcPr>
          <w:p>
            <w:pPr>
              <w:jc w:val="center"/>
              <w:ind w:right="11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4"/>
          </w:tcPr>
          <w:p>
            <w:pPr>
              <w:jc w:val="center"/>
              <w:ind w:right="193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F-6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Operations</w:t>
              </w:r>
            </w:hyperlink>
          </w:p>
        </w:tc>
        <w:tc>
          <w:tcPr>
            <w:tcW w:w="71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F-7</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F-8</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F-9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w:t>
              </w:r>
            </w:hyperlink>
          </w:p>
        </w:tc>
        <w:tc>
          <w:tcPr>
            <w:tcW w:w="5640" w:type="dxa"/>
            <w:vAlign w:val="bottom"/>
          </w:tcPr>
          <w:p>
            <w:pPr>
              <w:spacing w:after="0"/>
              <w:rPr>
                <w:sz w:val="24"/>
                <w:szCs w:val="24"/>
                <w:color w:val="auto"/>
              </w:rPr>
            </w:pPr>
          </w:p>
        </w:tc>
        <w:tc>
          <w:tcPr>
            <w:tcW w:w="1140" w:type="dxa"/>
            <w:vAlign w:val="bottom"/>
            <w:gridSpan w:val="5"/>
          </w:tcPr>
          <w:p>
            <w:pPr>
              <w:jc w:val="cente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F-10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F-11</w:t>
              </w:r>
            </w:hyperlink>
          </w:p>
        </w:tc>
      </w:tr>
      <w:tr>
        <w:trPr>
          <w:trHeight w:val="750"/>
        </w:trPr>
        <w:tc>
          <w:tcPr>
            <w:tcW w:w="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Laboratory Corporation of America Holdings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Laboratory Corporation of America Holdings and its subsidiaries (the “Company”) as of December 31, 2019 and 2018, and the related consolidated statements of operations, comprehensive earnings, changes in shareholders'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1480"/>
        <w:spacing w:after="0" w:line="45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the manner in which it accounts for leases in 2019. </w:t>
      </w:r>
      <w:r>
        <w:rPr>
          <w:rFonts w:ascii="Arial" w:cs="Arial" w:eastAsia="Arial" w:hAnsi="Arial"/>
          <w:sz w:val="18"/>
          <w:szCs w:val="18"/>
          <w:b w:val="1"/>
          <w:bCs w:val="1"/>
          <w:i w:val="1"/>
          <w:iCs w:val="1"/>
          <w:color w:val="auto"/>
        </w:rPr>
        <w:t>Basis for Opinions</w:t>
      </w: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described in the Report of Management on Internal Control over Financial Reporting, management has excluded Envigo's nonclincial contract research services business (Envigo) from its assessment of internal control over financial reporting as of December 31, 2019, because it was acquired by the Company in a purchase business combination during 2019. We have also excluded Envigo from our audit of internal control over financial reporting. Envigo is a wholly-owned subsidiary whose total assets and total revenues excluded from management’s assessment and our audit of internal control over financial reporting represent 1.3% and 1.1%, respectively, of the related consolidated financial statement amounts as of and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LabCorp Diagnostics Segment (LCD) Net Accounts Receivable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2 and 7 to the consolidated financial statements, the LCD business’s revenues are distributed among four payer portfolios - clients, patients, Medicare and Medicaid, and third-party. LCD accounts receivable due from these payer portfolios was $798.1 million as of December 31, 2019. The Company has a formal process to estimate implicit price concessions for uncollectable accounts. The Company considers negotiated discounts and anticipated adjustments, including historical collection experience for each of the payer portfolios, when revenues and accounts receivable are recorded. Anticipated write-offs are recorded as an adjustment to revenue and at an amount considered necessary to record the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LCD net accounts receivable is a critical audit matter are there was significant judgment and estimation by management to determine net accounts receivable related to the LCD segment. This in turn led to a high degree of auditor judgment, subjectivity and effort to evaluate the audit evidence obtained related to the valuation of net LCD accounts receivable. Addressing the matter involved performing procedures and evaluating audit evidence in connection with forming our overall opinion on the consolidated financial statements. These procedures included testing the effectiveness of controls relating to the valuation of LCD net accounts receivable, including controls over management’s valuation analysis, data, and assumptions used to estimate amounts due from payers. These procedures also included, among others, testing management's process for developing the estimate of net accounts receivable, and the relevance of historical billing and collection data as an input to the analysis; testing the accuracy of a sample of revenue transactions and a sample of cash collections from the historical billing data and the historical collection which is used in management’s analysis; and performing a retrospective comparison of actual cash collected to the prior year estimate of net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Estimating Costs to Complete for Clinical Research Services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21 to the consolidated financial statements, Covance Drug Development (CDD) revenue was $4,578.1 million for the year ended December 31, 2019. Clinical services utilizing the cost-based measure of progress account for 50% of CDD revenue. The majority of clinical development and commercialization service long-term contracts within the Covance Drug Development segment (CDD) are service contracts for clinical research that represent a single performance obligation (e.g., management of a clinical study). Revenue for these service contracts is recognized over time based on the progress of the performance obligation which was measured by the proportion of the actual costs incurred to the total costs expected to complete the contract (including labor and pass-through costs such as investigator grants and reimbursable out-of-pocket expenses). This cost-based method of revenue recognition required management to estimate the costs to complete these service contracts on an ongoing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estimating costs to complete for clinical research services is a critical audit matter are there was significant judgment and estimation by management when developing the costs to complete, including the labor and third party costs to complete the service contracts. This led to a high degree of auditor judgment, subjectivity and effort in evaluating evidence related to the cost estimates made by management.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costs to complete. These procedures also included, among others, testing, for a sample of contracts, actual costs incurred and evaluating the reasonableness of management’s estimation of costs to complete projects, including labor and third party costs to complete service contracts, based upon current scope, as well as evaluating whether the assumptions used were reasonable by performing a retrospective comparison of current year project costs to historical cost estimates made by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Nonclinical Contract Research Services Business of Envigo</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3 to the consolidated financial statements, the Company acquired the nonclinical contract research services business of Envigo for consideration of $601.0 million in 2019, which resulted in $141.4 million of identifiable intangible assets. As disclosed, management applied significant judgment in estimating the fair value of identifiable intangible assets, which involved the use of significant estimates and assumptions with respect to the customer attrition rates and the discount rate.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acquisition of the nonclinical contract research services business of Envigo is a critical audit matter are there was significant judgment and estimation by management to determine the identifiable intangible assets. This in turn led to a high degree of auditor judgment, subjectivity and effort to evaluate the significant assumptions relating to the estimate, such as the customer attrition rates and the discount rate and to evaluate the audit evidence obtained related to the valuation of identifiable intangible assets acquired. In addition, the audit effort involved the use of professionals with specialized skill and knowledge to assist in performing these procedures and evaluating the evidence obtained from these procedures.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identifiable intangible assets and controls over development of the assumptions related to the valuation of the identifiable intangible assets, including customer attrition rates and the discount rate. These procedures also included, among others, reading the purchase agreement, testing management’s process for estimating the fair value of identifiable intangible assets, and testing management’s significant assumptions used to estimate the fair value of the identifiable intangible assets. Testing management’s process included evaluating the appropriateness of the valuation methods and the reasonableness of significant assumptions including customer attrition rates, and the discount rate for identifiable intangible assets. Evaluating the reasonableness of customer attrition rates involved considering past performance of the acquired business as well as economics and industry forecasts. The discount rate was evaluated by considering the costs of capital of comparable businesses and other industry factors. Professionals with specialized skill and knowledge were used to assist in testing the discount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Reporting Unit within the Covance Drug Development Segment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Notes 1 and 9 to the consolidated financial statements, the Company’s consolidated goodwill balance was $7.9 billion as of December 31, 2019, and the goodwill associated with one of its reporting units within the Company’s Covance Drug Development (CDD) segment was $2.2 billion. The Company assesses goodwill for impairment at least annually or whenever events or changes in circumstances indicate that the carrying amount of such assets may not be recoverable. Potential impairment is identified by comparing the fair value of a reporting unit to its carrying value, including goodwill. Fair value of a reporting unit is estimated using both income-based and market-based valuation methods. In particular, management’s impairment analysis for this reporting unit utilized significant judgments and assumptions related to the market comparable method analysis, such as selected market multiples and related to cash flow projections, such as revenue and terminal growth rates, projected operating margin, and the discount rate.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reporting unit within the CDD segment is a critical audit matter are there was significant judgment by management when developing the fair value estimate of the reporting unit. This in turn led to a high degree of auditor judgment, subjectivity, and audit effort in performing procedures to evaluate management’s market comparable method analysis and cash flow projections, including significant assumptions for the selected market multiples, revenue and terminal growth rates, projected operating margin,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 discount rate. Also, the audit effort involved the use of professionals with specialized skill and knowledge to assist in performing these procedures and evaluating the audit evidence obtained from these procedures.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significant assumptions used in the valuation of the reporting unit. These procedures also included, among others, testing management's process for estimating the fair value of the reporting unit which involved evaluating the appropriateness of the valuation methods and the reasonableness of significant assumptions used in the market comparable method analysis and cash flow projections, including the revenue and terminal growth rates, projected operating margin, discount rate and selected market multiples. Evaluating the reasonableness of the revenue and terminal growth rates and projected operating margin involved considering the past performance of the reporting unit and considering whether these assumptions were consistent with evidence obtained in other areas of the audit. Professionals with specialized skill and knowledge were used to assist in the evaluation of the appropriateness of the Company’s valuation methods and the reasonableness of the significant assumptions, including (i) the terminal growth rates impacting the reporting unit’s future cash flows, (ii) the selected market multiple applied to the reporting unit’s financial information and (iii) the discount 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1,467.9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2,835.4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7,865.0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7,360.3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18,046.4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16,185.3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Short-term finance lease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9,194.8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Common stock, 97.2 and 98.9 shares outstanding at December 31, 2019 and 2018, respectively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7,903.6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7,079.8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71"/>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7,567.0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6,971.4</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18,046.4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16,185.3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50"/>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11,554.8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10,308.0</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8,157.0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7,216.2</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1,570.9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1,499.2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1,077.5</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1,227.1</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0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50"/>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265.1</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7"/>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Other comprehensive earnings (loss) before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286.0</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 related to items of comprehensive earnings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248.2</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1,481.1</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Laboratory Corporation of America Holdings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1,475.3</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08"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Shareholders’</w:t>
            </w:r>
          </w:p>
        </w:tc>
      </w:tr>
      <w:tr>
        <w:trPr>
          <w:trHeight w:val="201"/>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Stock</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Earnings (Loss)</w:t>
            </w:r>
          </w:p>
        </w:tc>
        <w:tc>
          <w:tcPr>
            <w:tcW w:w="12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rPr>
              <w:t>Equity</w:t>
            </w: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5,518.2</w:t>
            </w:r>
          </w:p>
        </w:tc>
      </w:tr>
      <w:tr>
        <w:trPr>
          <w:trHeight w:val="157"/>
        </w:trPr>
        <w:tc>
          <w:tcPr>
            <w:tcW w:w="4460" w:type="dxa"/>
            <w:vAlign w:val="bottom"/>
          </w:tcPr>
          <w:p>
            <w:pPr>
              <w:ind w:left="34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1,227.1</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(338.1)</w:t>
            </w: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6,804.1</w:t>
            </w:r>
          </w:p>
        </w:tc>
      </w:tr>
      <w:tr>
        <w:trPr>
          <w:trHeight w:val="157"/>
        </w:trPr>
        <w:tc>
          <w:tcPr>
            <w:tcW w:w="4460" w:type="dxa"/>
            <w:vAlign w:val="bottom"/>
          </w:tcPr>
          <w:p>
            <w:pPr>
              <w:ind w:left="34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883.7</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loss,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w:t>
            </w: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7,079.8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6,971.4</w:t>
            </w:r>
          </w:p>
        </w:tc>
      </w:tr>
      <w:tr>
        <w:trPr>
          <w:trHeight w:val="157"/>
        </w:trPr>
        <w:tc>
          <w:tcPr>
            <w:tcW w:w="4460" w:type="dxa"/>
            <w:vAlign w:val="bottom"/>
          </w:tcPr>
          <w:p>
            <w:pPr>
              <w:ind w:left="34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823.8</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64.7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 of treasury stock</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7,567.0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420" w:type="dxa"/>
            <w:vAlign w:val="bottom"/>
            <w:tcBorders>
              <w:top w:val="single" w:sz="8" w:color="0000EE"/>
            </w:tcBorders>
          </w:tcPr>
          <w:p>
            <w:pPr>
              <w:spacing w:after="0"/>
              <w:rPr>
                <w:sz w:val="24"/>
                <w:szCs w:val="24"/>
                <w:color w:val="auto"/>
              </w:rPr>
            </w:pPr>
          </w:p>
        </w:tc>
        <w:tc>
          <w:tcPr>
            <w:tcW w:w="908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40" w:type="dxa"/>
            <w:vAlign w:val="bottom"/>
          </w:tcPr>
          <w:p>
            <w:pPr>
              <w:jc w:val="center"/>
              <w:ind w:left="2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8040" w:type="dxa"/>
            <w:vAlign w:val="bottom"/>
          </w:tcPr>
          <w:p>
            <w:pPr>
              <w:jc w:val="center"/>
              <w:ind w:left="2470"/>
              <w:spacing w:after="0"/>
              <w:rPr>
                <w:sz w:val="20"/>
                <w:szCs w:val="20"/>
                <w:color w:val="auto"/>
              </w:rPr>
            </w:pPr>
            <w:r>
              <w:rPr>
                <w:rFonts w:ascii="Arial" w:cs="Arial" w:eastAsia="Arial" w:hAnsi="Arial"/>
                <w:sz w:val="18"/>
                <w:szCs w:val="18"/>
                <w:b w:val="1"/>
                <w:bCs w:val="1"/>
                <w:color w:val="auto"/>
                <w:w w:val="95"/>
              </w:rPr>
              <w:t>(In Millions)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7"/>
          </w:tcPr>
          <w:p>
            <w:pPr>
              <w:jc w:val="right"/>
              <w:ind w:right="3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4"/>
        </w:trPr>
        <w:tc>
          <w:tcPr>
            <w:tcW w:w="8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Operating lease right-of-use asset expense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 and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(Increase) decrease in accounts receivable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unbilled services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Increase in inventory</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prepaid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Increase (decrease) in accounts payable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84"/>
        </w:trPr>
        <w:tc>
          <w:tcPr>
            <w:tcW w:w="420" w:type="dxa"/>
            <w:vAlign w:val="bottom"/>
            <w:tcBorders>
              <w:bottom w:val="single" w:sz="8" w:color="CCEEFF"/>
            </w:tcBorders>
          </w:tcPr>
          <w:p>
            <w:pPr>
              <w:spacing w:after="0"/>
              <w:rPr>
                <w:sz w:val="24"/>
                <w:szCs w:val="24"/>
                <w:color w:val="auto"/>
              </w:rPr>
            </w:pPr>
          </w:p>
        </w:tc>
        <w:tc>
          <w:tcPr>
            <w:tcW w:w="8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Increase (decrease) in accrued expenses and other</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sale or distributions of investments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exit of swaps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licensing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8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(1,882.6)</w:t>
            </w:r>
          </w:p>
        </w:tc>
        <w:tc>
          <w:tcPr>
            <w:tcW w:w="0" w:type="dxa"/>
            <w:vAlign w:val="bottom"/>
          </w:tcPr>
          <w:p>
            <w:pPr>
              <w:spacing w:after="0"/>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provided by investing activities</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(2,228.7)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Senior Notes offerings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term loan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(1,392.2)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Payments on Senior Notes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84"/>
        </w:trPr>
        <w:tc>
          <w:tcPr>
            <w:tcW w:w="8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(1,389.9)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71"/>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84"/>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included in assets held for sale</w:t>
            </w:r>
          </w:p>
        </w:tc>
        <w:tc>
          <w:tcPr>
            <w:tcW w:w="1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8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08" w:right="239" w:bottom="586"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440" w:firstLine="8"/>
        <w:spacing w:after="0" w:line="385" w:lineRule="auto"/>
        <w:tabs>
          <w:tab w:leader="none" w:pos="27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Financial Statement Presentation</w:t>
      </w:r>
    </w:p>
    <w:p>
      <w:pPr>
        <w:spacing w:after="0" w:line="2"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7"/>
          <w:szCs w:val="17"/>
          <w:color w:val="auto"/>
        </w:rPr>
        <w:t>Laboratory Corporation of America Holdings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together with its subsidiaries (the Company), is a leading global life sciences company that is deeply integrated in guiding patient care, providing comprehensive clinical laboratory and end-to-end drug development services. The Company’s mission is to improve health and improve lives by delivering world-class diagnostic solutions, bringing innovative medicines to patients faster and using technology to provide better care. The Company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contract research organizations (CROs) and independent clinical laboratories. During 2018, the Company sold its Covance Food Solutions (CFS) business, which provided food testing and integrity services, as well as its domestic and international forensic analysis businesses. During 2019, the Company's CDD segment completed the acquisition of Envigo's nonclinical contract research services business, expanding CDD's global nonclinical drug development capabilities with additional locations and resources. Additionally, the Company divested the Covance Research Products (CRP) business, which was part of the CDD segment, to Envigo. As part of this sale, CDD entered into a multi-year, renewable supply agreement with Envigo.</w:t>
      </w:r>
    </w:p>
    <w:p>
      <w:pPr>
        <w:spacing w:after="0" w:line="22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21 Business Segment Information to the Consolidated Financial Statements. In 2019, LCD and CDD contributed 60% and 40%, respectively, of revenues to the Company, and in 2018 contributed 62% and 38%, respectively.</w:t>
      </w:r>
    </w:p>
    <w:p>
      <w:pPr>
        <w:spacing w:after="0" w:line="21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Guidance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February 2016, the Financial Accounting Standards Board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(ROU) asset and a lease liability for all leases with a term of greater than 12 months regardless of their classification. The Company has elected to utilize the short-term lease exemption and not record leases with initial terms of 12 months or less on the balance sheet. The new standard requires lessors to account for leases using an approach that is substantially equivalent to existing guidance for sales-type leases and direct financing leases.</w:t>
      </w:r>
    </w:p>
    <w:p>
      <w:pPr>
        <w:spacing w:after="0" w:line="8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adopted the standard on January 1, 2019, using the modified retrospective method. Comparative periods were not adjusted and are presented in accordance with lease guidance in effect for that period. The Company elected the package of practical expedients, which includes not reassessing whether existing contracts contain leases under the new definition of a lease, reassessing the classification of existing leases, and reassessing whether previously capitalized initial direct costs qualify for capitalization under the new standard. Leases with an initial term of 12 months or less are not recorded on the Consolidated Balance Sheets. Operating lease expense is recognized on a straight-line basis over the lease term.</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Operating lease assets and liabilities are recognized at the commencement date, based on the present value of the future lease payments over the lease term. 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The Company determined that all renewal options within leases for main laboratories, rapid response (STAT) laboratories, branches or combination sites were reasonably possible to be exercised and therefore are included in the accounting lease term.</w:t>
      </w:r>
    </w:p>
    <w:p>
      <w:pPr>
        <w:spacing w:after="0" w:line="7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standard had a material impact in the consolidated balance sheets, but no material impact in the consolidated income statements. The most significant impact was the recognition of right-of-use (ROU) assets and lease liabilities for operating leases. See Note 5 Leases to the Consolidated Financial Statements.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2017, the FASB issued a new accounting standard intended to reduce the complexity associated with the issuer's accounting for certain financial instruments with characteristics of liabilities and equity. Specifically, a down round feature would no longer cause a free-standing equity-linked financial instrument (or embedded conversion option) to be accounted for as a derivative liability at fair value with changes in fair value recognized in current earnings. The Company adopted this standard effective January 1, 2019. The adoption of this standard did not have a material impact on the consolidated financial statements.</w:t>
      </w:r>
    </w:p>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2018, the FASB issued a new accounting standard update that gives entities the option to reclassify to retained earnings tax effects related to items in accumulated other comprehensive income that the FASB refers to as having been stranded in accumulated other comprehensive income as a result of tax reform. The Company's adoption of this standard effective January 1, 2019, did not have a material impact on the Company's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of acquired assets and assumed liabilities in business combinations, amortization lives for acquired intangible assets, and accruals for self-insurance reserves, litigation reserves and pensions. The allowance for doubtful accounts is determined based on historical collections trends, the aging of accounts, current economic conditions and regulatory changes. Actual results could differ from those estimates.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97"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Company maintains cash and cash equivalents with various major financial institutions. The total cash and cash equivalent balances that exceeded the balances insured by the Federal Deposit Insurance Commission, were approximately $335.0 and $423.0 at December 31, 2019, and 2018,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Substantially all of the Company’s accounts receivable are with companies in the healthcare or biopharmaceutical industry and individuals. However, concentrations of credit risk are mitigated due to the number of the Company’s customers as well as their dispersion across many different geographic regions.</w:t>
      </w:r>
    </w:p>
    <w:p>
      <w:pPr>
        <w:spacing w:after="0" w:line="208"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Although LCD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$81.4 and $88.8 at December 31, 2019, and 2018, respectively.</w:t>
      </w:r>
    </w:p>
    <w:p>
      <w:pPr>
        <w:spacing w:after="0" w:line="174"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balances from the Ontario government sponsored healthcare plan were CAD 3.2 and CAD 0.5 at December 31, 2019, and 2018, respectively.</w:t>
      </w:r>
    </w:p>
    <w:p>
      <w:pPr>
        <w:spacing w:after="0" w:line="1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2019, and 2018, receivables due from patients represented approximately 21.1% and 21.5% of the Company's consolidated gross accounts receivable, respectively. The Company applies assumptions and judgments including historical collection experience for assessing collectability and determining allowances for doubtful accounts for accounts receivable from patients.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Per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Per Share</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880" w:type="dxa"/>
            <w:vAlign w:val="bottom"/>
            <w:gridSpan w:val="2"/>
          </w:tcPr>
          <w:p>
            <w:pPr>
              <w:ind w:left="16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40"/>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1,227.1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Arial" w:cs="Arial" w:eastAsia="Arial" w:hAnsi="Arial"/>
                <w:sz w:val="16"/>
                <w:szCs w:val="16"/>
                <w:color w:val="auto"/>
              </w:rPr>
              <w:t>Stock options and stock awards</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convertible debt, net of tax</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823.8</w:t>
            </w:r>
          </w:p>
        </w:tc>
        <w:tc>
          <w:tcPr>
            <w:tcW w:w="120" w:type="dxa"/>
            <w:vAlign w:val="bottom"/>
            <w:tcBorders>
              <w:top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98.6</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bottom w:val="single" w:sz="8" w:color="auto"/>
            </w:tcBorders>
          </w:tcPr>
          <w:p>
            <w:pPr>
              <w:jc w:val="right"/>
              <w:ind w:right="59"/>
              <w:spacing w:after="0"/>
              <w:rPr>
                <w:sz w:val="20"/>
                <w:szCs w:val="20"/>
                <w:color w:val="auto"/>
              </w:rPr>
            </w:pPr>
            <w:r>
              <w:rPr>
                <w:rFonts w:ascii="Arial" w:cs="Arial" w:eastAsia="Arial" w:hAnsi="Arial"/>
                <w:sz w:val="16"/>
                <w:szCs w:val="16"/>
                <w:color w:val="auto"/>
              </w:rPr>
              <w:t>8.35</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883.7</w:t>
            </w: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102.6</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color w:val="auto"/>
              </w:rPr>
              <w:t>8.61</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1,227.1</w:t>
            </w:r>
          </w:p>
        </w:tc>
        <w:tc>
          <w:tcPr>
            <w:tcW w:w="100" w:type="dxa"/>
            <w:vAlign w:val="bottom"/>
            <w:tcBorders>
              <w:top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5"/>
          </w:tcPr>
          <w:p>
            <w:pPr>
              <w:ind w:left="80"/>
              <w:spacing w:after="0"/>
              <w:rPr>
                <w:sz w:val="20"/>
                <w:szCs w:val="20"/>
                <w:color w:val="auto"/>
              </w:rPr>
            </w:pPr>
            <w:r>
              <w:rPr>
                <w:rFonts w:ascii="Arial" w:cs="Arial" w:eastAsia="Arial" w:hAnsi="Arial"/>
                <w:sz w:val="18"/>
                <w:szCs w:val="18"/>
                <w:color w:val="auto"/>
                <w:w w:val="91"/>
              </w:rPr>
              <w:t>Years Ended December 31,</w:t>
            </w:r>
          </w:p>
        </w:tc>
        <w:tc>
          <w:tcPr>
            <w:tcW w:w="900" w:type="dxa"/>
            <w:vAlign w:val="bottom"/>
          </w:tcPr>
          <w:p>
            <w:pPr>
              <w:spacing w:after="0"/>
              <w:rPr>
                <w:sz w:val="20"/>
                <w:szCs w:val="20"/>
                <w:color w:val="auto"/>
              </w:rPr>
            </w:pPr>
          </w:p>
        </w:tc>
      </w:tr>
      <w:tr>
        <w:trPr>
          <w:trHeight w:val="34"/>
        </w:trPr>
        <w:tc>
          <w:tcPr>
            <w:tcW w:w="7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r>
      <w:tr>
        <w:trPr>
          <w:trHeight w:val="27"/>
        </w:trPr>
        <w:tc>
          <w:tcPr>
            <w:tcW w:w="7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The grant date fair value of performance awards is based on a Monte Carlo simulated fair value for the relative (as compared to the peer companies) total shareholder return component of the performance awards. Such value is recognized as expense over the service period, net of estimated forfeitures and the Company's determination of whether it is probable that the performance targets will be achieved. At the end of each reporting period, the Company reassesses the probability of achieving performance targets. The estimation of equity awards that will ultimately vest requires judgment and the Company considers many factors when estimating expected forfeitures,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types of awards, employee class, and historical experience. Forfeitures are recognized as a reduction of compensation expense in earnings in the period in which they occur.</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See Note 15 Stock Compensation Plans for assumptions used in calculating compensation expense for the Company’s stock compensation plans.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maturities when purchased of three months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Supplies Inventory</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Inventories, consisting primarily of purchased laboratory and customer supplies and finished goods, are stated at the lower of cost (first-in, first-out) or net realizable value. Supplies accounted for $228.3 and $200.1 and finished goods accounted for $16.4 and $37.2 of total inventory at December 31, 2019,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224"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6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12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 ten years, generally five years. Amortization begins once the underlying system is substantially complete and ready for its intended use.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w:t>
      </w:r>
    </w:p>
    <w:p>
      <w:pPr>
        <w:spacing w:after="0" w:line="7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performed its annual goodwill and intangible asset impairment testing as of the beginning of the fourth quarter of 2019. The Company elected to perform the qualitative assessment for goodwill and intangible assets for the domestic LCD reporting units, a quantitative assessment for the CDD reporting units and a quantitative assessment for the Canadian reporting unit and its indefinite-lived assets consisting of acquired Canadian licenses.</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the Company utilized a combination of income and market approaches to determine the fair value of the CDD reporting units and an income approach to determine the fair value of the Canadian reporting unit and its indefinite-lived assets consisting of acquired Canadian licenses. Based upon the results of the quantitative assessments, the Company concluded that the fair values of the goodwill and intangible assets, including the indefinite-lived Canadian licenses, was greater than the carrying value.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will continue to monitor the financial performance of and assumptions for one of the CDD reporting units for which a combination of income and market approaches was performed in 2019 and where the fair value exceeded carrying value by approximately 10%. Goodwill for this reporting unit as of December 31, 2019, was $2.2 billion. Management's impairment analysis for this reporting unit utilized significant judgments and assumptions related to the market comparable method analysis, such as selected market multiples, and related to cash flow projections, such as revenue and terminal growth rates, projected operating margin,and the discount rate. A significant increase in the discount rate, decrease in the revenue and terminal growth rate, or decreased operating margin, or substantial reductions in end markets and volume assumptions could have a negative impact on the estimated fair value of this reporting unit. A future impairment charge for goodwill or intangible assets could have a material effect on the Company's consolidated financial position and results of operations. Management notes that a 1% change in the discount rate would reduce the headroom to approximately 1%.</w:t>
      </w:r>
    </w:p>
    <w:p>
      <w:pPr>
        <w:spacing w:after="0" w:line="1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1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costs related to the issuance of debt are capitalized, netted against the related debt for presentation purposes and amortized to interest expense over the terms of the 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w:t>
      </w:r>
    </w:p>
    <w:p>
      <w:pPr>
        <w:spacing w:after="0" w:line="13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Company’s zero-coupon subordinated notes contained two features that were considered to be embedded derivative instruments under authoritative guidance in connection with accounting for derivative instruments and hedging activities. 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19, 2019, the Company redeemed any remaining outstanding zero-coupon notes that did not convert. The Company believes these embedded derivatives had no fair value at December 31, 2018.</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Cross currency swap agreements, which have been used by the Company to hedge exposure of its net investment in a foreign subsidiary denominated in non-U.S. currency, are accounted for at fair value.</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19 Derivative Instruments and Hedging Activities for the Company’s objectives in using derivative instruments and the effect of derivative instruments and related hedged items on the Company’s financial position, financial performance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Generally Accepted Accounting Principles (GAAP) with one that reflects expected credit losses and requires consideration of a broader range of reasonable and supportable information to inform credit loss estimates. The update is effective on January 1, 2020. The Company does not expect the adoption of this standard to have a material impact on the consolidated financial statements.</w:t>
      </w:r>
    </w:p>
    <w:p>
      <w:pPr>
        <w:spacing w:after="0" w:line="1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2018, the FASB issued a new accounting standard to remove, modify, and add to the disclosure requirements on fair value measurements. The standard is effective on January 1, 2020. The Company does not expect the adoption of this new standard to have a material impact on the consolidated financial statements.</w:t>
      </w:r>
    </w:p>
    <w:p>
      <w:pPr>
        <w:spacing w:after="0" w:line="1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2018, the FASB issued a new accounting standard to remove, modify, and add to the disclosure requirements on defined benefit pension and other postretirement plans. The standard is effective on January 1, 2021, with early adoption permitted. The Company is currently evaluating the impact this new standard will have on the consolidated financial statements.</w:t>
      </w:r>
    </w:p>
    <w:p>
      <w:pPr>
        <w:spacing w:after="0" w:line="1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2018, the FASB issued a new accounting standard to align the requirements for capitalizing implementation costs incurred in a hosting arrangement that is a service contract with the requirements for capitalizing implementation costs incurred to develop or obtain internal-use software. The standard is effective on January 1, 2020. The Company does not expect the adoption of this standard to have a material impact on the consolidated financial statements.</w:t>
      </w:r>
    </w:p>
    <w:p>
      <w:pPr>
        <w:spacing w:after="0" w:line="1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December 2019, the FASB issued a new accounting standard to simplify accounting for income taxes and remove, modify, and add to the disclosure requirements of income taxes. The standard is effective January 1, 2021, with early adoption permitted. The Company is currently evaluating the impact this new standard will have on the consolidated financial statements.</w:t>
      </w:r>
    </w:p>
    <w:p>
      <w:pPr>
        <w:spacing w:after="0" w:line="1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January 2020, the FASB issued a new accounting standard to clarify the interaction of the accounting for equity securities and investments accounted for under the equity method of accounting and the accounting for certain forward contracts and purchased options. This standard is effective January 1, 2021. The Company is currently evaluating the impact this new standard will have on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13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conjunction with the adoption of the new lease standard, the Company reclassified the capital lease asset balance of $44.4 at December 31, 2018 from Property, plant and equipment, net to Other assets.</w:t>
      </w:r>
    </w:p>
    <w:p>
      <w:pPr>
        <w:spacing w:after="0" w:line="72" w:lineRule="exact"/>
        <w:rPr>
          <w:sz w:val="20"/>
          <w:szCs w:val="20"/>
          <w:color w:val="auto"/>
        </w:rPr>
      </w:pPr>
    </w:p>
    <w:p>
      <w:pPr>
        <w:ind w:right="9560" w:firstLine="8"/>
        <w:spacing w:after="0" w:line="463" w:lineRule="auto"/>
        <w:tabs>
          <w:tab w:leader="none" w:pos="324"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Description of Revenues</w:t>
      </w:r>
    </w:p>
    <w:p>
      <w:pPr>
        <w:ind w:left="260"/>
        <w:spacing w:after="0"/>
        <w:rPr>
          <w:sz w:val="20"/>
          <w:szCs w:val="20"/>
          <w:color w:val="auto"/>
        </w:rPr>
      </w:pPr>
      <w:r>
        <w:rPr>
          <w:rFonts w:ascii="Arial" w:cs="Arial" w:eastAsia="Arial" w:hAnsi="Arial"/>
          <w:sz w:val="18"/>
          <w:szCs w:val="18"/>
          <w:color w:val="auto"/>
        </w:rPr>
        <w:t>The Company's revenue by segment payers/customer groups for the years ended December 31, 2019, 2018 and 2017 is as follows:</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15"/>
          </w:tcPr>
          <w:p>
            <w:pPr>
              <w:ind w:left="200"/>
              <w:spacing w:after="0"/>
              <w:rPr>
                <w:sz w:val="20"/>
                <w:szCs w:val="20"/>
                <w:color w:val="auto"/>
              </w:rPr>
            </w:pPr>
            <w:r>
              <w:rPr>
                <w:rFonts w:ascii="Arial" w:cs="Arial" w:eastAsia="Arial" w:hAnsi="Arial"/>
                <w:sz w:val="16"/>
                <w:szCs w:val="16"/>
                <w:b w:val="1"/>
                <w:bCs w:val="1"/>
                <w:color w:val="auto"/>
              </w:rPr>
              <w:t>For the Year Ended December 31, 2019</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United</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Other</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ind w:left="300"/>
              <w:spacing w:after="0"/>
              <w:rPr>
                <w:sz w:val="20"/>
                <w:szCs w:val="20"/>
                <w:color w:val="auto"/>
              </w:rPr>
            </w:pPr>
            <w:r>
              <w:rPr>
                <w:rFonts w:ascii="Arial" w:cs="Arial" w:eastAsia="Arial" w:hAnsi="Arial"/>
                <w:sz w:val="16"/>
                <w:szCs w:val="16"/>
                <w:b w:val="1"/>
                <w:bCs w:val="1"/>
                <w:color w:val="auto"/>
              </w:rPr>
              <w:t>U.S.</w:t>
            </w:r>
          </w:p>
        </w:tc>
        <w:tc>
          <w:tcPr>
            <w:tcW w:w="1020" w:type="dxa"/>
            <w:vAlign w:val="bottom"/>
            <w:gridSpan w:val="4"/>
          </w:tcPr>
          <w:p>
            <w:pPr>
              <w:ind w:left="200"/>
              <w:spacing w:after="0"/>
              <w:rPr>
                <w:sz w:val="20"/>
                <w:szCs w:val="20"/>
                <w:color w:val="auto"/>
              </w:rPr>
            </w:pPr>
            <w:r>
              <w:rPr>
                <w:rFonts w:ascii="Arial" w:cs="Arial" w:eastAsia="Arial" w:hAnsi="Arial"/>
                <w:sz w:val="16"/>
                <w:szCs w:val="16"/>
                <w:b w:val="1"/>
                <w:bCs w:val="1"/>
                <w:color w:val="auto"/>
              </w:rPr>
              <w:t>Canada</w:t>
            </w:r>
          </w:p>
        </w:tc>
        <w:tc>
          <w:tcPr>
            <w:tcW w:w="1020" w:type="dxa"/>
            <w:vAlign w:val="bottom"/>
            <w:gridSpan w:val="3"/>
          </w:tcPr>
          <w:p>
            <w:pPr>
              <w:ind w:left="140"/>
              <w:spacing w:after="0"/>
              <w:rPr>
                <w:sz w:val="20"/>
                <w:szCs w:val="20"/>
                <w:color w:val="auto"/>
              </w:rPr>
            </w:pPr>
            <w:r>
              <w:rPr>
                <w:rFonts w:ascii="Arial" w:cs="Arial" w:eastAsia="Arial" w:hAnsi="Arial"/>
                <w:sz w:val="16"/>
                <w:szCs w:val="16"/>
                <w:b w:val="1"/>
                <w:bCs w:val="1"/>
                <w:color w:val="auto"/>
              </w:rPr>
              <w:t>Kingdom</w:t>
            </w:r>
          </w:p>
        </w:tc>
        <w:tc>
          <w:tcPr>
            <w:tcW w:w="1200" w:type="dxa"/>
            <w:vAlign w:val="bottom"/>
            <w:gridSpan w:val="6"/>
          </w:tcPr>
          <w:p>
            <w:pPr>
              <w:ind w:left="140"/>
              <w:spacing w:after="0"/>
              <w:rPr>
                <w:sz w:val="20"/>
                <w:szCs w:val="20"/>
                <w:color w:val="auto"/>
              </w:rPr>
            </w:pPr>
            <w:r>
              <w:rPr>
                <w:rFonts w:ascii="Arial" w:cs="Arial" w:eastAsia="Arial" w:hAnsi="Arial"/>
                <w:sz w:val="16"/>
                <w:szCs w:val="16"/>
                <w:b w:val="1"/>
                <w:bCs w:val="1"/>
                <w:color w:val="auto"/>
              </w:rPr>
              <w:t>Switzerland</w:t>
            </w:r>
          </w:p>
        </w:tc>
        <w:tc>
          <w:tcPr>
            <w:tcW w:w="10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Europe</w:t>
            </w:r>
          </w:p>
        </w:tc>
        <w:tc>
          <w:tcPr>
            <w:tcW w:w="960" w:type="dxa"/>
            <w:vAlign w:val="bottom"/>
            <w:gridSpan w:val="6"/>
          </w:tcPr>
          <w:p>
            <w:pPr>
              <w:ind w:left="220"/>
              <w:spacing w:after="0"/>
              <w:rPr>
                <w:sz w:val="20"/>
                <w:szCs w:val="20"/>
                <w:color w:val="auto"/>
              </w:rPr>
            </w:pPr>
            <w:r>
              <w:rPr>
                <w:rFonts w:ascii="Arial" w:cs="Arial" w:eastAsia="Arial" w:hAnsi="Arial"/>
                <w:sz w:val="16"/>
                <w:szCs w:val="16"/>
                <w:b w:val="1"/>
                <w:bCs w:val="1"/>
                <w:color w:val="auto"/>
              </w:rPr>
              <w:t>Other</w:t>
            </w: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Payer/Customer</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6"/>
                <w:szCs w:val="16"/>
                <w:i w:val="1"/>
                <w:iCs w:val="1"/>
                <w:color w:val="auto"/>
              </w:rPr>
              <w:t>LCD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Clients</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Patients</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Medicare and Medicaid</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color w:val="auto"/>
              </w:rPr>
              <w:t>Third-party</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Total LCD revenues by payer</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CDD</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Biopharmaceutical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6"/>
                <w:szCs w:val="16"/>
                <w:color w:val="auto"/>
              </w:rPr>
              <w:t>device companies</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5"/>
          </w:tcPr>
          <w:p>
            <w:pPr>
              <w:ind w:left="200"/>
              <w:spacing w:after="0"/>
              <w:rPr>
                <w:sz w:val="20"/>
                <w:szCs w:val="20"/>
                <w:color w:val="auto"/>
              </w:rPr>
            </w:pPr>
            <w:r>
              <w:rPr>
                <w:rFonts w:ascii="Arial" w:cs="Arial" w:eastAsia="Arial" w:hAnsi="Arial"/>
                <w:sz w:val="16"/>
                <w:szCs w:val="16"/>
                <w:b w:val="1"/>
                <w:bCs w:val="1"/>
                <w:color w:val="auto"/>
              </w:rPr>
              <w:t>For the Year Ended December 31, 2018</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United</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ind w:left="300"/>
              <w:spacing w:after="0"/>
              <w:rPr>
                <w:sz w:val="20"/>
                <w:szCs w:val="20"/>
                <w:color w:val="auto"/>
              </w:rPr>
            </w:pPr>
            <w:r>
              <w:rPr>
                <w:rFonts w:ascii="Arial" w:cs="Arial" w:eastAsia="Arial" w:hAnsi="Arial"/>
                <w:sz w:val="16"/>
                <w:szCs w:val="16"/>
                <w:b w:val="1"/>
                <w:bCs w:val="1"/>
                <w:color w:val="auto"/>
              </w:rPr>
              <w:t>U.S.</w:t>
            </w:r>
          </w:p>
        </w:tc>
        <w:tc>
          <w:tcPr>
            <w:tcW w:w="1020" w:type="dxa"/>
            <w:vAlign w:val="bottom"/>
            <w:gridSpan w:val="4"/>
          </w:tcPr>
          <w:p>
            <w:pPr>
              <w:ind w:left="200"/>
              <w:spacing w:after="0"/>
              <w:rPr>
                <w:sz w:val="20"/>
                <w:szCs w:val="20"/>
                <w:color w:val="auto"/>
              </w:rPr>
            </w:pPr>
            <w:r>
              <w:rPr>
                <w:rFonts w:ascii="Arial" w:cs="Arial" w:eastAsia="Arial" w:hAnsi="Arial"/>
                <w:sz w:val="16"/>
                <w:szCs w:val="16"/>
                <w:b w:val="1"/>
                <w:bCs w:val="1"/>
                <w:color w:val="auto"/>
              </w:rPr>
              <w:t>Canada</w:t>
            </w:r>
          </w:p>
        </w:tc>
        <w:tc>
          <w:tcPr>
            <w:tcW w:w="1020" w:type="dxa"/>
            <w:vAlign w:val="bottom"/>
            <w:gridSpan w:val="3"/>
          </w:tcPr>
          <w:p>
            <w:pPr>
              <w:ind w:left="140"/>
              <w:spacing w:after="0"/>
              <w:rPr>
                <w:sz w:val="20"/>
                <w:szCs w:val="20"/>
                <w:color w:val="auto"/>
              </w:rPr>
            </w:pPr>
            <w:r>
              <w:rPr>
                <w:rFonts w:ascii="Arial" w:cs="Arial" w:eastAsia="Arial" w:hAnsi="Arial"/>
                <w:sz w:val="16"/>
                <w:szCs w:val="16"/>
                <w:b w:val="1"/>
                <w:bCs w:val="1"/>
                <w:color w:val="auto"/>
              </w:rPr>
              <w:t>Kingdom</w:t>
            </w:r>
          </w:p>
        </w:tc>
        <w:tc>
          <w:tcPr>
            <w:tcW w:w="1200" w:type="dxa"/>
            <w:vAlign w:val="bottom"/>
            <w:gridSpan w:val="6"/>
          </w:tcPr>
          <w:p>
            <w:pPr>
              <w:ind w:left="120"/>
              <w:spacing w:after="0"/>
              <w:rPr>
                <w:sz w:val="20"/>
                <w:szCs w:val="20"/>
                <w:color w:val="auto"/>
              </w:rPr>
            </w:pPr>
            <w:r>
              <w:rPr>
                <w:rFonts w:ascii="Arial" w:cs="Arial" w:eastAsia="Arial" w:hAnsi="Arial"/>
                <w:sz w:val="16"/>
                <w:szCs w:val="16"/>
                <w:b w:val="1"/>
                <w:bCs w:val="1"/>
                <w:color w:val="auto"/>
              </w:rPr>
              <w:t>Switzerland</w:t>
            </w:r>
          </w:p>
        </w:tc>
        <w:tc>
          <w:tcPr>
            <w:tcW w:w="1020" w:type="dxa"/>
            <w:vAlign w:val="bottom"/>
            <w:gridSpan w:val="6"/>
          </w:tcPr>
          <w:p>
            <w:pPr>
              <w:ind w:left="160"/>
              <w:spacing w:after="0"/>
              <w:rPr>
                <w:sz w:val="20"/>
                <w:szCs w:val="20"/>
                <w:color w:val="auto"/>
              </w:rPr>
            </w:pPr>
            <w:r>
              <w:rPr>
                <w:rFonts w:ascii="Arial" w:cs="Arial" w:eastAsia="Arial" w:hAnsi="Arial"/>
                <w:sz w:val="16"/>
                <w:szCs w:val="16"/>
                <w:b w:val="1"/>
                <w:bCs w:val="1"/>
                <w:color w:val="auto"/>
              </w:rPr>
              <w:t>Europe</w:t>
            </w:r>
          </w:p>
        </w:tc>
        <w:tc>
          <w:tcPr>
            <w:tcW w:w="960" w:type="dxa"/>
            <w:vAlign w:val="bottom"/>
            <w:gridSpan w:val="6"/>
          </w:tcPr>
          <w:p>
            <w:pPr>
              <w:ind w:left="180"/>
              <w:spacing w:after="0"/>
              <w:rPr>
                <w:sz w:val="20"/>
                <w:szCs w:val="20"/>
                <w:color w:val="auto"/>
              </w:rPr>
            </w:pPr>
            <w:r>
              <w:rPr>
                <w:rFonts w:ascii="Arial" w:cs="Arial" w:eastAsia="Arial" w:hAnsi="Arial"/>
                <w:sz w:val="16"/>
                <w:szCs w:val="16"/>
                <w:b w:val="1"/>
                <w:bCs w:val="1"/>
                <w:color w:val="auto"/>
              </w:rPr>
              <w:t>Other</w:t>
            </w: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Payer/Customer</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i w:val="1"/>
                <w:iCs w:val="1"/>
                <w:color w:val="auto"/>
              </w:rPr>
              <w:t>LCD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Clients</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Patients</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Medicare and Medicaid</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Third-party</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Total LCD revenues by payer</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CDD</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Biopharmaceutical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medical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device companies</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5"/>
          </w:tcPr>
          <w:p>
            <w:pPr>
              <w:ind w:left="100"/>
              <w:spacing w:after="0"/>
              <w:rPr>
                <w:sz w:val="20"/>
                <w:szCs w:val="20"/>
                <w:color w:val="auto"/>
              </w:rPr>
            </w:pPr>
            <w:r>
              <w:rPr>
                <w:rFonts w:ascii="Arial" w:cs="Arial" w:eastAsia="Arial" w:hAnsi="Arial"/>
                <w:sz w:val="16"/>
                <w:szCs w:val="16"/>
                <w:b w:val="1"/>
                <w:bCs w:val="1"/>
                <w:color w:val="auto"/>
              </w:rPr>
              <w:t>For the Year Ended December 31, 2017</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Arial" w:cs="Arial" w:eastAsia="Arial" w:hAnsi="Arial"/>
                <w:sz w:val="16"/>
                <w:szCs w:val="16"/>
                <w:b w:val="1"/>
                <w:bCs w:val="1"/>
                <w:color w:val="auto"/>
              </w:rPr>
              <w:t>United</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6"/>
          </w:tcPr>
          <w:p>
            <w:pPr>
              <w:ind w:left="160"/>
              <w:spacing w:after="0"/>
              <w:rPr>
                <w:sz w:val="20"/>
                <w:szCs w:val="20"/>
                <w:color w:val="auto"/>
              </w:rPr>
            </w:pPr>
            <w:r>
              <w:rPr>
                <w:rFonts w:ascii="Arial" w:cs="Arial" w:eastAsia="Arial" w:hAnsi="Arial"/>
                <w:sz w:val="16"/>
                <w:szCs w:val="16"/>
                <w:b w:val="1"/>
                <w:bCs w:val="1"/>
                <w:color w:val="auto"/>
              </w:rPr>
              <w:t>Other</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ind w:left="120"/>
              <w:spacing w:after="0"/>
              <w:rPr>
                <w:sz w:val="20"/>
                <w:szCs w:val="20"/>
                <w:color w:val="auto"/>
              </w:rPr>
            </w:pPr>
            <w:r>
              <w:rPr>
                <w:rFonts w:ascii="Arial" w:cs="Arial" w:eastAsia="Arial" w:hAnsi="Arial"/>
                <w:sz w:val="16"/>
                <w:szCs w:val="16"/>
                <w:b w:val="1"/>
                <w:bCs w:val="1"/>
                <w:color w:val="auto"/>
              </w:rPr>
              <w:t>U.S.</w:t>
            </w:r>
          </w:p>
        </w:tc>
        <w:tc>
          <w:tcPr>
            <w:tcW w:w="1020" w:type="dxa"/>
            <w:vAlign w:val="bottom"/>
            <w:gridSpan w:val="4"/>
          </w:tcPr>
          <w:p>
            <w:pPr>
              <w:ind w:left="40"/>
              <w:spacing w:after="0"/>
              <w:rPr>
                <w:sz w:val="20"/>
                <w:szCs w:val="20"/>
                <w:color w:val="auto"/>
              </w:rPr>
            </w:pPr>
            <w:r>
              <w:rPr>
                <w:rFonts w:ascii="Arial" w:cs="Arial" w:eastAsia="Arial" w:hAnsi="Arial"/>
                <w:sz w:val="16"/>
                <w:szCs w:val="16"/>
                <w:b w:val="1"/>
                <w:bCs w:val="1"/>
                <w:color w:val="auto"/>
              </w:rPr>
              <w:t>Canada</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Kingdom</w:t>
            </w:r>
          </w:p>
        </w:tc>
        <w:tc>
          <w:tcPr>
            <w:tcW w:w="1200" w:type="dxa"/>
            <w:vAlign w:val="bottom"/>
            <w:gridSpan w:val="6"/>
          </w:tcPr>
          <w:p>
            <w:pPr>
              <w:ind w:left="40"/>
              <w:spacing w:after="0"/>
              <w:rPr>
                <w:sz w:val="20"/>
                <w:szCs w:val="20"/>
                <w:color w:val="auto"/>
              </w:rPr>
            </w:pPr>
            <w:r>
              <w:rPr>
                <w:rFonts w:ascii="Arial" w:cs="Arial" w:eastAsia="Arial" w:hAnsi="Arial"/>
                <w:sz w:val="16"/>
                <w:szCs w:val="16"/>
                <w:b w:val="1"/>
                <w:bCs w:val="1"/>
                <w:color w:val="auto"/>
              </w:rPr>
              <w:t>Switzerland</w:t>
            </w:r>
          </w:p>
        </w:tc>
        <w:tc>
          <w:tcPr>
            <w:tcW w:w="102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rPr>
              <w:t>Europe</w:t>
            </w:r>
          </w:p>
        </w:tc>
        <w:tc>
          <w:tcPr>
            <w:tcW w:w="960" w:type="dxa"/>
            <w:vAlign w:val="bottom"/>
            <w:gridSpan w:val="6"/>
          </w:tcPr>
          <w:p>
            <w:pPr>
              <w:ind w:left="140"/>
              <w:spacing w:after="0"/>
              <w:rPr>
                <w:sz w:val="20"/>
                <w:szCs w:val="20"/>
                <w:color w:val="auto"/>
              </w:rPr>
            </w:pPr>
            <w:r>
              <w:rPr>
                <w:rFonts w:ascii="Arial" w:cs="Arial" w:eastAsia="Arial" w:hAnsi="Arial"/>
                <w:sz w:val="16"/>
                <w:szCs w:val="16"/>
                <w:b w:val="1"/>
                <w:bCs w:val="1"/>
                <w:color w:val="auto"/>
              </w:rPr>
              <w:t>Other</w:t>
            </w: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Payer/Customer</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i w:val="1"/>
                <w:iCs w:val="1"/>
                <w:color w:val="auto"/>
              </w:rPr>
              <w:t>LCD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Clients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color w:val="auto"/>
              </w:rPr>
              <w:t>Patients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w:t>
            </w:r>
          </w:p>
        </w:tc>
      </w:tr>
      <w:tr>
        <w:trPr>
          <w:trHeight w:val="3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Medicare and Medicaid</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r>
      <w:tr>
        <w:trPr>
          <w:trHeight w:val="237"/>
        </w:trPr>
        <w:tc>
          <w:tcPr>
            <w:tcW w:w="20" w:type="dxa"/>
            <w:vAlign w:val="bottom"/>
          </w:tcPr>
          <w:p>
            <w:pPr>
              <w:spacing w:after="0"/>
              <w:rPr>
                <w:sz w:val="20"/>
                <w:szCs w:val="20"/>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Third-party</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gridSpan w:val="6"/>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29%</w:t>
            </w:r>
          </w:p>
        </w:tc>
      </w:tr>
      <w:tr>
        <w:trPr>
          <w:trHeight w:val="33"/>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Total LCD revenues by payer</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6"/>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6"/>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CDD</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color w:val="auto"/>
              </w:rPr>
              <w:t>Biopharmaceutical and</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33%</w:t>
            </w:r>
          </w:p>
        </w:tc>
      </w:tr>
      <w:tr>
        <w:trPr>
          <w:trHeight w:val="206"/>
        </w:trPr>
        <w:tc>
          <w:tcPr>
            <w:tcW w:w="2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medical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ectPr>
          <w:pgSz w:w="11900" w:h="16838" w:orient="portrait"/>
          <w:cols w:equalWidth="0" w:num="1">
            <w:col w:w="11420"/>
          </w:cols>
          <w:pgMar w:left="240" w:top="125" w:right="239" w:bottom="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device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583184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5831840" cy="16319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80" w:type="dxa"/>
            <w:vAlign w:val="bottom"/>
          </w:tcPr>
          <w:p>
            <w:pPr>
              <w:spacing w:after="0"/>
              <w:rPr>
                <w:sz w:val="20"/>
                <w:szCs w:val="20"/>
                <w:color w:val="auto"/>
              </w:rPr>
            </w:pPr>
            <w:r>
              <w:rPr>
                <w:rFonts w:ascii="Arial" w:cs="Arial" w:eastAsia="Arial" w:hAnsi="Arial"/>
                <w:sz w:val="16"/>
                <w:szCs w:val="16"/>
                <w:color w:val="auto"/>
              </w:rPr>
              <w:t>Total revenues</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w:t>
            </w:r>
          </w:p>
        </w:tc>
      </w:tr>
      <w:tr>
        <w:trPr>
          <w:trHeight w:val="20"/>
        </w:trPr>
        <w:tc>
          <w:tcPr>
            <w:tcW w:w="1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9180"/>
          </w:cols>
          <w:pgMar w:left="1380" w:top="130" w:right="1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description of the current revenue recognition policies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w:t>
      </w:r>
    </w:p>
    <w:p>
      <w:pPr>
        <w:spacing w:after="0" w:line="6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LCD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LCD also offered a range of other testing services.</w:t>
      </w:r>
    </w:p>
    <w:p>
      <w:pPr>
        <w:spacing w:after="0" w:line="22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Within the LCD segment, a revenue transaction is initiated when LCD receives a requisition order to perform a diagnostic test. The information provided on the requisition form is used to determine the party that will be billed for the testing performed and the expected reimbursement. LCD recognizes revenue and satisfies its performance obligation for services rendered when the testing process is complete and the associated results are reported. Sales are distributed among four payer portfolios - clients, patients, Medicare and Medicaid and third-party. LCD considers negotiated discounts and anticipated adjustments, including historical collection experience for the payer portfolio, when sales are recorded.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LCD payer portfolios: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11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Client payers represent the portion of LCD’s revenue related to physicians, hospitals, health systems, accountable care organizations (ACOs), employers and other entities where payment is received exclusively from the entity ordering the testing service. Generally, client sales are recorded on a fee-for-service basis at LCD’s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This portfolio includes revenue from uninsured patients and member cost-share for insured patients (e.g., coinsurance, deductibles and non-covered services). Uninsured patients are billed based upon LCD’s patient list fee schedules, net of any discounts negotiated with physicians on behalf of their patients. LCD bills insured patients as directed by their health plan and after consideration of the fees and terms associated with an established health plan contract.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7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LCD’s results of operations in any period presented</w:t>
      </w:r>
      <w:r>
        <w:rPr>
          <w:rFonts w:ascii="Arial" w:cs="Arial" w:eastAsia="Arial" w:hAnsi="Arial"/>
          <w:sz w:val="19"/>
          <w:szCs w:val="19"/>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11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Third-party includes revenue related to MCOs. The majority of LCD's third-party revenue is reimbursed on a fee-for-service basis. These payers are billed at LCD's established list price and revenue is recorded net of contractual discounts. The majority of LCD’s MCO sales are recorded based upon contractually negotiated fee schedules with sales for non-contracted MCOs recorded based on historical reimbursement experience.</w:t>
      </w:r>
    </w:p>
    <w:p>
      <w:pPr>
        <w:spacing w:after="0" w:line="1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LCD’s results of operations in any period presented.</w:t>
      </w:r>
    </w:p>
    <w:p>
      <w:pPr>
        <w:spacing w:after="0" w:line="1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LCD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LCD recognizes revenue monthly, based upon the established capitation rate or anticipated distribution from a capitated pool.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 is a CRO business that provides end-to-end drug development services from early-stage research to clinical trial management and beyond. CDD provides these services predominantly to biopharmaceutical and medical device companies worldwide. Because CDD's client base generally consumes these drug development services across the entire portfolio of CDD pre-clinical and clinical services offerings, there is little variability in the customer base of any particular CDD service offering. The nature of CDD’s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include agreements to provide preclinical services,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21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Historically, a majority of CDD’s revenues have been earned under contracts that range in duration from a few months to a few years, but can extend in duration up to five years or longer. Occasionally, CDD also has entered into minimum volume arrangements with certain customers. Under these types of arrangements, if the annual minimum dollar value of a service commitment is not reached, the customer is required to pay CDD for the shortfall. Annual minimum commitment shortfalls are not recognized until the end of the period when the amount has been determined and agreed to by the customer.</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20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 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 Billing schedules and payment terms are generally negotiated on a contract-by-contract basis. In some cases, CDD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19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CDD allocates the contract price to the goods and services based on a customer price list, if available. If a price list is not available, CDD will estimate the transaction price using either market prices or an “expected cost plus margin” approach.</w:t>
      </w:r>
    </w:p>
    <w:p>
      <w:pPr>
        <w:spacing w:after="0" w:line="20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While CDD attempts to negotiate terms that provide for billing and payment of services prior or within close proximity to the provision of services, this is not always possible.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17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19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 contract asset, is recorded for the amount that is currently 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1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CDD of expenses to wind-down the study or project, fees earned to date and, in some cases, a termination fee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or a payment to CDD of some portion of the fees or profits that could have been earned by CDD under the contract if it had not been terminated early.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fees are included in revenues when services are performed and realization is assured.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full range of drug development services provided by CDD:</w:t>
      </w:r>
    </w:p>
    <w:p>
      <w:pPr>
        <w:spacing w:after="0" w:line="11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Preclinical services include fee-for-service activities such as bioanalytical testing services, and proportional performance activities such as toxicology studies. Until June 3, 2019, preclinical services also included the sale of research models. See Note 3 Business Acquisitions and Dispositions to the Consolidated Financial Statements for more information. Revenue for sale of research models was recognized at a point in time, typically upon shipment, when control transferred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20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Through its central laboratory, CDD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CDD also provides long-term specimen storage services, for which revenue is recognized using an input-based measure of progress based on costs incurred.</w:t>
      </w:r>
    </w:p>
    <w:p>
      <w:pPr>
        <w:spacing w:after="0" w:line="11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CDD 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Revenue for full service clinical studies is recognized using an input-based measure of progress based on costs incurred (including pass-through costs such as investigator grants and reimbursable out-of-pocket expenses).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CDD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12-57 months,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21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incurs costs to fulfill contracts with customers, which are recoverable through the service fees in the contract. Contract fulfillment costs include software implementation costs and setup costs for certain market access solutions. These costs are recognized as assets and amortized over the expected term of the contract to which the implementation relates, which is the period over which services are expected to be provided to the customer. This period typically ranges from 24-60 months. Amortization of deferred contract fulfillment costs is included in cost of goods sold.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59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Sales commission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8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contract fulfillment costs</w:t>
            </w: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Amortization related to sales commission assets and associated payroll taxes for the year ended December 31, 2019, 2018, and 2017 was $21.2, $16.9 and $14.3, respectively. Amortization related to deferred contract fulfillment costs for the years ended December 31, 2019, 2018 and 2017 was $8.7, $4.4 and $0.3, respectively. Impairment expense related to contract costs was immaterial to the Company’s consolidated statement of operations. The Company applies the practical expedient to not recognize the effect of financing in its contracts with customers, when the difference in timing of payment and performance is one year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Unbilled Services and Unearned Revenue</w:t>
      </w:r>
    </w:p>
    <w:p>
      <w:pPr>
        <w:spacing w:after="0" w:line="6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Unbilled services are comprised primarily of unbilled receivables, but also include contract assets. A contract asset is recorded when a right to payment has been earned for work performed, but billing and payment for that work is determined by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contractual milestones, whereas unbilled receivables are billable upon the passage of time. While CDD attempts to negotiate terms that provide for billing and payment of services prior or in close proximity to the provision of services, this is not always possible and there are fluctuations in the level of unbilled services and unearned revenue from period to period. The following table provides information about receivables, unbilled services, and unearned revenue (contract liabilities) from contracts with customers for the CDD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2019</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58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which are included in Accounts Receivable</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396.9</w:t>
            </w:r>
          </w:p>
        </w:tc>
      </w:tr>
      <w:tr>
        <w:trPr>
          <w:trHeight w:val="27"/>
        </w:trPr>
        <w:tc>
          <w:tcPr>
            <w:tcW w:w="5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7"/>
        </w:trPr>
        <w:tc>
          <w:tcPr>
            <w:tcW w:w="58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for the year ended December 31, 2019, and 2018, was $250.2 and $204.0, respectively. Bad debt expense on receivables, for the year ended December 31, 2019 was immaterial to the Company’s consolidated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Under Long-Term Contracts</w:t>
      </w:r>
    </w:p>
    <w:p>
      <w:pPr>
        <w:spacing w:after="0" w:line="11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Long-term contracts at the Company consist primarily of fully managed clinical studies within the CDD segment. The amount of existing performance obligations under such long-term contracts unsatisfied as of December 31, 2019, and 2018, was $4,520.8 and $3,784.7, respectively. The Company expects to recognize approximately 35.0% of the remaining performance obligations as of December 31, 2019, as revenue over the next 12 months, and the balance thereafter. The Company's long-term contracts generally range from 1 to 8 years.</w:t>
      </w:r>
    </w:p>
    <w:p>
      <w:pPr>
        <w:spacing w:after="0" w:line="1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applied the practical expedient and does not disclose information about remaining performance obligations that have original expected durations of one year or less. The Company also did not disclose information about remaining performance obligations when the variable consideration was related to a wholly unsatisfied performance obligation within a series of obligations.</w:t>
      </w:r>
    </w:p>
    <w:p>
      <w:pPr>
        <w:spacing w:after="0" w:line="208"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Within CDD, revenue of $88.9 and $21.0 was recognized during the year ended December 31, 2019, and December 31, 2018, respectively, from performance obligations that were satisfied in previous periods. This revenue comes from adjustments related to changes in scope and estimates in full service clinical studies.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AND DISPOSITIONS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June 3, 2019, the Company's CDD segment acquired Envigo's nonclinical contract research services business, expanding CDD's global nonclinical drug development capabilities with additional locations and resources. Additionally, the Company divested the CRP business, which was a part of the CDD segment, to Envigo. As part of this sale, CDD entered into a multi-year, renewable supply agreement with Envigo. The Company paid cash consideration of $601.0, received a floating rate secured note of $110.0, and recorded a loss on the sale of CRP of $12.2. The Company funded the transaction through a new term loan facility.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preliminary valuation of acquired assets and assumed liabilities as of June 3, 2019,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100330</wp:posOffset>
            </wp:positionV>
            <wp:extent cx="70580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CRP</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30"/>
        </w:trPr>
        <w:tc>
          <w:tcPr>
            <w:tcW w:w="65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18"/>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Measurement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Preliminary</w:t>
            </w:r>
          </w:p>
        </w:tc>
      </w:tr>
      <w:tr>
        <w:trPr>
          <w:trHeight w:val="234"/>
        </w:trPr>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26.2</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ROU operating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140.8</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7"/>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734.8</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49.9</w:t>
            </w:r>
          </w:p>
        </w:tc>
      </w:tr>
      <w:tr>
        <w:trPr>
          <w:trHeight w:val="27"/>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58.6</w:t>
            </w:r>
          </w:p>
        </w:tc>
      </w:tr>
      <w:tr>
        <w:trPr>
          <w:trHeight w:val="27"/>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r>
      <w:tr>
        <w:trPr>
          <w:trHeight w:val="2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Envigo assets acquired</w:t>
            </w:r>
          </w:p>
        </w:tc>
        <w:tc>
          <w:tcPr>
            <w:tcW w:w="28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601.0</w:t>
            </w: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Floating rate secured note receivable due 2022</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57"/>
        </w:trPr>
        <w:tc>
          <w:tcPr>
            <w:tcW w:w="65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preliminary purchase consideration for Envigo has been allocated to the estimated fair market value of the net assets acquired, including approximately $141.4 in identifiable intangible assets and a residual amount of non-tax-deductible goodwill of approximately $379.3. The amortization period for intangible assets acquired is 11 years for customer relationships.</w:t>
      </w:r>
    </w:p>
    <w:p>
      <w:pPr>
        <w:spacing w:after="0" w:line="20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Envigo transaction contributed $124.2 and $17.9 of revenues and operating income, respectively, during the year ended December 31, 2019. The divested CRP business contributed operating income of $5.5 and $13.2 for the years ended December 31, 2019 and 2018, respectively.</w:t>
      </w:r>
    </w:p>
    <w:p>
      <w:pPr>
        <w:spacing w:after="0" w:line="17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purchase price allocation for the Envigo transaction is still preliminary and subject to change. The areas of the purchase price allocation that are not yet finalized relate primarily to goodwill, and the impact of finalizing deferred taxes. Accordingly, adjustments may be made as additional information is obtained about the facts and circumstances that existed as of the valuation date. The Company expects these purchase price allocations to be finalized by the second quarter of 2020. Any adjustments will be recorded in the period in which they are identified.</w:t>
      </w:r>
    </w:p>
    <w:p>
      <w:pPr>
        <w:spacing w:after="0" w:line="19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year ended December 31, 2019, the Company also acquired various businesses and related assets for approximately $286.4 in cash (net of cash acquired). The purchase consideration for all acquisitions year to date has been allocated to the estimated fair market value of the net assets acquired, including approximately $184.3 in identifiable intangible assets and a residual amount of non-tax-deductible goodwill of approximately $115.1. The amortization periods for intangible assets acquired from these businesses range from 12 to 15 years for customer relationships.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2019 for these businesses is included below:</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586"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Amounts Acquired During Year Ended December</w:t>
            </w:r>
          </w:p>
        </w:tc>
      </w:tr>
      <w:tr>
        <w:trPr>
          <w:trHeight w:val="210"/>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right"/>
              <w:ind w:right="811"/>
              <w:spacing w:after="0"/>
              <w:rPr>
                <w:sz w:val="20"/>
                <w:szCs w:val="20"/>
                <w:color w:val="auto"/>
              </w:rPr>
            </w:pPr>
            <w:r>
              <w:rPr>
                <w:rFonts w:ascii="Arial" w:cs="Arial" w:eastAsia="Arial" w:hAnsi="Arial"/>
                <w:sz w:val="16"/>
                <w:szCs w:val="16"/>
                <w:b w:val="1"/>
                <w:bCs w:val="1"/>
                <w:color w:val="auto"/>
              </w:rPr>
              <w:t>31, 2019 (excluding Envigo)</w:t>
            </w:r>
          </w:p>
        </w:tc>
      </w:tr>
      <w:tr>
        <w:trPr>
          <w:trHeight w:val="40"/>
        </w:trPr>
        <w:tc>
          <w:tcPr>
            <w:tcW w:w="75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0.8</w:t>
            </w: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ROU operating lease assets)</w:t>
            </w: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115.1</w:t>
            </w: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
        </w:trPr>
        <w:tc>
          <w:tcPr>
            <w:tcW w:w="7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316.5</w:t>
            </w: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Total liabilies acquired</w:t>
            </w:r>
          </w:p>
        </w:tc>
        <w:tc>
          <w:tcPr>
            <w:tcW w:w="120" w:type="dxa"/>
            <w:vAlign w:val="bottom"/>
          </w:tcPr>
          <w:p>
            <w:pPr>
              <w:spacing w:after="0"/>
              <w:rPr>
                <w:sz w:val="21"/>
                <w:szCs w:val="21"/>
                <w:color w:val="auto"/>
              </w:rPr>
            </w:pPr>
          </w:p>
        </w:tc>
        <w:tc>
          <w:tcPr>
            <w:tcW w:w="3580" w:type="dxa"/>
            <w:vAlign w:val="bottom"/>
          </w:tcPr>
          <w:p>
            <w:pPr>
              <w:jc w:val="right"/>
              <w:ind w:right="31"/>
              <w:spacing w:after="0"/>
              <w:rPr>
                <w:sz w:val="20"/>
                <w:szCs w:val="20"/>
                <w:color w:val="auto"/>
              </w:rPr>
            </w:pPr>
            <w:r>
              <w:rPr>
                <w:rFonts w:ascii="Arial" w:cs="Arial" w:eastAsia="Arial" w:hAnsi="Arial"/>
                <w:sz w:val="18"/>
                <w:szCs w:val="18"/>
                <w:color w:val="auto"/>
              </w:rPr>
              <w:t>30.1</w:t>
            </w:r>
          </w:p>
        </w:tc>
      </w:tr>
      <w:tr>
        <w:trPr>
          <w:trHeight w:val="27"/>
        </w:trPr>
        <w:tc>
          <w:tcPr>
            <w:tcW w:w="7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286.4</w:t>
            </w: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Envigo acquisition on June 3, 2019. Had the Envigo acquisition as well as the aggregate of the Company's other 2019 acquisitions been completed as of January 1, 2017, the Company's pro forma results would have been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right"/>
              <w:ind w:right="630"/>
              <w:spacing w:after="0"/>
              <w:rPr>
                <w:sz w:val="20"/>
                <w:szCs w:val="20"/>
                <w:color w:val="auto"/>
              </w:rPr>
            </w:pPr>
            <w:r>
              <w:rPr>
                <w:rFonts w:ascii="Arial" w:cs="Arial" w:eastAsia="Arial" w:hAnsi="Arial"/>
                <w:sz w:val="18"/>
                <w:szCs w:val="18"/>
                <w:color w:val="auto"/>
              </w:rPr>
              <w:t>Years Ended December 31,</w:t>
            </w:r>
          </w:p>
        </w:tc>
      </w:tr>
      <w:tr>
        <w:trPr>
          <w:trHeight w:val="34"/>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r>
      <w:tr>
        <w:trPr>
          <w:trHeight w:val="34"/>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11,742.5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11,738.5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831.4</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906.6</w:t>
            </w:r>
          </w:p>
        </w:tc>
      </w:tr>
    </w:tbl>
    <w:p>
      <w:pPr>
        <w:spacing w:after="0" w:line="200" w:lineRule="exact"/>
        <w:rPr>
          <w:sz w:val="20"/>
          <w:szCs w:val="20"/>
          <w:color w:val="auto"/>
        </w:rPr>
      </w:pPr>
    </w:p>
    <w:p>
      <w:pPr>
        <w:spacing w:after="0" w:line="20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the year ended December 31, 2018, the Company acquired various businesses and related assets for approximately $117.8 in cash (net of cash acquired). The purchase consideration for all acquisitions year to date has been allocated to the estimated fair market value of the net assets acquired, including approximately $67.8 in identifiable intangible assets and a residual amount of non-tax-deductible goodwill of approximately $70.5.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April 30, 2018, the Company entered into a definitive agreement to sell the CFS business, a global provider of innovative product design and product integrity services for end-user segments that span the global food supply chain, for an all-cash purchase price of $670.0. The transaction closed on August 1, 2018, and a net gain of $258.3 was recorded in Other, net in the consolidated statement of operations.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divested its forensic testing services business in the U.K. and the U.S. on August 7, 2018, and December 31, 2018, respectively, resulting in losses of $48.9 and $24.5, respectively, recorded in Other, net in the consolidated statement of operations.</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Operating income for the Company's businesses divested in 2018 was $7.6 and $12.9, for the years ended December 31, 2018, (which includes divested operations through their respective disposal dates) and December 31, 2017,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2019, the Company recorded net restructuring charges of $54.6; $26.7 within LCD and $27.9 within CDD. The charges were comprised of $32.9 in severance and other personnel costs and $24.9 in facility-related costs primarily associated with general integration activities. The charges were offset by the reversal of previously established liability of $1.7 in unused severance and $1.5 in unused facility-related costs.</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2018, the Company recorded net restructuring charges of $48.1; $20.5 within LCD and $27.6 within CDD. The charges were comprised of $40.3 in severance and other personnel costs and $11.8 in facility-related costs primarily associated with general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126"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integration activities. The charges were offset by the reversal of previously established liability of $2.0 in unused severance and $2.0 in unused facility-related costs. The Company also recorded $2.3 in impairment to land held for sale which is included in amortization expense.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2017, the Company recorded net restructuring charges of $70.9; $16.8 within LCD and $54.1 within CDD. The charges were comprised of $36.1 in severance and other personnel costs, $18.8 in facility-related costs primarily associated with general integration activities, and an asset impairment loss of $20.9 related to the termination of a software development project within the CDD segment and the forgiveness of indebtedness for LCD customers in areas heavily impacted by hurricanes experienced during the third quarter of 2017. The charges were offset by the reversal of previously established liability of $0.5 in unused severance and $4.4 in unused facility-related costs.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
        </w:trPr>
        <w:tc>
          <w:tcPr>
            <w:tcW w:w="390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900" w:type="dxa"/>
            <w:vAlign w:val="bottom"/>
          </w:tcPr>
          <w:p>
            <w:pPr>
              <w:spacing w:after="0"/>
              <w:rPr>
                <w:sz w:val="19"/>
                <w:szCs w:val="19"/>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Severance and Other</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Lease and Other</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5"/>
              </w:rPr>
              <w:t>Severance and Other</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Lease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Employee Costs</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Facility Costs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Employee Costs</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Facility Costs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34"/>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restructure accruals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71"/>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Reclassification for ASC 842 adoption</w:t>
            </w:r>
          </w:p>
        </w:tc>
        <w:tc>
          <w:tcPr>
            <w:tcW w:w="1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Impairment of operating lease ROU asset</w:t>
            </w:r>
          </w:p>
        </w:tc>
        <w:tc>
          <w:tcPr>
            <w:tcW w:w="1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4.4 years. Cash payments and other adjustments include the reclassification of profit sharing, pension, and holiday accrual.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operating and finance leases for patient service centers, laboratories and testing facilities, clinical facilities, general office spaces, vehicles, and office and laboratory equipment. Leases have remaining lease terms of less than a year to 15 years, some of which include options to extend the leases for up to 15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The components of lease expense were as follows:</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jc w:val="right"/>
              <w:ind w:right="470"/>
              <w:spacing w:after="0"/>
              <w:rPr>
                <w:sz w:val="20"/>
                <w:szCs w:val="20"/>
                <w:color w:val="auto"/>
              </w:rPr>
            </w:pPr>
            <w:r>
              <w:rPr>
                <w:rFonts w:ascii="Arial" w:cs="Arial" w:eastAsia="Arial" w:hAnsi="Arial"/>
                <w:sz w:val="18"/>
                <w:szCs w:val="18"/>
                <w:b w:val="1"/>
                <w:bCs w:val="1"/>
                <w:color w:val="auto"/>
              </w:rPr>
              <w:t>For the Year Ended</w:t>
            </w:r>
          </w:p>
        </w:tc>
      </w:tr>
      <w:tr>
        <w:trPr>
          <w:trHeight w:val="270"/>
        </w:trPr>
        <w:tc>
          <w:tcPr>
            <w:tcW w:w="8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r>
      <w:tr>
        <w:trPr>
          <w:trHeight w:val="270"/>
        </w:trPr>
        <w:tc>
          <w:tcPr>
            <w:tcW w:w="8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8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312"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111"/>
              <w:spacing w:after="0"/>
              <w:rPr>
                <w:sz w:val="20"/>
                <w:szCs w:val="20"/>
                <w:color w:val="auto"/>
              </w:rPr>
            </w:pPr>
            <w:r>
              <w:rPr>
                <w:rFonts w:ascii="Arial" w:cs="Arial" w:eastAsia="Arial" w:hAnsi="Arial"/>
                <w:sz w:val="16"/>
                <w:szCs w:val="16"/>
                <w:b w:val="1"/>
                <w:bCs w:val="1"/>
                <w:color w:val="auto"/>
                <w:w w:val="92"/>
              </w:rPr>
              <w:t>For the Year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December 31, 2019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 w:type="dxa"/>
            <w:vAlign w:val="bottom"/>
          </w:tcPr>
          <w:p>
            <w:pPr>
              <w:spacing w:after="0"/>
              <w:rPr>
                <w:sz w:val="24"/>
                <w:szCs w:val="24"/>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ROU assets (included in 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shd w:val="clear" w:color="auto" w:fill="CCEEFF"/>
          </w:tcPr>
          <w:p>
            <w:pPr>
              <w:spacing w:after="0"/>
              <w:rPr>
                <w:sz w:val="22"/>
                <w:szCs w:val="22"/>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4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Finance lease ROU assets (included in Other assets)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7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Short-term finance lease liabilities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91.1</w:t>
            </w: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20"/>
                <w:szCs w:val="20"/>
                <w:color w:val="auto"/>
              </w:rPr>
            </w:pPr>
          </w:p>
        </w:tc>
        <w:tc>
          <w:tcPr>
            <w:tcW w:w="7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7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 w:type="dxa"/>
            <w:vAlign w:val="bottom"/>
          </w:tcPr>
          <w:p>
            <w:pPr>
              <w:spacing w:after="0"/>
              <w:rPr>
                <w:sz w:val="24"/>
                <w:szCs w:val="24"/>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Maturities of lease liabilities are as follows: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4"/>
                <w:szCs w:val="24"/>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151"/>
              <w:spacing w:after="0"/>
              <w:rPr>
                <w:sz w:val="20"/>
                <w:szCs w:val="20"/>
                <w:color w:val="auto"/>
              </w:rPr>
            </w:pPr>
            <w:r>
              <w:rPr>
                <w:rFonts w:ascii="Arial" w:cs="Arial" w:eastAsia="Arial" w:hAnsi="Arial"/>
                <w:sz w:val="18"/>
                <w:szCs w:val="18"/>
                <w:b w:val="1"/>
                <w:bCs w:val="1"/>
                <w:color w:val="auto"/>
                <w:w w:val="86"/>
              </w:rPr>
              <w:t>Finance Leases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maturities, due beyond one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Rental expense for short term leases with a term less than one year for the year ended December 31, 2019, amounted to $10.6. The Company has variable lease payments that do not depend on a rate or index, primarily for purchase volume commitments, which are recorded as variable cost when incurred. Total variable payments for the year ended December 31, 2019, were $20.8. As of December 31, 2019, the Company has entered into approximately 3 additional</w:t>
      </w:r>
    </w:p>
    <w:p>
      <w:pPr>
        <w:sectPr>
          <w:pgSz w:w="11900" w:h="16838" w:orient="portrait"/>
          <w:cols w:equalWidth="0" w:num="1">
            <w:col w:w="11420"/>
          </w:cols>
          <w:pgMar w:left="240" w:top="125" w:right="239" w:bottom="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operating leases, for patient service centers, that have not yet commenced and are not significant to the overall lease portfolio. These operating leases will commence in 2020 with lease terms ranging from 5 to 9 years.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leases various facilities and equipment under non-cancelable lease arrangements. Future minimum rental commitments for leases with non-cancelable terms of one year or more at December 31, 2018 under Accounting Standard Codification 840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ind w:right="450"/>
              <w:spacing w:after="0"/>
              <w:rPr>
                <w:sz w:val="20"/>
                <w:szCs w:val="20"/>
                <w:color w:val="auto"/>
              </w:rPr>
            </w:pPr>
            <w:r>
              <w:rPr>
                <w:rFonts w:ascii="Arial" w:cs="Arial" w:eastAsia="Arial" w:hAnsi="Arial"/>
                <w:sz w:val="18"/>
                <w:szCs w:val="18"/>
                <w:b w:val="1"/>
                <w:bCs w:val="1"/>
                <w:color w:val="auto"/>
                <w:w w:val="93"/>
              </w:rPr>
              <w:t>Operating Leases</w:t>
            </w: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rPr>
              <w:t>Finance Leases</w:t>
            </w:r>
          </w:p>
        </w:tc>
      </w:tr>
      <w:tr>
        <w:trPr>
          <w:trHeight w:val="34"/>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191.1</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145.4</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107.0</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80.9</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61.5</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155.6</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23.1</w:t>
            </w:r>
          </w:p>
        </w:tc>
      </w:tr>
    </w:tbl>
    <w:p>
      <w:pPr>
        <w:spacing w:after="0" w:line="28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Rental expense, which includes rent for real estate, equipment and automobiles under operating leases,under ASC 842 amounted to $393.1 for the year ended December 31, 2019. Rent expense, which includes rent for real estate, equipment and automobiles under operating leases under ASC 840 amounted to $358.7 and $313.8 for the years ended December 31, 2018 and 2017,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December 31, 2019, the Company had investments in the following unconsolidated joint venture partnerships and equity method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Locations</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Investment</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42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806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Joint Venture Partnerships: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40" w:type="dxa"/>
            <w:vAlign w:val="bottom"/>
          </w:tcPr>
          <w:p>
            <w:pPr>
              <w:spacing w:after="0"/>
              <w:rPr>
                <w:sz w:val="21"/>
                <w:szCs w:val="21"/>
                <w:color w:val="auto"/>
              </w:rPr>
            </w:pPr>
          </w:p>
        </w:tc>
        <w:tc>
          <w:tcPr>
            <w:tcW w:w="802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Buffalo, New York</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r>
      <w:tr>
        <w:trPr>
          <w:trHeight w:val="203"/>
        </w:trPr>
        <w:tc>
          <w:tcPr>
            <w:tcW w:w="806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Various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various</w:t>
            </w: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joint venture partnerships are governed by agreements that mandate unanimous agreement between partners on all major business decisions as well as providing other participating rights to each partner. The equity method investments represent the Company’s purchase of ownership interests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77"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The Company’s investment in one of its Alberta joint venture partnerships at December 31, 2019, includes $34.0 of value assigned to that partnership’s Canadian license to conduct diagnostic testing services in the province. Substantially all of the joint venture's revenue is received as reimbursement from the Alberta government's healthcare programs (AHS).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the joint venture.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to the partnership when the transfer is effective, subject to a working capital adjustment. The Company is amortizing the value of the partnership's Canadian license to its residual value over the remaining term of the agreement. In December 2019, AHS issued a Request for Expression of Interest, that seeks to gauge market interest from private third parties for the provision of community lab services in Alberta. The Canadian partnership submitted a response indicating its interest in providing lab services.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7. ACCOUNTS RECEIVABLE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LCD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CDD accounts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690.3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CDD allowance for doubtful accounts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714.6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ROU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w:t>
            </w: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$321.5, $311.5 and $306.8 for 2019, 2018 and 2017, respectively, including software depreciation of $90.4, $92.7, and $85.6 for 2019, 2018 and 2017,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in the carrying amount of goodwill (net of accumulated amortization) for the years ended December 31, 2019 and 2018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LCD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3"/>
                <w:szCs w:val="13"/>
                <w:color w:val="auto"/>
              </w:rPr>
            </w:pPr>
          </w:p>
        </w:tc>
        <w:tc>
          <w:tcPr>
            <w:tcW w:w="1080" w:type="dxa"/>
            <w:vAlign w:val="bottom"/>
            <w:gridSpan w:val="2"/>
          </w:tcPr>
          <w:p>
            <w:pPr>
              <w:spacing w:after="0" w:line="157"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3"/>
                <w:szCs w:val="13"/>
                <w:color w:val="auto"/>
              </w:rPr>
            </w:pPr>
          </w:p>
        </w:tc>
        <w:tc>
          <w:tcPr>
            <w:tcW w:w="980" w:type="dxa"/>
            <w:vAlign w:val="bottom"/>
          </w:tcPr>
          <w:p>
            <w:pPr>
              <w:jc w:val="right"/>
              <w:ind w:right="75"/>
              <w:spacing w:after="0" w:line="157"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201"/>
        </w:trPr>
        <w:tc>
          <w:tcPr>
            <w:tcW w:w="40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3,638.8</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9"/>
              </w:rPr>
              <w:t>Foreign currency impact and other adjustments to</w:t>
            </w:r>
          </w:p>
        </w:tc>
        <w:tc>
          <w:tcPr>
            <w:tcW w:w="1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3,721.5</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7,360.3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31, 2019</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 2018</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Net</w:t>
            </w: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Amount</w:t>
            </w:r>
          </w:p>
        </w:tc>
      </w:tr>
      <w:tr>
        <w:trPr>
          <w:trHeight w:val="34"/>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Patents, licenses and technology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236.1</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214.9</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457.6</w:t>
            </w: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5,885.6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amortizable intangible assets acquired during 2019, and their respective weighted average amortization periods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w:t>
            </w: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Amortization of intangible assets, including amortization of the Canadian license recorded in other assets, was $243.2, $231.7 and $216.5 in 2019, 2018 and 2017, respectively. The Company recorded purchase accounting adjustments and impairment losses through amortization expense of $0.4, $4.5, and $3.0 in 2019, 2018 and 2017, respectively. Amortization expense of intangible assets is estimated to be $243.2 in fiscal 2020, $234.0 in fiscal 2021, $228.0 in</w:t>
      </w: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fiscal 2022, $224.8 in fiscal 2023, $219.6 in fiscal 2024, and $2,315.7 thereafter.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340" w:type="dxa"/>
            <w:vAlign w:val="bottom"/>
          </w:tcPr>
          <w:p>
            <w:pPr>
              <w:spacing w:after="0"/>
              <w:rPr>
                <w:sz w:val="20"/>
                <w:szCs w:val="20"/>
                <w:color w:val="auto"/>
              </w:rPr>
            </w:pPr>
            <w:r>
              <w:rPr>
                <w:rFonts w:ascii="Arial" w:cs="Arial" w:eastAsia="Arial" w:hAnsi="Arial"/>
                <w:sz w:val="18"/>
                <w:szCs w:val="18"/>
                <w:b w:val="1"/>
                <w:bCs w:val="1"/>
                <w:color w:val="auto"/>
              </w:rPr>
              <w:t>10. ACCRUED EXPENSES AND OTHER</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taxes payable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11. OTHER LIABILITIES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Defined-benefit plan obligation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obligation</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12. DEBT</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40" w:type="dxa"/>
            <w:vAlign w:val="bottom"/>
            <w:gridSpan w:val="4"/>
          </w:tcPr>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2019, and 2018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note payable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60"/>
              <w:spacing w:after="0"/>
              <w:rPr>
                <w:sz w:val="20"/>
                <w:szCs w:val="20"/>
                <w:color w:val="auto"/>
              </w:rPr>
            </w:pPr>
            <w:r>
              <w:rPr>
                <w:rFonts w:ascii="Arial" w:cs="Arial" w:eastAsia="Arial" w:hAnsi="Arial"/>
                <w:sz w:val="18"/>
                <w:szCs w:val="18"/>
                <w:color w:val="auto"/>
              </w:rPr>
              <w:t>Long-term debt at December 31, 2019, and 2018 consisted of the following:</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4.625% senior notes due 2020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2.625% senior notes due 2020</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senior 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3.20% senior notes due 2022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senior notes due 2023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3.25% senior notes due 2024</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3.60% senior notes due 2027</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4.70% senior notes due 2045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2.30% senior notes due 2024</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2.95% senior notes due 2029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2019 term loan</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term loan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payable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5,789.8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5,990.9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June 3, 2019, the Company entered into a new $850.0 term loan (the 2019 Term Loan). The 2019 Term Loan will mature</w:t>
      </w:r>
    </w:p>
    <w:p>
      <w:pPr>
        <w:sectPr>
          <w:pgSz w:w="11900" w:h="16838" w:orient="portrait"/>
          <w:cols w:equalWidth="0" w:num="1">
            <w:col w:w="11420"/>
          </w:cols>
          <w:pgMar w:left="240" w:top="125" w:right="239" w:bottom="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9019"/>
          </w:cols>
          <w:pgMar w:left="1440" w:top="341" w:right="1440"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2021. Proceeds of the 2019 Term Loan were used to repay approximately $250.0 of the 2017 Term Loan and to fund the acquisition of Envigo's nonclinical research services business.</w:t>
      </w:r>
    </w:p>
    <w:p>
      <w:pPr>
        <w:spacing w:after="0" w:line="7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2019 Term Loan accrues interest at a per annum rate equal to, at the Company's election, either a LIBOR rate plus a margin ranging from 0.55% to 1.175%, or a base rate determined according to a prime rate or federal funds rate plus a margin ranging from 0.0% to 0.175%. As of December 31, 2019, the effective interest rate on the 2019 Term Loan was 2.59%.</w:t>
      </w:r>
    </w:p>
    <w:p>
      <w:pPr>
        <w:spacing w:after="0" w:line="8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September 15, 2017, the Company entered into a new $750.0 term loan (the 2017 Term Loan). The 2017 Term Loan accrued interest at a per annum rate equal to, at the Company's election, either a LIBOR rate plus a margin ranging from 0.875% to 1.50%, or a base rate determined according to a prime rate or federal funds rate plus a margin ranging from 0.0% to 0.50%. The 2017 Term Loan was fully repaid in 2019.</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also maintains a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0.25%.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2019, or December 31, 2018. As of December 31, 2019, the effective interest rate on the revolving credit facility was 2.74%. The credit facility expires on September 15, 2022.</w:t>
      </w:r>
    </w:p>
    <w:p>
      <w:pPr>
        <w:spacing w:after="0" w:line="20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Under the Company's term loan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2019, and December 31, 2018.</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Company’s availability of $923.7 at December 31, 2019, under its revolving credit facility is reduced by the amount of the Company's outstanding letters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2019 and 2018, the Company settled notices to convert $8.6 and $0.3 aggregate principal amount at maturity of its zero-coupon subordinated notes with a conversion value of $16.6 and $0.7, respectively. The total cash used for these settlements was $8.2 and $0.3 and the Company also issued 0.1 and 0.0 additional shares of common stock, respectively. As a result of these conversions in 2019 and 2018, the Company also reversed approximately $2.0 and $0.2, respectively, of deferred tax liability to reflect the tax benefit realized upon issuance of the shares. On December 19, 2019, the Company redeemed all remaining outstanding zero-coupon notes that did not convert. The Company had $8.6 aggregate principal amount at maturity of zero-coupon convertible subordinated notes due 2021 outstanding at December 31,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25, 2019, the Company issued $1,050.0 in debt securities, consisting of $400.0 aggregate principal amount of 2.300% Senior Notes due 2024 and $650.0 aggregate principal amount of 2.950% Senior Notes due 2029. The net proceeds from the new Senior Notes were used to redeem of all of the outstanding $500.0 principal amount of its 2.625% Senior Notes due February 1, 2020, redeem $187.9 of the outstanding 4.625% Senior Notes due November 15, 2020 in a tender offer, and to repay $348.3 outstanding under the Company's term loan credit facilities. The Company recorded a loss of $4.0 on the extinguishment of the 2.625% Senior Notes and part of the outstanding 4.625% Senior Notes.</w:t>
      </w:r>
    </w:p>
    <w:p>
      <w:pPr>
        <w:spacing w:after="0" w:line="20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During the first quarter of 2018, the Company entered into six U.S. dollar (USD) to Swiss Franc cross-currency swap agreements with an aggregate notional value of $600.0 and which were accounted for as a hedge against its net investment in a Swiss subsidiary. Of the notional value, $300.0 was due to mature in 2022 and $300.0 was due to mature in 2025. These cross currency swaps maturing in 2022 and 2025 were settled on December 10, 2018 in cash.</w:t>
      </w:r>
    </w:p>
    <w:p>
      <w:pPr>
        <w:spacing w:after="0" w:line="10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During the fourth quarter of 2018, the Company entered into six new USD to Swiss Franc cross-currency swap agreements with an aggregate notional value of $600.0 and which are accounted for as a hedge against its net investment in a Swiss subsidiary. Of the notional value, $300.0 matures in 2022 and $300.0 matures in 2025. These cross currency swaps maturing in 2022 and 2025 are included in other long-term assets with an aggregate fair value of $0.2 and $3.0, respectively, as of December 31, 2019. Changes in the fair value of the cross-currency swaps are charged or credited through accumulated other comprehensive income in the Consolidated Balance Sheet until the hedged item is recognized in earnings.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280"/>
              <w:spacing w:after="0"/>
              <w:rPr>
                <w:sz w:val="20"/>
                <w:szCs w:val="20"/>
                <w:color w:val="auto"/>
              </w:rPr>
            </w:pPr>
            <w:r>
              <w:rPr>
                <w:rFonts w:ascii="Arial" w:cs="Arial" w:eastAsia="Arial" w:hAnsi="Arial"/>
                <w:sz w:val="18"/>
                <w:szCs w:val="18"/>
                <w:color w:val="auto"/>
              </w:rPr>
              <w:t>The scheduled payments of long-term debt at the end of 2019 are summarized as follows:</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415.9</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3,157.0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Total scheduled payments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6,247.9</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total debt issuance costs</w:t>
            </w:r>
          </w:p>
        </w:tc>
        <w:tc>
          <w:tcPr>
            <w:tcW w:w="6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6,205.0</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6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r>
      <w:tr>
        <w:trPr>
          <w:trHeight w:val="264"/>
        </w:trPr>
        <w:tc>
          <w:tcPr>
            <w:tcW w:w="9600" w:type="dxa"/>
            <w:vAlign w:val="bottom"/>
          </w:tcPr>
          <w:p>
            <w:pPr>
              <w:ind w:left="40"/>
              <w:spacing w:after="0"/>
              <w:rPr>
                <w:sz w:val="20"/>
                <w:szCs w:val="20"/>
                <w:color w:val="auto"/>
              </w:rPr>
            </w:pPr>
            <w:r>
              <w:rPr>
                <w:rFonts w:ascii="Arial" w:cs="Arial" w:eastAsia="Arial" w:hAnsi="Arial"/>
                <w:sz w:val="18"/>
                <w:szCs w:val="18"/>
                <w:color w:val="auto"/>
              </w:rPr>
              <w:t>Long-term debt, due beyond one year</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5,789.8</w:t>
            </w:r>
          </w:p>
        </w:tc>
      </w:tr>
      <w:tr>
        <w:trPr>
          <w:trHeight w:val="20"/>
        </w:trPr>
        <w:tc>
          <w:tcPr>
            <w:tcW w:w="9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 AND COMMON SHAREHOLDERS’ EQUITY</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265.0 shares of common stock, par value $0.10 per share. Common shares issued and outstanding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2018</w:t>
            </w:r>
          </w:p>
        </w:tc>
      </w:tr>
      <w:tr>
        <w:trPr>
          <w:trHeight w:val="34"/>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9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treasury</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57"/>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97.2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30.0 shares of preferred stock, par value $0.10 per share. There were no preferred shares outstanding as of December 31, 2019 and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Common Shares Issued</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Retirement of treasury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at December 31</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of treasury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Common shares held in treasury at December 31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treasury shares are recorded at aggregate cost. During 2019, the board of directors approved the retirement of all current treasury shares and future shares received in settlement of tax liabilities related to restricted stock vesting.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February 6, 2019, the board of directors replaced the Company’s existing share repurchase plan with a new plan authorizing repurchase of up to $1,250.0 of the Company’s shares. The repurchase authorization has no expiration date. During 2019, the Company purchased 2.9 shares of its common stock at an average price of $154.94 for a total cost of $450.0, of which $100.0 was repurchased prior to the new plan in February 2019. At the end of 2019, the Company had outstanding authorization from its board of directors to purchase $900.0 of Company common stock. When the Company repurchases shares for retirement, the amount paid to repurchase the shares in excess of the par or stated value is allocated to additional paid-in capital unless subject to limitation or the balance in additional paid-in-capital is exhausted. Remaining amounts are recognized as a reduction in retained earnings.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6860" w:type="dxa"/>
            <w:vAlign w:val="bottom"/>
          </w:tcPr>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Foreign</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c>
          <w:tcPr>
            <w:tcW w:w="180" w:type="dxa"/>
            <w:vAlign w:val="bottom"/>
          </w:tcPr>
          <w:p>
            <w:pPr>
              <w:spacing w:after="0"/>
              <w:rPr>
                <w:sz w:val="24"/>
                <w:szCs w:val="24"/>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r>
      <w:tr>
        <w:trPr>
          <w:trHeight w:val="216"/>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Currency</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Benefit</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r>
      <w:tr>
        <w:trPr>
          <w:trHeight w:val="216"/>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Translation</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Comprehensive</w:t>
            </w:r>
          </w:p>
        </w:tc>
      </w:tr>
      <w:tr>
        <w:trPr>
          <w:trHeight w:val="230"/>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Adjustments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0"/>
              </w:rPr>
              <w:t>Earnings</w:t>
            </w:r>
          </w:p>
        </w:tc>
      </w:tr>
      <w:tr>
        <w:trPr>
          <w:trHeight w:val="34"/>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37"/>
        </w:trPr>
        <w:tc>
          <w:tcPr>
            <w:tcW w:w="686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Amounts reclassified from accumulated other comprehensive income for settlement charge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 xml:space="preserve">Amounts reclassified from accumulated other comprehensive income </w:t>
            </w:r>
            <w:r>
              <w:rPr>
                <w:rFonts w:ascii="Arial" w:cs="Arial" w:eastAsia="Arial" w:hAnsi="Arial"/>
                <w:sz w:val="18"/>
                <w:szCs w:val="18"/>
                <w:i w:val="1"/>
                <w:iCs w:val="1"/>
                <w:color w:val="auto"/>
              </w:rPr>
              <w:t>(a)</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effect of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(463.1)</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 xml:space="preserve">Amounts reclassified from accumulated other comprehensive income </w:t>
            </w:r>
            <w:r>
              <w:rPr>
                <w:rFonts w:ascii="Arial" w:cs="Arial" w:eastAsia="Arial" w:hAnsi="Arial"/>
                <w:sz w:val="18"/>
                <w:szCs w:val="18"/>
                <w:i w:val="1"/>
                <w:iCs w:val="1"/>
                <w:color w:val="auto"/>
              </w:rPr>
              <w:t>(a)</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 of adjustments</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4"/>
        </w:trPr>
        <w:tc>
          <w:tcPr>
            <w:tcW w:w="68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firstLine="8"/>
        <w:spacing w:after="0" w:line="293" w:lineRule="auto"/>
        <w:tabs>
          <w:tab w:leader="none" w:pos="204" w:val="left"/>
        </w:tabs>
        <w:numPr>
          <w:ilvl w:val="0"/>
          <w:numId w:val="32"/>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17 Pension and Postretirement Plans for additional information regarding the Company's net periodic benefit cost.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3"/>
              </w:rPr>
              <w:t>The sources of income before taxes, classified between domestic and foreign entities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838.8</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1,077.5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A net benefit of $1.6, $10.2 and $16.9 in excess stock-based compensation was recorded directly to income tax expense in the years ended December 31, 2019, 2018 and 2017 respectively. The gross benefit was reduced by the Internal Revenue Code Section 162(m) disallowance for non-deductible stock compensation of $30.0, $5.9 and $2.0 for the years ended December 31, 2019, 2018, and 2017, respectively. The 2019 Section 162(m) disallowance includes the accelerated expensing of stock-based compensation for executive retirement.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5" w:right="239" w:bottom="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3260" w:type="dxa"/>
            <w:vAlign w:val="bottom"/>
            <w:gridSpan w:val="5"/>
          </w:tcPr>
          <w:p>
            <w:pPr>
              <w:ind w:left="1160"/>
              <w:spacing w:after="0"/>
              <w:rPr>
                <w:sz w:val="20"/>
                <w:szCs w:val="20"/>
                <w:color w:val="auto"/>
              </w:rPr>
            </w:pPr>
            <w:r>
              <w:rPr>
                <w:rFonts w:ascii="Arial" w:cs="Arial" w:eastAsia="Arial" w:hAnsi="Arial"/>
                <w:sz w:val="18"/>
                <w:szCs w:val="18"/>
                <w:color w:val="auto"/>
                <w:w w:val="93"/>
              </w:rPr>
              <w:t>Years Ended December 31,</w:t>
            </w:r>
          </w:p>
        </w:tc>
        <w:tc>
          <w:tcPr>
            <w:tcW w:w="980" w:type="dxa"/>
            <w:vAlign w:val="bottom"/>
          </w:tcPr>
          <w:p>
            <w:pPr>
              <w:spacing w:after="0"/>
              <w:rPr>
                <w:sz w:val="20"/>
                <w:szCs w:val="20"/>
                <w:color w:val="auto"/>
              </w:rPr>
            </w:pPr>
          </w:p>
        </w:tc>
      </w:tr>
      <w:tr>
        <w:trPr>
          <w:trHeight w:val="34"/>
        </w:trPr>
        <w:tc>
          <w:tcPr>
            <w:tcW w:w="7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12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7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State and local income taxes, net of U.S. Federal income tax effect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taxed at lower rates than the statutory U.S. rate</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Restructuring and acquisition items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Re-measurement of deferred taxes</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(36.9)</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on unremitted foreign earnings</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Repatriation tax</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8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r>
      <w:tr>
        <w:trPr>
          <w:trHeight w:val="25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December 2017, the U.S. enacted the Tax Cuts and Jobs Act (TCJA), which made widespread changes to the Internal Revenue Code. The TCJA, among other things, reduced the U.S. federal corporate tax rate from 35.0% to 21.0% beginning January 1, 2018, requires companies to pay a repatriation tax on earnings of certain foreign subsidiaries that were previously not subject to U.S. tax, and created new income taxes on certain foreign sourced earnings. Also on December 22, 2017, the U.S. Securities and Exchange Commission (SEC) issued Staff Accounting Bulletin No. 118 (SAB 118), which provided companies with additional guidance on how to account for the TCJA in its financial statements, allowing companies utilize a one year measurement period. At December 31, 2017, the Company had not completed the accounting for the tax effects of enactment of the TCJA; however, a reasonable estimate on the re-measurement of the Company's existing deferred tax balances, the deferred tax revaluation for unremitted foreign earnings, and the one-time repatriation tax was made. For these items, in accordance with SAB 118, a provisional net benefit was recognized, totaling $519.0, which is included as a component of income tax expense from continuing operations. The Company continued to assess the impact of TCJA throughout the 2018 calendar year and finalized the SAB 118 provisional estimate in the fourth quarter of 2018. For 2018, the Company recorded a total tax expense of $45.0, $14.8 related to the repatriation tax and $30.1 for the remeasurement of deferred taxes. Overall a net benefit of $474.0 was recorded for TCJA tax provisions effective as of the end of 2018. </w:t>
      </w:r>
      <w:r>
        <w:rPr>
          <w:rFonts w:ascii="Arial" w:cs="Arial" w:eastAsia="Arial" w:hAnsi="Arial"/>
          <w:sz w:val="17"/>
          <w:szCs w:val="17"/>
          <w:color w:val="333333"/>
        </w:rPr>
        <w:t>As</w:t>
      </w:r>
      <w:r>
        <w:rPr>
          <w:rFonts w:ascii="Arial" w:cs="Arial" w:eastAsia="Arial" w:hAnsi="Arial"/>
          <w:sz w:val="17"/>
          <w:szCs w:val="17"/>
          <w:color w:val="auto"/>
        </w:rPr>
        <w:t xml:space="preserve"> </w:t>
      </w:r>
      <w:r>
        <w:rPr>
          <w:rFonts w:ascii="Arial" w:cs="Arial" w:eastAsia="Arial" w:hAnsi="Arial"/>
          <w:sz w:val="17"/>
          <w:szCs w:val="17"/>
          <w:color w:val="333333"/>
        </w:rPr>
        <w:t>additional regulations or guidance in relation to the TCJA are issued, the Company will analyze and record the necessary impacts during the quarter in which this occurs.</w:t>
      </w:r>
    </w:p>
    <w:p>
      <w:pPr>
        <w:spacing w:after="0" w:line="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TCJA includes provisions relating to global low-taxed intangible income (GILTI). The Company finalized its decision on accounting policy during the fourth quarter of 2018. The Company will account for GILTI as a periodic charge in the period it arises. The Company recorded $11.8 and $13.0 in 2019 and 2018 for GILTI, which is included as a component of income tax expense from continuing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gridSpan w:val="9"/>
          </w:tcPr>
          <w:p>
            <w:pPr>
              <w:ind w:left="280"/>
              <w:spacing w:after="0"/>
              <w:rPr>
                <w:sz w:val="20"/>
                <w:szCs w:val="20"/>
                <w:color w:val="auto"/>
              </w:rPr>
            </w:pPr>
            <w:r>
              <w:rPr>
                <w:rFonts w:ascii="Arial" w:cs="Arial" w:eastAsia="Arial" w:hAnsi="Arial"/>
                <w:sz w:val="18"/>
                <w:szCs w:val="18"/>
                <w:color w:val="auto"/>
                <w:w w:val="91"/>
              </w:rPr>
              <w:t>The tax effects of temporary differences that give rise to significant portions of the deferred tax assets and deferred tax liabilities are as follows: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31, 2019</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Tax loss carryforwards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5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5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447.9</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 of use asset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1"/>
        </w:trPr>
        <w:tc>
          <w:tcPr>
            <w:tcW w:w="6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gross deferred tax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(1,106.0)</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60"/>
              <w:spacing w:after="0"/>
              <w:rPr>
                <w:sz w:val="20"/>
                <w:szCs w:val="20"/>
                <w:color w:val="auto"/>
              </w:rPr>
            </w:pPr>
            <w:r>
              <w:rPr>
                <w:rFonts w:ascii="Arial" w:cs="Arial" w:eastAsia="Arial" w:hAnsi="Arial"/>
                <w:sz w:val="18"/>
                <w:szCs w:val="18"/>
                <w:color w:val="auto"/>
              </w:rPr>
              <w:t>The table below provides a rollforward of the valuation allowance.</w:t>
            </w: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auto"/>
                <w:w w:val="96"/>
              </w:rPr>
              <w:t>December 31, 2019</w:t>
            </w:r>
          </w:p>
        </w:tc>
        <w:tc>
          <w:tcPr>
            <w:tcW w:w="2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charged to expense</w:t>
            </w:r>
          </w:p>
        </w:tc>
        <w:tc>
          <w:tcPr>
            <w:tcW w:w="5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and other adjustments</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The Company has U.S. federal tax loss carryforwards of approximately $209.5, which expire periodically through 2036, as well as post 2017 carryovers of $6.1 that are limited to 80% of taxable income and have an indefinite carryover. The utilization of tax loss carryforwards is limited due to change of ownership rules; however, at this time, the Company expects to fully utilize substantially all U.S. federal tax loss carryforwards with the exception of approximately $3.9 for which a full valuation allowance has been provided. The Company has U.S. state tax loss carryforwards of $594.1, which also expire periodically through 2038, and on which a valuation allowance of $311.4 has been provided. In addition to federal and state tax loss carryforwards, the Company has other federal and state attribute carryforwards of $252.5. These attribute carryforwards have indefinite lives and a valuation allowance of $209.6. The Company has foreign tax loss carryforwards of $116.9 which have an indefinite life and on which a valuation allowance of $26.7 has been provided, as well as foreign tax loss carryforwards of $443.8 which expire in 2034 that have a full valuation allowance. In addition to the foreign net operating losses, the Company has a foreign capital loss carryforward of $6.9. The foreign capital loss carryforward has an indefinite life and has a full valuation allowance.</w:t>
      </w:r>
    </w:p>
    <w:p>
      <w:pPr>
        <w:spacing w:after="0" w:line="22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valuation allowance decreased from $156.9 in 2018 to $145.4 in 2019 primarily due to issuance of final guidance for tax laws affecting anticipated utilization of state NOLs.</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Unrecognized income tax benefits were $31.7 and $18.0 at December 31, 2019, and 2018,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20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$5.5 and $8.7 as of December 31, 2019, and 2018, respectively. During the years ended December 31, 2019, 2018 and 2017, the Company recognized $2.0, $1.8 and $2.3, respectively, in interest and penalties expense, which was offset by a benefit from reversing previous accruals for interest and penalties of $5.8, $0.5 and $4.3, respectively. During 2019, the Company paid interest of $0.2, and $0.8 was added to the accrued interest from the opening balance sheet of an acquisition.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951"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2019, 2018 and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 from an acquisition's opening balance sheet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reserve as a result of payments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64"/>
        </w:trPr>
        <w:tc>
          <w:tcPr>
            <w:tcW w:w="74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31.7</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2019, and 2018, $31.7 and $18.0, respectively, are the approximate amounts of unrecognized income tax benefits that, if recognized, would favorably affect the effective income tax rate in any future periods.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2015. Substantially all material state and local and foreign income tax matters have been concluded through 2013 and 2010, respectively.</w:t>
      </w:r>
    </w:p>
    <w:p>
      <w:pPr>
        <w:spacing w:after="0" w:line="19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Internal Revenue Service concluded the examination of Covance Inc.'s 2013 federal consolidated income tax return in the third quarter of 2018. There were no material changes as a result of the audit. The Company is appealing a Canada Revenue Agency assessment related to the 2014 income tax return. The Company believes adequate reserves have been established for the assessment. The Company has various state and foreign income tax examinations ongoing throughout the year. The Company believes adequate provisions have been recorded related to all open tax years.</w:t>
      </w:r>
    </w:p>
    <w:p>
      <w:pPr>
        <w:spacing w:after="0" w:line="19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As a result of the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applicable withholding taxes as appropriate. The Company has unremitted earnings and profits of $601.4 and $490.1 that are permanently reinvested in its foreign subsidiaries as of December 31, 2019, and 2018,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66" w:lineRule="exact"/>
        <w:rPr>
          <w:sz w:val="20"/>
          <w:szCs w:val="20"/>
          <w:color w:val="auto"/>
        </w:rPr>
      </w:pPr>
    </w:p>
    <w:p>
      <w:pPr>
        <w:ind w:right="8320" w:firstLine="8"/>
        <w:spacing w:after="0" w:line="423" w:lineRule="auto"/>
        <w:tabs>
          <w:tab w:leader="none" w:pos="31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71"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There are currently 9.8 shares authorized for issuance under the Laboratory Corporation of America Holdings 2016 Omnibus Incentive Plan (the Plan), and at December 31, 2019 there were 6.3 additional shares available for grant under the Plan. The Plan was approved by shareholders at the 2016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r>
      <w:tr>
        <w:trPr>
          <w:trHeight w:val="230"/>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per Option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125.26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2019</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2019 and the exercise price, multiplied by the number of in-the-money options) that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383"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would have been received by the option holders had all option holders exercised their options on December 31, 2019. The amount of intrinsic value will change based on the fair market value of the Company’s stock.</w:t>
      </w:r>
    </w:p>
    <w:p>
      <w:pPr>
        <w:spacing w:after="0" w:line="19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2019, 2018, and 2017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benefits realized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24.5</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44.1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0"/>
              </w:rPr>
              <w:t>2019 Grant Dates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3"/>
              </w:rPr>
              <w:t>November 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November 1</w:t>
            </w:r>
          </w:p>
        </w:tc>
        <w:tc>
          <w:tcPr>
            <w:tcW w:w="14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February 12</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34"/>
        </w:trPr>
        <w:tc>
          <w:tcPr>
            <w:tcW w:w="6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Fair value per option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39.85</w:t>
            </w:r>
          </w:p>
        </w:tc>
        <w:tc>
          <w:tcPr>
            <w:tcW w:w="1320" w:type="dxa"/>
            <w:vAlign w:val="bottom"/>
          </w:tcPr>
          <w:p>
            <w:pPr>
              <w:jc w:val="right"/>
              <w:spacing w:after="0"/>
              <w:rPr>
                <w:sz w:val="20"/>
                <w:szCs w:val="20"/>
                <w:color w:val="auto"/>
              </w:rPr>
            </w:pPr>
            <w:r>
              <w:rPr>
                <w:rFonts w:ascii="Arial" w:cs="Arial" w:eastAsia="Arial" w:hAnsi="Arial"/>
                <w:sz w:val="18"/>
                <w:szCs w:val="18"/>
                <w:color w:val="auto"/>
              </w:rPr>
              <w:t>$30.39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44.37</w:t>
            </w: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assumptions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Weighted average expected life (in years)</w:t>
            </w:r>
          </w:p>
        </w:tc>
        <w:tc>
          <w:tcPr>
            <w:tcW w:w="1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6.0</w:t>
            </w: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6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2019, 2018 and 2017, expense related to the Company’s stock option plan totaled $5.9, $3.5 and $0.9, respectively, and is included in selling, general and administrative expenses. The Company did not grant any options to employees during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252"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 third increments beginning on the first anniversary of the grant. A performance share grant in 2017 represents a three-year award opportunity for the period 2017-2019, and if earned, vests fully (to the extent earned) in the first quarter of 2020. A performance share grant in 2018 represents a three-year award opportunity for the period of 2018-2020 and, if earned, vests fully (to the extent earned) in the first quarter of 2021. A performance share grant in 2019 represents a three-year award opportunity for the period of 2019-2021 and, if earned, vests fully (to the extent earned) in the first quarter of 2022.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2019, 2018 and 2017, total restricted stock, restricted stock unit and performance share compensation expense was $91.2, $80.1 and $100.8, respectively, and is included in selling, general and administrative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The following table shows a summary of non-vested shares for the year ended December 31, 2019:</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2019</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150.29</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120.22</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153.10</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152.70</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22"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25" w:right="239" w:bottom="1122"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December 31, 2019, there was $112.2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2.2 years and will be included in selling, general and administrative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Under the 2016 Employee Stock Purchase Plan, the Company is authorized to issue 1.8 shares of common stock. The plan permits substantially all employees to purchase a limited number of shares of Company stock at 85% of market value. The Company issues shares to participating employees semi-annually in January and July of each year. Approximately 0.2 shares were purchased by eligible employees in each of 2019, 2018 and 2017, respectively, under either the 2016 Employee Stock Purchase Plan or the prior plan, which began in 1997 and was amended in 1999, 2004, 2008 and 2012. For 2019, 2018 and 2017, expense related to the Company’s employee stock purchase plan was $9.9, $8.0 and $8.0, respectively.</w:t>
      </w:r>
    </w:p>
    <w:p>
      <w:pPr>
        <w:spacing w:after="0" w:line="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31.54</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56"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21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20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2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8"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the Amended Complaint under seal. The Company will vigorously defend the lawsuit.</w:t>
      </w:r>
    </w:p>
    <w:p>
      <w:pPr>
        <w:spacing w:after="0" w:line="20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is cooperating with this request.</w:t>
      </w:r>
    </w:p>
    <w:p>
      <w:pPr>
        <w:spacing w:after="0" w:line="22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August 31, 2015, the Company was served with a putative class action lawsuit, </w:t>
      </w:r>
      <w:r>
        <w:rPr>
          <w:rFonts w:ascii="Arial" w:cs="Arial" w:eastAsia="Arial" w:hAnsi="Arial"/>
          <w:sz w:val="17"/>
          <w:szCs w:val="17"/>
          <w:i w:val="1"/>
          <w:iCs w:val="1"/>
          <w:color w:val="auto"/>
        </w:rPr>
        <w:t>Patty Davis v. Laboratory Corporation of America, et al.,</w:t>
      </w:r>
      <w:r>
        <w:rPr>
          <w:rFonts w:ascii="Arial" w:cs="Arial" w:eastAsia="Arial" w:hAnsi="Arial"/>
          <w:sz w:val="17"/>
          <w:szCs w:val="17"/>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Court of Appeal reversed the Circuit Court's dismissal, but certified a controlling issue of Florida law to the Florida Supreme Court. On February 17, 2020, the Florida Supreme Court accepted jurisdiction of the lawsuit. The Company will vigorously defend the lawsuit.</w:t>
      </w:r>
    </w:p>
    <w:p>
      <w:pPr>
        <w:spacing w:after="0" w:line="20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7"/>
          <w:szCs w:val="17"/>
          <w:i w:val="1"/>
          <w:iCs w:val="1"/>
          <w:color w:val="auto"/>
        </w:rPr>
        <w:t>United</w:t>
      </w:r>
      <w:r>
        <w:rPr>
          <w:rFonts w:ascii="Arial" w:cs="Arial" w:eastAsia="Arial" w:hAnsi="Arial"/>
          <w:sz w:val="17"/>
          <w:szCs w:val="17"/>
          <w:color w:val="auto"/>
        </w:rPr>
        <w:t xml:space="preserve"> </w:t>
      </w:r>
      <w:r>
        <w:rPr>
          <w:rFonts w:ascii="Arial" w:cs="Arial" w:eastAsia="Arial" w:hAnsi="Arial"/>
          <w:sz w:val="17"/>
          <w:szCs w:val="17"/>
          <w:i w:val="1"/>
          <w:iCs w:val="1"/>
          <w:color w:val="auto"/>
        </w:rPr>
        <w:t>States of America ex rel. Scarlett Lutz, et al. v. Laboratory Corporation of America Holdings</w:t>
      </w:r>
      <w:r>
        <w:rPr>
          <w:rFonts w:ascii="Arial" w:cs="Arial" w:eastAsia="Arial" w:hAnsi="Arial"/>
          <w:sz w:val="17"/>
          <w:szCs w:val="17"/>
          <w:color w:val="auto"/>
        </w:rPr>
        <w:t>, which alleges that the Company's financial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The Company will vigorously defend the lawsuit.</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Prior to the Company's acquisition of Sequenom Inc. (Sequenom) between August 15, 2016, and August 24, 2016, six putative class-action lawsuits were filed on behalf of purported Sequenom stockholders (captioned </w:t>
      </w:r>
      <w:r>
        <w:rPr>
          <w:rFonts w:ascii="Arial" w:cs="Arial" w:eastAsia="Arial" w:hAnsi="Arial"/>
          <w:sz w:val="18"/>
          <w:szCs w:val="18"/>
          <w:i w:val="1"/>
          <w:iCs w:val="1"/>
          <w:color w:val="auto"/>
        </w:rPr>
        <w:t>Malkoff v. Sequenom, Inc., et al.</w:t>
      </w:r>
      <w:r>
        <w:rPr>
          <w:rFonts w:ascii="Arial" w:cs="Arial" w:eastAsia="Arial" w:hAnsi="Arial"/>
          <w:sz w:val="18"/>
          <w:szCs w:val="18"/>
          <w:color w:val="auto"/>
        </w:rPr>
        <w:t xml:space="preserve">, No. 16-cv-02054-JAH-BLM, </w:t>
      </w:r>
      <w:r>
        <w:rPr>
          <w:rFonts w:ascii="Arial" w:cs="Arial" w:eastAsia="Arial" w:hAnsi="Arial"/>
          <w:sz w:val="18"/>
          <w:szCs w:val="18"/>
          <w:i w:val="1"/>
          <w:iCs w:val="1"/>
          <w:color w:val="auto"/>
        </w:rPr>
        <w:t>Gupta v. Sequenom,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16-cv-02084-JAH-KSC,</w:t>
      </w:r>
      <w:r>
        <w:rPr>
          <w:rFonts w:ascii="Arial" w:cs="Arial" w:eastAsia="Arial" w:hAnsi="Arial"/>
          <w:sz w:val="18"/>
          <w:szCs w:val="18"/>
          <w:i w:val="1"/>
          <w:iCs w:val="1"/>
          <w:color w:val="auto"/>
        </w:rPr>
        <w:t xml:space="preserve"> Fruchter v. Sequenom, Inc., et al.</w:t>
      </w:r>
      <w:r>
        <w:rPr>
          <w:rFonts w:ascii="Arial" w:cs="Arial" w:eastAsia="Arial" w:hAnsi="Arial"/>
          <w:sz w:val="18"/>
          <w:szCs w:val="18"/>
          <w:color w:val="auto"/>
        </w:rPr>
        <w:t>, No. 16-</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cv-02101-WQH-KSC, </w:t>
      </w:r>
      <w:r>
        <w:rPr>
          <w:rFonts w:ascii="Arial" w:cs="Arial" w:eastAsia="Arial" w:hAnsi="Arial"/>
          <w:sz w:val="16"/>
          <w:szCs w:val="16"/>
          <w:i w:val="1"/>
          <w:iCs w:val="1"/>
          <w:color w:val="auto"/>
        </w:rPr>
        <w:t>Asiatrade Development Ltd. v. Sequenom, Inc., et al.</w:t>
      </w:r>
      <w:r>
        <w:rPr>
          <w:rFonts w:ascii="Arial" w:cs="Arial" w:eastAsia="Arial" w:hAnsi="Arial"/>
          <w:sz w:val="16"/>
          <w:szCs w:val="16"/>
          <w:color w:val="auto"/>
        </w:rPr>
        <w:t xml:space="preserve">, No. 16-cv-02113-AJB-JMA, </w:t>
      </w:r>
      <w:r>
        <w:rPr>
          <w:rFonts w:ascii="Arial" w:cs="Arial" w:eastAsia="Arial" w:hAnsi="Arial"/>
          <w:sz w:val="16"/>
          <w:szCs w:val="16"/>
          <w:i w:val="1"/>
          <w:iCs w:val="1"/>
          <w:color w:val="auto"/>
        </w:rPr>
        <w:t>Nunes v. Sequenom, Inc., et al.</w:t>
      </w:r>
      <w:r>
        <w:rPr>
          <w:rFonts w:ascii="Arial" w:cs="Arial" w:eastAsia="Arial" w:hAnsi="Arial"/>
          <w:sz w:val="16"/>
          <w:szCs w:val="16"/>
          <w:color w:val="auto"/>
        </w:rPr>
        <w:t xml:space="preserve">, No. 16-cv-02128-AJB-MDD, and </w:t>
      </w:r>
      <w:r>
        <w:rPr>
          <w:rFonts w:ascii="Arial" w:cs="Arial" w:eastAsia="Arial" w:hAnsi="Arial"/>
          <w:sz w:val="16"/>
          <w:szCs w:val="16"/>
          <w:i w:val="1"/>
          <w:iCs w:val="1"/>
          <w:color w:val="auto"/>
        </w:rPr>
        <w:t>Cusumano v. Sequenom, Inc., et al.</w:t>
      </w:r>
      <w:r>
        <w:rPr>
          <w:rFonts w:ascii="Arial" w:cs="Arial" w:eastAsia="Arial" w:hAnsi="Arial"/>
          <w:sz w:val="16"/>
          <w:szCs w:val="16"/>
          <w:color w:val="auto"/>
        </w:rPr>
        <w:t xml:space="preserve">, No. 16-cv-02134-LAB-JMA) in the U.S.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6"/>
          <w:szCs w:val="16"/>
          <w:i w:val="1"/>
          <w:iCs w:val="1"/>
          <w:color w:val="auto"/>
        </w:rPr>
        <w:t>Nunes</w:t>
      </w:r>
      <w:r>
        <w:rPr>
          <w:rFonts w:ascii="Arial" w:cs="Arial" w:eastAsia="Arial" w:hAnsi="Arial"/>
          <w:sz w:val="16"/>
          <w:szCs w:val="16"/>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w:t>
      </w:r>
      <w:r>
        <w:rPr>
          <w:rFonts w:ascii="Arial" w:cs="Arial" w:eastAsia="Arial" w:hAnsi="Arial"/>
          <w:sz w:val="16"/>
          <w:szCs w:val="16"/>
          <w:i w:val="1"/>
          <w:iCs w:val="1"/>
          <w:color w:val="auto"/>
        </w:rPr>
        <w:t>Asiatrade</w:t>
      </w:r>
      <w:r>
        <w:rPr>
          <w:rFonts w:ascii="Arial" w:cs="Arial" w:eastAsia="Arial" w:hAnsi="Arial"/>
          <w:sz w:val="16"/>
          <w:szCs w:val="16"/>
          <w:color w:val="auto"/>
        </w:rPr>
        <w:t xml:space="preserve"> action, and the </w:t>
      </w:r>
      <w:r>
        <w:rPr>
          <w:rFonts w:ascii="Arial" w:cs="Arial" w:eastAsia="Arial" w:hAnsi="Arial"/>
          <w:sz w:val="16"/>
          <w:szCs w:val="16"/>
          <w:i w:val="1"/>
          <w:iCs w:val="1"/>
          <w:color w:val="auto"/>
        </w:rPr>
        <w:t>Cusumano</w:t>
      </w:r>
      <w:r>
        <w:rPr>
          <w:rFonts w:ascii="Arial" w:cs="Arial" w:eastAsia="Arial" w:hAnsi="Arial"/>
          <w:sz w:val="16"/>
          <w:szCs w:val="16"/>
          <w:color w:val="auto"/>
        </w:rPr>
        <w:t xml:space="preserve"> action alleged that the Individual Defendants breached their fiduciary duties to Sequenom shareholders. The actions sought, among other things, injunctive relief enjoining the merger. On August 30, 2016, the parties entered into a Memorandum of Understanding (MOU) in each of the above-referenced actions. On September 6, 2016, the Court entered an order consolidating for all pre-trial purposes the six individual actions described above under the caption </w:t>
      </w:r>
      <w:r>
        <w:rPr>
          <w:rFonts w:ascii="Arial" w:cs="Arial" w:eastAsia="Arial" w:hAnsi="Arial"/>
          <w:sz w:val="16"/>
          <w:szCs w:val="16"/>
          <w:i w:val="1"/>
          <w:iCs w:val="1"/>
          <w:color w:val="auto"/>
        </w:rPr>
        <w:t>In re Sequenom, Inc. Shareholder Litig.</w:t>
      </w:r>
      <w:r>
        <w:rPr>
          <w:rFonts w:ascii="Arial" w:cs="Arial" w:eastAsia="Arial" w:hAnsi="Arial"/>
          <w:sz w:val="16"/>
          <w:szCs w:val="16"/>
          <w:color w:val="auto"/>
        </w:rPr>
        <w:t xml:space="preserve">, Lead Case No. 16-cv-02054-JAH-BLM, and designating the complaint from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parties agree that the MOU has been terminated. The Plaintiffs filed a Consolidated Amended Class Action Complaint on July 24, 2017, and the Defendants filed a Motion to Dismiss, which remains pending. On March 13, 2019, the Court stayed the action in its entirety pending the U.S. Supreme Court's anticipated decision in </w:t>
      </w:r>
      <w:r>
        <w:rPr>
          <w:rFonts w:ascii="Arial" w:cs="Arial" w:eastAsia="Arial" w:hAnsi="Arial"/>
          <w:sz w:val="16"/>
          <w:szCs w:val="16"/>
          <w:i w:val="1"/>
          <w:iCs w:val="1"/>
          <w:color w:val="auto"/>
        </w:rPr>
        <w:t>Emulex Corp. v. Varjabedian.</w:t>
      </w:r>
      <w:r>
        <w:rPr>
          <w:rFonts w:ascii="Arial" w:cs="Arial" w:eastAsia="Arial" w:hAnsi="Arial"/>
          <w:sz w:val="16"/>
          <w:szCs w:val="16"/>
          <w:color w:val="auto"/>
        </w:rPr>
        <w:t xml:space="preserve"> On April 23, 2019, however, the U.S. Supreme Court dismissed the writ of certiorari in </w:t>
      </w:r>
      <w:r>
        <w:rPr>
          <w:rFonts w:ascii="Arial" w:cs="Arial" w:eastAsia="Arial" w:hAnsi="Arial"/>
          <w:sz w:val="16"/>
          <w:szCs w:val="16"/>
          <w:i w:val="1"/>
          <w:iCs w:val="1"/>
          <w:color w:val="auto"/>
        </w:rPr>
        <w:t>Emulex</w:t>
      </w:r>
      <w:r>
        <w:rPr>
          <w:rFonts w:ascii="Arial" w:cs="Arial" w:eastAsia="Arial" w:hAnsi="Arial"/>
          <w:sz w:val="16"/>
          <w:szCs w:val="16"/>
          <w:color w:val="auto"/>
        </w:rPr>
        <w:t xml:space="preserve"> as improvidently granted. The Company will vigorously defend the lawsuit.</w:t>
      </w:r>
    </w:p>
    <w:p>
      <w:pPr>
        <w:spacing w:after="0" w:line="20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On March 10, 2017, the Company was served with a putative class action lawsuit, </w:t>
      </w:r>
      <w:r>
        <w:rPr>
          <w:rFonts w:ascii="Arial" w:cs="Arial" w:eastAsia="Arial" w:hAnsi="Arial"/>
          <w:sz w:val="17"/>
          <w:szCs w:val="17"/>
          <w:i w:val="1"/>
          <w:iCs w:val="1"/>
          <w:color w:val="auto"/>
        </w:rPr>
        <w:t>Victoria Bouffard, et al. v. Laboratory Corporation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w:t>
      </w:r>
      <w:r>
        <w:rPr>
          <w:rFonts w:ascii="Arial" w:cs="Arial" w:eastAsia="Arial" w:hAnsi="Arial"/>
          <w:sz w:val="17"/>
          <w:szCs w:val="17"/>
          <w:color w:val="auto"/>
        </w:rPr>
        <w:t>, filed in the U.S. District Court for the Middle District of North Carolina. The complaint alleges that the Company's patient list prices unlawfully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7"/>
          <w:szCs w:val="17"/>
          <w:i w:val="1"/>
          <w:iCs w:val="1"/>
          <w:color w:val="auto"/>
        </w:rPr>
        <w:t>Sheryl</w:t>
      </w:r>
      <w:r>
        <w:rPr>
          <w:rFonts w:ascii="Arial" w:cs="Arial" w:eastAsia="Arial" w:hAnsi="Arial"/>
          <w:sz w:val="17"/>
          <w:szCs w:val="17"/>
          <w:color w:val="auto"/>
        </w:rPr>
        <w:t xml:space="preserve"> </w:t>
      </w:r>
      <w:r>
        <w:rPr>
          <w:rFonts w:ascii="Arial" w:cs="Arial" w:eastAsia="Arial" w:hAnsi="Arial"/>
          <w:sz w:val="17"/>
          <w:szCs w:val="17"/>
          <w:i w:val="1"/>
          <w:iCs w:val="1"/>
          <w:color w:val="auto"/>
        </w:rPr>
        <w:t>Anderson, et al. v. Laboratory Corporation of America Holdings</w:t>
      </w:r>
      <w:r>
        <w:rPr>
          <w:rFonts w:ascii="Arial" w:cs="Arial" w:eastAsia="Arial" w:hAnsi="Arial"/>
          <w:sz w:val="17"/>
          <w:szCs w:val="17"/>
          <w:color w:val="auto"/>
        </w:rPr>
        <w:t>, was filed in the U.S. District Court for the Middle District of North Carolina. The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contained similar allegations and sought similar relief to the </w:t>
      </w:r>
      <w:r>
        <w:rPr>
          <w:rFonts w:ascii="Arial" w:cs="Arial" w:eastAsia="Arial" w:hAnsi="Arial"/>
          <w:sz w:val="17"/>
          <w:szCs w:val="17"/>
          <w:i w:val="1"/>
          <w:iCs w:val="1"/>
          <w:color w:val="auto"/>
        </w:rPr>
        <w:t>Bouffard</w:t>
      </w:r>
      <w:r>
        <w:rPr>
          <w:rFonts w:ascii="Arial" w:cs="Arial" w:eastAsia="Arial" w:hAnsi="Arial"/>
          <w:sz w:val="17"/>
          <w:szCs w:val="17"/>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7"/>
          <w:szCs w:val="17"/>
          <w:i w:val="1"/>
          <w:iCs w:val="1"/>
          <w:color w:val="auto"/>
        </w:rPr>
        <w:t>Bouffard</w:t>
      </w:r>
      <w:r>
        <w:rPr>
          <w:rFonts w:ascii="Arial" w:cs="Arial" w:eastAsia="Arial" w:hAnsi="Arial"/>
          <w:sz w:val="17"/>
          <w:szCs w:val="17"/>
          <w:color w:val="auto"/>
        </w:rPr>
        <w:t xml:space="preserve"> and </w:t>
      </w:r>
      <w:r>
        <w:rPr>
          <w:rFonts w:ascii="Arial" w:cs="Arial" w:eastAsia="Arial" w:hAnsi="Arial"/>
          <w:sz w:val="17"/>
          <w:szCs w:val="17"/>
          <w:i w:val="1"/>
          <w:iCs w:val="1"/>
          <w:color w:val="auto"/>
        </w:rPr>
        <w:t>Anderson</w:t>
      </w:r>
      <w:r>
        <w:rPr>
          <w:rFonts w:ascii="Arial" w:cs="Arial" w:eastAsia="Arial" w:hAnsi="Arial"/>
          <w:sz w:val="17"/>
          <w:szCs w:val="17"/>
          <w:color w:val="auto"/>
        </w:rPr>
        <w:t xml:space="preserve"> actions. On September 10, 2018, the Company filed a Motion to Dismiss Plaintiffs’ Amended Complaint and Strike Class Allegations. On August 16, 2019, the court entered an order granting in part and denying in part the Motion to Dismiss the Amended Complaint, and denying the Motion to Strike the Class Allegations. The Company will vigorously defend the lawsuit.</w:t>
      </w:r>
    </w:p>
    <w:p>
      <w:pPr>
        <w:spacing w:after="0" w:line="20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December 20, 2018, the Company was served with a putative class action lawsuit, </w:t>
      </w:r>
      <w:r>
        <w:rPr>
          <w:rFonts w:ascii="Arial" w:cs="Arial" w:eastAsia="Arial" w:hAnsi="Arial"/>
          <w:sz w:val="18"/>
          <w:szCs w:val="18"/>
          <w:i w:val="1"/>
          <w:iCs w:val="1"/>
          <w:color w:val="auto"/>
        </w:rPr>
        <w:t>Feckley v. Covance Inc., et al</w:t>
      </w:r>
      <w:r>
        <w:rPr>
          <w:rFonts w:ascii="Arial" w:cs="Arial" w:eastAsia="Arial" w:hAnsi="Arial"/>
          <w:sz w:val="18"/>
          <w:szCs w:val="18"/>
          <w:color w:val="auto"/>
        </w:rPr>
        <w:t>., filed in the Superior Court of California, County of Orange. The complaint alleges that Covance Inc. violated the California Labor Code and California Business &amp; Professions Code by failing to properly pay commissions to employees under a sales incentive compensation plan upon their termination of employment. The lawsuit seeks monetary damages, civil penalties, punitive damages, and recovery of attorney’s fees and costs. On January 22, 2018, the case was removed to the U.S. District Court for the Central District of California. The Company will vigorously defend the lawsuit.</w:t>
      </w:r>
    </w:p>
    <w:p>
      <w:pPr>
        <w:spacing w:after="0" w:line="21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19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 xml:space="preserve">On April 22, 2019, the Company was served with a putative class action lawsuit, </w:t>
      </w:r>
      <w:r>
        <w:rPr>
          <w:rFonts w:ascii="Arial" w:cs="Arial" w:eastAsia="Arial" w:hAnsi="Arial"/>
          <w:sz w:val="18"/>
          <w:szCs w:val="18"/>
          <w:i w:val="1"/>
          <w:iCs w:val="1"/>
          <w:color w:val="auto"/>
        </w:rPr>
        <w:t>Kawa Orthodontics LLP, et al. v. Laboratory Corporation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et al.</w:t>
      </w:r>
      <w:r>
        <w:rPr>
          <w:rFonts w:ascii="Arial" w:cs="Arial" w:eastAsia="Arial" w:hAnsi="Arial"/>
          <w:sz w:val="18"/>
          <w:szCs w:val="18"/>
          <w:color w:val="auto"/>
        </w:rPr>
        <w:t>, filed in the U.S. District Court for the Middle District of Florida. The lawsuit alleges that on or about February 6, 2019, the defendants</w:t>
      </w:r>
      <w:r>
        <w:rPr>
          <w:rFonts w:ascii="Arial" w:cs="Arial" w:eastAsia="Arial" w:hAnsi="Arial"/>
          <w:sz w:val="18"/>
          <w:szCs w:val="18"/>
          <w:i w:val="1"/>
          <w:iCs w:val="1"/>
          <w:color w:val="auto"/>
        </w:rPr>
        <w:t xml:space="preserve"> </w:t>
      </w:r>
      <w:r>
        <w:rPr>
          <w:rFonts w:ascii="Arial" w:cs="Arial" w:eastAsia="Arial" w:hAnsi="Arial"/>
          <w:sz w:val="18"/>
          <w:szCs w:val="18"/>
          <w:color w:val="auto"/>
        </w:rPr>
        <w:t>violated the U.S. Telephone Consumer Protection Act (TCPA) by sending unsolicited facsimiles to Plaintiff and at least 40 other recipients without the recipients' prior express invitation or permission. The lawsuit seeks the greater of actual damages or the sum of $0.0005 for each violation, subject to trebling under the TCPA, and injunctive relief. The Company filed a motion to dismiss the case on May 28, 2019. In response to the Motion to Dismiss, the Plaintiff filed an amended complaint, which contains additional allegations, including allegations related to another facsimile. On December 16, 2019, the Plaintiff filed a notice withdrawing its Motion for Class Certification and all class allegations in the Amended Complaint. In January 2020, the parties settled the lawsuit.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will be provided free of charge for 24 months.</w:t>
      </w:r>
    </w:p>
    <w:p>
      <w:pPr>
        <w:spacing w:after="0" w:line="20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Twenty-three putative class action lawsuits were filed against the Company related to the AMCA Incident in various U.S. District Courts. Numerous similar lawsuits have been filed against other health care providers who used AMCA. These lawsuits have been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alleges that the Company did not adequately protect its patients' data and failed to timely notify those patients of the AMCA Incident. The Complaint asserts various causes of action, including, but not limited to, negligence, breach of implied contract, unjust enrichment, and the violation of state data protection statutes. The Complaint seeks damages on behalf of a class of all affected Company customers. The Company will vigorously defend the multi-district litigation.</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Certain governmental entities have requested information from the Company related to the AMCA Incident. The Company has received requests for information from the Office of Civil Rights of the Department of Health and Human Services, and from a multi-state group of state Attorneys General. The Company is cooperating with these requests for information.</w:t>
      </w:r>
    </w:p>
    <w:p>
      <w:pPr>
        <w:spacing w:after="0" w:line="20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Three putative class-action lawsuits related to California wage and hour laws have been served on the Company. On September 21, 2018, the Company was served with a putative class action lawsuit, </w:t>
      </w:r>
      <w:r>
        <w:rPr>
          <w:rFonts w:ascii="Arial" w:cs="Arial" w:eastAsia="Arial" w:hAnsi="Arial"/>
          <w:sz w:val="18"/>
          <w:szCs w:val="18"/>
          <w:i w:val="1"/>
          <w:iCs w:val="1"/>
          <w:color w:val="auto"/>
        </w:rPr>
        <w:t>Alma Haro v. Laboratory Corporation of America, et al.</w:t>
      </w:r>
      <w:r>
        <w:rPr>
          <w:rFonts w:ascii="Arial" w:cs="Arial" w:eastAsia="Arial" w:hAnsi="Arial"/>
          <w:sz w:val="18"/>
          <w:szCs w:val="18"/>
          <w:color w:val="auto"/>
        </w:rPr>
        <w:t xml:space="preserve">, filed in the Superior Court of California, County of Los Angeles. On June 10, 2019, the Company was served with a putative class action lawsuit, </w:t>
      </w:r>
      <w:r>
        <w:rPr>
          <w:rFonts w:ascii="Arial" w:cs="Arial" w:eastAsia="Arial" w:hAnsi="Arial"/>
          <w:sz w:val="18"/>
          <w:szCs w:val="18"/>
          <w:i w:val="1"/>
          <w:iCs w:val="1"/>
          <w:color w:val="auto"/>
        </w:rPr>
        <w:t>Ignacio v. Laboratory Corporation of America</w:t>
      </w:r>
      <w:r>
        <w:rPr>
          <w:rFonts w:ascii="Arial" w:cs="Arial" w:eastAsia="Arial" w:hAnsi="Arial"/>
          <w:sz w:val="18"/>
          <w:szCs w:val="18"/>
          <w:color w:val="auto"/>
        </w:rPr>
        <w:t xml:space="preserve">, filed in Superior Court of California, County of Los Angeles. On July 1, 2019, the Company was served with a putative class action lawsuit, </w:t>
      </w:r>
      <w:r>
        <w:rPr>
          <w:rFonts w:ascii="Arial" w:cs="Arial" w:eastAsia="Arial" w:hAnsi="Arial"/>
          <w:sz w:val="18"/>
          <w:szCs w:val="18"/>
          <w:i w:val="1"/>
          <w:iCs w:val="1"/>
          <w:color w:val="auto"/>
        </w:rPr>
        <w:t>Jan v. Laboratory</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of America</w:t>
      </w:r>
      <w:r>
        <w:rPr>
          <w:rFonts w:ascii="Arial" w:cs="Arial" w:eastAsia="Arial" w:hAnsi="Arial"/>
          <w:sz w:val="18"/>
          <w:szCs w:val="18"/>
          <w:color w:val="auto"/>
        </w:rPr>
        <w:t>, filed in the Superior Court of California, County of Sacramento. All three cases were subsequently removed to the U.S.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Court for the Central District of California, and then consolidated for all pre-trial proceedings. In the lawsuits, Plaintiffs allege that employees were not properly paid overtime compensation, minimum wages, meal and rest break premiums, did not receive compliant wage statements, and were not properly paid wages upon termination of employment. The Plaintiffs assert these actions violate various California Labor Code provisions and constitute an unfair competition practice under California law. The lawsuits seek monetary damages, civil penalties, and recovery of attorney's fees and costs. The Company will vigorously defend the lawsuits.</w:t>
      </w:r>
    </w:p>
    <w:p>
      <w:pPr>
        <w:spacing w:after="0" w:line="22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 xml:space="preserve">On July 30, 2019, the Company was served with a class action lawsuit, </w:t>
      </w:r>
      <w:r>
        <w:rPr>
          <w:rFonts w:ascii="Arial" w:cs="Arial" w:eastAsia="Arial" w:hAnsi="Arial"/>
          <w:sz w:val="17"/>
          <w:szCs w:val="17"/>
          <w:i w:val="1"/>
          <w:iCs w:val="1"/>
          <w:color w:val="auto"/>
        </w:rPr>
        <w:t>Mitchell v. Covance, Inc. et al.</w:t>
      </w:r>
      <w:r>
        <w:rPr>
          <w:rFonts w:ascii="Arial" w:cs="Arial" w:eastAsia="Arial" w:hAnsi="Arial"/>
          <w:sz w:val="17"/>
          <w:szCs w:val="17"/>
          <w:color w:val="auto"/>
        </w:rPr>
        <w:t>, filed in the U.S. District Court for the Eastern District of Pennsylvania. Plaintiff alleges that certain individuals employed by Covance Inc. and Chiltern International Inc. were misclassified as exempt employees under the Fair Labor Standards Act and the Pennsylvania Minimum Wage Act and were thereby not properly paid overtime compensation. The lawsuit seeks monetary damages, liquidated damages, and recovery of attorney’s fees and costs. On February 3, 2020, the Court denied without prejudice the Plaintiff's motion to conditionally certify a class action. The Company will vigorously defend the lawsuit.</w:t>
      </w:r>
    </w:p>
    <w:p>
      <w:pPr>
        <w:spacing w:after="0" w:line="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On January 31, 2020, the Company was served with a putative class action lawsuit, </w:t>
      </w:r>
      <w:r>
        <w:rPr>
          <w:rFonts w:ascii="Arial" w:cs="Arial" w:eastAsia="Arial" w:hAnsi="Arial"/>
          <w:sz w:val="17"/>
          <w:szCs w:val="17"/>
          <w:i w:val="1"/>
          <w:iCs w:val="1"/>
          <w:color w:val="auto"/>
        </w:rPr>
        <w:t>Luke Davis and Julian Vargas, et al. v. Laboratory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America </w:t>
      </w:r>
      <w:r>
        <w:rPr>
          <w:rFonts w:ascii="Arial" w:cs="Arial" w:eastAsia="Arial" w:hAnsi="Arial"/>
          <w:sz w:val="17"/>
          <w:szCs w:val="17"/>
          <w:color w:val="auto"/>
        </w:rPr>
        <w:t>Holdings, filed in the U.S. District Court for the Central District of California. The lawsuit alleges that visually impaired patients are unable to use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touchscreen kiosks at Company patient service centers in violation of the Americans with Disabilities Act and similar California statutes. The lawsuit seeks statutory damages, injunctive relief, and attorney’s fees and costs. The Company will vigorously defend the lawsuit.</w:t>
      </w:r>
    </w:p>
    <w:p>
      <w:pPr>
        <w:spacing w:after="0" w:line="7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occurrence basis without any aggregate annual limit. Provisions for losses expected under these programs are recorded based upon the Company's estimates of the aggregated liability of claims incurred.</w:t>
      </w:r>
    </w:p>
    <w:p>
      <w:pPr>
        <w:spacing w:after="0" w:line="166" w:lineRule="exact"/>
        <w:rPr>
          <w:sz w:val="20"/>
          <w:szCs w:val="20"/>
          <w:color w:val="auto"/>
        </w:rPr>
      </w:pPr>
    </w:p>
    <w:p>
      <w:pPr>
        <w:ind w:right="7480" w:firstLine="8"/>
        <w:spacing w:after="0" w:line="423" w:lineRule="auto"/>
        <w:tabs>
          <w:tab w:leader="none" w:pos="31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Retirement Plans</w:t>
      </w:r>
    </w:p>
    <w:p>
      <w:pPr>
        <w:spacing w:after="0" w:line="7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All employees eligible for the LCD defined-contribution retirement plan (401K Plan) receive a minimum 3% non-elective contribution (NEC) concurrent with each payroll period. Employees are not required to make a contribution to the LCD 401K Plan to receive the NEC. The NEC is non-forfeitable and vests immediately. The LCD 401K Plan also permits discretionary contributions by the Company of 1% and 3% of pay for eligible employees based on service. In 2019, 2018, and 2017, non-elective and discretionary contributions were $52.3, $65.0 and $58.1, while total expense was $65.6, $63.6 and $59.1, respectively.</w:t>
      </w:r>
    </w:p>
    <w:p>
      <w:pPr>
        <w:spacing w:after="0" w:line="215" w:lineRule="exact"/>
        <w:rPr>
          <w:sz w:val="20"/>
          <w:szCs w:val="20"/>
          <w:color w:val="auto"/>
        </w:rPr>
      </w:pPr>
    </w:p>
    <w:p>
      <w:pPr>
        <w:jc w:val="both"/>
        <w:ind w:right="20" w:firstLine="270"/>
        <w:spacing w:after="0" w:line="257" w:lineRule="auto"/>
        <w:rPr>
          <w:sz w:val="20"/>
          <w:szCs w:val="20"/>
          <w:color w:val="auto"/>
        </w:rPr>
      </w:pPr>
      <w:r>
        <w:rPr>
          <w:rFonts w:ascii="Arial" w:cs="Arial" w:eastAsia="Arial" w:hAnsi="Arial"/>
          <w:sz w:val="18"/>
          <w:szCs w:val="18"/>
          <w:color w:val="auto"/>
        </w:rPr>
        <w:t>All of the CDD U.S. employees are eligible to participate in the CDD 401K plan, which is available on a voluntary basis and features a maximum 4.5% Company match, based upon a percentage of the employee’s contributions. Chiltern employees were previously eligible to participate in the Chiltern 401K plan, which featured a maximum 3% Company match, based upon a percentage of the employee's contributions. The Chiltern 401K plan merged into the CDD 401K plan effective January 7, 2019. The Company incurred expense of $73.9, $66.3, and $58.4 for the CDD 401K Plan in 2019, 2018 and 2017, respectively.</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also maintains several other small 401K plans associated with companies acquired over the last several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has a defined-benefit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w:t>
      </w:r>
    </w:p>
    <w:p>
      <w:pPr>
        <w:spacing w:after="0" w:line="20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Plan covers substantially all employees employed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$0.0, $28.9 and $16.0 in 2019, 2018 and 2017, respectively.</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21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Projected pension expense for the Company Plan and the PEP is expected to decrease to $11.8 in 2020. This amount excludes any accelerated recognition of pension cost due to the total lump-sum payouts exceeding certain components of net periodic pension cost in a fiscal year. If such levels were to be met in 2020,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plans to make contributions of $2.2 to the Company Plan and the PEP during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w w:val="95"/>
              </w:rPr>
              <w:t>The effect on operations for both the Company Plan and the PEP are summarized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4"/>
                <w:szCs w:val="24"/>
                <w:color w:val="auto"/>
              </w:rPr>
            </w:pPr>
          </w:p>
        </w:tc>
      </w:tr>
      <w:tr>
        <w:trPr>
          <w:trHeight w:val="3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36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Defined-benefit plan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Amounts included in accumulated other comprehensive earnings consist of unamortized net loss of $111.2. The accumulated other comprehensive earnings that are expected to be recognized as components of the defined-benefit plan costs during 2020 are $10.2 related to amortization of the net loss. For the year ended December 31, 2018, the Company recorded a pension settlement charge of $7.5 recorded in Other, net on the Consolidated Statement of Operations as a result of lump sum distributions exceeding $16.5 threshold level for 2018.</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397"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6"/>
          </w:tcPr>
          <w:p>
            <w:pPr>
              <w:ind w:left="280"/>
              <w:spacing w:after="0"/>
              <w:rPr>
                <w:sz w:val="20"/>
                <w:szCs w:val="20"/>
                <w:color w:val="auto"/>
              </w:rPr>
            </w:pPr>
            <w:r>
              <w:rPr>
                <w:rFonts w:ascii="Arial" w:cs="Arial" w:eastAsia="Arial" w:hAnsi="Arial"/>
                <w:sz w:val="18"/>
                <w:szCs w:val="18"/>
                <w:color w:val="auto"/>
                <w:w w:val="90"/>
              </w:rPr>
              <w:t>A summary of the changes in the projected benefit obligations of the Company Plan and the PEP are summarized as follows: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right"/>
              <w:ind w:right="3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Actuarial (gain) loss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Benefits and administrative expenses paid</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304"/>
        </w:trPr>
        <w:tc>
          <w:tcPr>
            <w:tcW w:w="8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Merger of Covance SERP</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1"/>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8"/>
                <w:szCs w:val="18"/>
                <w:color w:val="auto"/>
                <w:w w:val="93"/>
              </w:rPr>
              <w:t>The Accumulated Benefit Obligation was $355.5 and $334.6 at December 31, 2019 and 2018, respectively.</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A summary of the changes in the fair value of plan assets follows: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right"/>
              <w:ind w:right="3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84"/>
        </w:trPr>
        <w:tc>
          <w:tcPr>
            <w:tcW w:w="8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Benefits and administrative expenses paid</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7"/>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8"/>
                <w:szCs w:val="18"/>
                <w:color w:val="auto"/>
              </w:rPr>
              <w:t>The net funded status of the Company Plan and the PEP at December 31:</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87.6</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85.5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87.6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 average assumptions used in the accounting for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2017</w:t>
            </w:r>
          </w:p>
        </w:tc>
      </w:tr>
      <w:tr>
        <w:trPr>
          <w:trHeight w:val="34"/>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the Company Plan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Discount rate for the PEP</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 term rate of return for the Company Plan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used the RP-2014 Mortality Tables to estimate life expectancy. The weighted average expected long-term rate of return on assets of the Company Plan and PEP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9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43% fixed income securities and 7% in other assets. Equity securities primarily include investments in large-cap, mid-cap and small-cap companies located in the U.S. and to a lesser extent international equities in developed and emerging countries. Fixed income securities primarily include U.S. Treasury securities, mortgage-backed bonds and corporate bonds of companies from diversified industries. Other assets include investments in real estate. The weighted average expected long-term rate of return for the Company Plan’s assets is as follows: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Target</w:t>
            </w:r>
          </w:p>
        </w:tc>
        <w:tc>
          <w:tcPr>
            <w:tcW w:w="3540" w:type="dxa"/>
            <w:vAlign w:val="bottom"/>
          </w:tcPr>
          <w:p>
            <w:pPr>
              <w:jc w:val="right"/>
              <w:ind w:right="650"/>
              <w:spacing w:after="0"/>
              <w:rPr>
                <w:sz w:val="20"/>
                <w:szCs w:val="20"/>
                <w:color w:val="auto"/>
              </w:rPr>
            </w:pPr>
            <w:r>
              <w:rPr>
                <w:rFonts w:ascii="Arial" w:cs="Arial" w:eastAsia="Arial" w:hAnsi="Arial"/>
                <w:sz w:val="18"/>
                <w:szCs w:val="18"/>
                <w:color w:val="auto"/>
              </w:rPr>
              <w:t>Weighted Average Expected</w:t>
            </w:r>
          </w:p>
        </w:tc>
      </w:tr>
      <w:tr>
        <w:trPr>
          <w:trHeight w:val="230"/>
        </w:trPr>
        <w:tc>
          <w:tcPr>
            <w:tcW w:w="64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3540" w:type="dxa"/>
            <w:vAlign w:val="bottom"/>
          </w:tcPr>
          <w:p>
            <w:pPr>
              <w:jc w:val="right"/>
              <w:ind w:right="710"/>
              <w:spacing w:after="0"/>
              <w:rPr>
                <w:sz w:val="20"/>
                <w:szCs w:val="20"/>
                <w:color w:val="auto"/>
              </w:rPr>
            </w:pPr>
            <w:r>
              <w:rPr>
                <w:rFonts w:ascii="Arial" w:cs="Arial" w:eastAsia="Arial" w:hAnsi="Arial"/>
                <w:sz w:val="18"/>
                <w:szCs w:val="18"/>
                <w:color w:val="auto"/>
              </w:rPr>
              <w:t>Long-Term Rate of Return</w:t>
            </w:r>
          </w:p>
        </w:tc>
      </w:tr>
      <w:tr>
        <w:trPr>
          <w:trHeight w:val="34"/>
        </w:trPr>
        <w:tc>
          <w:tcPr>
            <w:tcW w:w="6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4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657"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9019"/>
          </w:cols>
          <w:pgMar w:left="1440" w:top="125" w:right="1440"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ind w:left="360" w:right="226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values of the Company Plan’s assets at December 31, 2019, and 2018,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6"/>
          </w:tcPr>
          <w:p>
            <w:pPr>
              <w:jc w:val="center"/>
              <w:ind w:left="730"/>
              <w:spacing w:after="0"/>
              <w:rPr>
                <w:sz w:val="20"/>
                <w:szCs w:val="20"/>
                <w:color w:val="auto"/>
              </w:rPr>
            </w:pPr>
            <w:r>
              <w:rPr>
                <w:rFonts w:ascii="Arial" w:cs="Arial" w:eastAsia="Arial" w:hAnsi="Arial"/>
                <w:sz w:val="18"/>
                <w:szCs w:val="18"/>
                <w:color w:val="auto"/>
                <w:w w:val="89"/>
              </w:rPr>
              <w:t>Fair Value Measurements as of</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December 31, 2019</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color w:val="auto"/>
                <w:w w:val="92"/>
              </w:rPr>
              <w:t>Using Fair Value Hierarchy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691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fixed income (f)</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inflation protection income (g)</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fair value of the Company Plan’s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Category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30"/>
              <w:spacing w:after="0"/>
              <w:rPr>
                <w:sz w:val="20"/>
                <w:szCs w:val="20"/>
                <w:color w:val="auto"/>
              </w:rPr>
            </w:pPr>
            <w:r>
              <w:rPr>
                <w:rFonts w:ascii="Arial" w:cs="Arial" w:eastAsia="Arial" w:hAnsi="Arial"/>
                <w:sz w:val="18"/>
                <w:szCs w:val="18"/>
                <w:color w:val="auto"/>
                <w:w w:val="89"/>
              </w:rPr>
              <w:t>Fair Value Measurements as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31, 2018</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Fair Value as of</w:t>
            </w:r>
          </w:p>
        </w:tc>
        <w:tc>
          <w:tcPr>
            <w:tcW w:w="300" w:type="dxa"/>
            <w:vAlign w:val="bottom"/>
          </w:tcPr>
          <w:p>
            <w:pPr>
              <w:spacing w:after="0"/>
              <w:rPr>
                <w:sz w:val="23"/>
                <w:szCs w:val="23"/>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color w:val="auto"/>
                <w:w w:val="92"/>
              </w:rPr>
              <w:t>Using Fair Value Hierarchy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rPr>
              <w:t>December 31, 2018</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-1234440</wp:posOffset>
            </wp:positionV>
            <wp:extent cx="716915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7169150" cy="18859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-162560</wp:posOffset>
            </wp:positionV>
            <wp:extent cx="716915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140" w:space="720"/>
            <w:col w:w="656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6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6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(h)</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fixed income (f)</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04"/>
        </w:trPr>
        <w:tc>
          <w:tcPr>
            <w:tcW w:w="4860" w:type="dxa"/>
            <w:vAlign w:val="bottom"/>
          </w:tcPr>
          <w:p>
            <w:pPr>
              <w:ind w:left="280"/>
              <w:spacing w:after="0"/>
              <w:rPr>
                <w:sz w:val="20"/>
                <w:szCs w:val="20"/>
                <w:color w:val="auto"/>
              </w:rPr>
            </w:pPr>
            <w:r>
              <w:rPr>
                <w:rFonts w:ascii="Arial" w:cs="Arial" w:eastAsia="Arial" w:hAnsi="Arial"/>
                <w:sz w:val="18"/>
                <w:szCs w:val="18"/>
                <w:color w:val="auto"/>
              </w:rPr>
              <w:t>U.S inflation protection income (g)</w:t>
            </w:r>
          </w:p>
        </w:tc>
        <w:tc>
          <w:tcPr>
            <w:tcW w:w="66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51"/>
        </w:trPr>
        <w:tc>
          <w:tcPr>
            <w:tcW w:w="48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500 Index.</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mid-cap 400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Russell 2000 Index.</w:t>
      </w:r>
    </w:p>
    <w:p>
      <w:pPr>
        <w:spacing w:after="0" w:line="9" w:lineRule="exact"/>
        <w:rPr>
          <w:rFonts w:ascii="Arial" w:cs="Arial" w:eastAsia="Arial" w:hAnsi="Arial"/>
          <w:sz w:val="18"/>
          <w:szCs w:val="18"/>
          <w:color w:val="auto"/>
        </w:rPr>
      </w:pPr>
    </w:p>
    <w:p>
      <w:pPr>
        <w:ind w:right="3020" w:firstLine="8"/>
        <w:spacing w:after="0" w:line="281" w:lineRule="auto"/>
        <w:tabs>
          <w:tab w:leader="none" w:pos="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category represents an equity index fund not actively managed that tracks the MSCI ACWI ex USA Index. e)This category represents a real estate index fund not actively managed that tracks the Vanguard REIT Index.</w:t>
      </w:r>
    </w:p>
    <w:p>
      <w:pPr>
        <w:spacing w:after="0" w:line="1" w:lineRule="exact"/>
        <w:rPr>
          <w:sz w:val="20"/>
          <w:szCs w:val="20"/>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category primarily represents bond index funds not actively managed that track the Northern Trust U.S. Aggregate Index as well as an actively managed strategy which utilizes the Metropolitan West Total Return Bond Index as its primary prospectus benchmark.</w:t>
      </w: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category primarily represents a bond index fund not actively managed that tracks the Northern Trust U.S. TIPS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category represents a commodities index fund not actively managed that tracks the Dow Jones - UBS Commodity Index.</w:t>
      </w:r>
    </w:p>
    <w:p>
      <w:pPr>
        <w:spacing w:after="0" w:line="11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following estimated benefit payments under the Company Plan and PEP,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5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5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Years 2025 and thereafter</w:t>
            </w:r>
          </w:p>
        </w:tc>
        <w:tc>
          <w:tcPr>
            <w:tcW w:w="4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115.1</w:t>
            </w:r>
          </w:p>
        </w:tc>
      </w:tr>
    </w:tbl>
    <w:p>
      <w:pPr>
        <w:spacing w:after="0" w:line="200" w:lineRule="exact"/>
        <w:rPr>
          <w:sz w:val="20"/>
          <w:szCs w:val="20"/>
          <w:color w:val="auto"/>
        </w:rPr>
      </w:pPr>
    </w:p>
    <w:p>
      <w:pPr>
        <w:spacing w:after="0" w:line="25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addition to the PEP, as a result of the Covance acquisition, the Company also has a frozen non-qualified Supplemental Executive Retirement Plan (SERP). The SERP, which is not funded, is intended to provide retirement benefits for certain employees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who were executive officers of Covance prior to the acquisition. Benefit amounts are based upon years of service and compensation of the participating employees. As of December 31, 2018, the SERP was combined with the PEP.</w:t>
      </w:r>
    </w:p>
    <w:p>
      <w:pPr>
        <w:spacing w:after="0" w:line="19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result of the Covance acquisition, the Company sponsors two defined-benefit pension plans for the benefit of its employees at two U.K. subsidiaries (U.K. Plans) and one defined-benefit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has been to contribute annually a fixed percentage of the eligible employee's salary, and additional amounts, at least equal to the local statutory funding requirements. All plans have a measurement date of December 31.</w:t>
      </w:r>
    </w:p>
    <w:p>
      <w:pPr>
        <w:spacing w:after="0" w:line="18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a result of the Envigo acquisition, the Company assumed a defined benefit pension plan for the benefit of Envigo's U.K. employees (the Envigo plan), which is a legacy plan of a company previously acquired by Envigo. The Envigo plan is a funded plan that is closed to future accrual. The related net pension obligation of $46.6, based on the preliminary valuation of acquired assets and assumed liabilities, is reported under Other liabilities in the Consolidated Balance Sheet as of December 31, 2019. The Company’s funding policy has been to contribute amounts at least equal to the local statutory funding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80" w:type="dxa"/>
            <w:vAlign w:val="bottom"/>
            <w:gridSpan w:val="6"/>
          </w:tcPr>
          <w:p>
            <w:pPr>
              <w:spacing w:after="0"/>
              <w:rPr>
                <w:sz w:val="20"/>
                <w:szCs w:val="20"/>
                <w:color w:val="auto"/>
              </w:rPr>
            </w:pPr>
            <w:r>
              <w:rPr>
                <w:rFonts w:ascii="Arial" w:cs="Arial" w:eastAsia="Arial" w:hAnsi="Arial"/>
                <w:sz w:val="18"/>
                <w:szCs w:val="18"/>
                <w:color w:val="auto"/>
                <w:w w:val="90"/>
              </w:rPr>
              <w:t>requirements. The Envigo plan has a measurement date of December 31. The U.K. Plans disclosures below are inclusive of the Envigo plan for 2019.</w:t>
            </w:r>
          </w:p>
        </w:tc>
        <w:tc>
          <w:tcPr>
            <w:tcW w:w="580" w:type="dxa"/>
            <w:vAlign w:val="bottom"/>
          </w:tcPr>
          <w:p>
            <w:pPr>
              <w:spacing w:after="0"/>
              <w:rPr>
                <w:sz w:val="20"/>
                <w:szCs w:val="20"/>
                <w:color w:val="auto"/>
              </w:rPr>
            </w:pPr>
          </w:p>
        </w:tc>
      </w:tr>
      <w:tr>
        <w:trPr>
          <w:trHeight w:val="445"/>
        </w:trPr>
        <w:tc>
          <w:tcPr>
            <w:tcW w:w="80" w:type="dxa"/>
            <w:vAlign w:val="bottom"/>
          </w:tcPr>
          <w:p>
            <w:pPr>
              <w:spacing w:after="0"/>
              <w:rPr>
                <w:sz w:val="24"/>
                <w:szCs w:val="24"/>
                <w:color w:val="auto"/>
              </w:rPr>
            </w:pPr>
          </w:p>
        </w:tc>
        <w:tc>
          <w:tcPr>
            <w:tcW w:w="8500" w:type="dxa"/>
            <w:vAlign w:val="bottom"/>
            <w:gridSpan w:val="2"/>
          </w:tcPr>
          <w:p>
            <w:pPr>
              <w:ind w:left="180"/>
              <w:spacing w:after="0"/>
              <w:rPr>
                <w:sz w:val="20"/>
                <w:szCs w:val="20"/>
                <w:color w:val="auto"/>
              </w:rPr>
            </w:pPr>
            <w:r>
              <w:rPr>
                <w:rFonts w:ascii="Arial" w:cs="Arial" w:eastAsia="Arial" w:hAnsi="Arial"/>
                <w:sz w:val="18"/>
                <w:szCs w:val="18"/>
                <w:color w:val="auto"/>
              </w:rPr>
              <w:t>The components of the defined-benefit plan costs for these plans for 2019 and 2018 are as follows: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0" w:type="dxa"/>
            <w:vAlign w:val="bottom"/>
            <w:gridSpan w:val="3"/>
          </w:tcPr>
          <w:p>
            <w:pPr>
              <w:jc w:val="center"/>
              <w:ind w:right="610"/>
              <w:spacing w:after="0"/>
              <w:rPr>
                <w:sz w:val="20"/>
                <w:szCs w:val="20"/>
                <w:color w:val="auto"/>
              </w:rPr>
            </w:pPr>
            <w:r>
              <w:rPr>
                <w:rFonts w:ascii="Arial" w:cs="Arial" w:eastAsia="Arial" w:hAnsi="Arial"/>
                <w:sz w:val="18"/>
                <w:szCs w:val="18"/>
                <w:color w:val="auto"/>
                <w:w w:val="91"/>
              </w:rPr>
              <w:t>U.K. Plans</w:t>
            </w:r>
          </w:p>
        </w:tc>
        <w:tc>
          <w:tcPr>
            <w:tcW w:w="5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29"/>
        </w:trPr>
        <w:tc>
          <w:tcPr>
            <w:tcW w:w="8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5"/>
              </w:rPr>
              <w:t>Year Ended December 31,</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w w:val="90"/>
              </w:rPr>
              <w:t>Year Ended December 31,</w:t>
            </w:r>
          </w:p>
        </w:tc>
      </w:tr>
      <w:tr>
        <w:trPr>
          <w:trHeight w:val="230"/>
        </w:trPr>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ind w:left="800"/>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r>
      <w:tr>
        <w:trPr>
          <w:trHeight w:val="34"/>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3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3"/>
              </w:rPr>
              <w:t>(12.6)</w:t>
            </w: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participant contributions</w:t>
            </w:r>
          </w:p>
        </w:tc>
        <w:tc>
          <w:tcPr>
            <w:tcW w:w="1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97"/>
        </w:trPr>
        <w:tc>
          <w:tcPr>
            <w:tcW w:w="80" w:type="dxa"/>
            <w:vAlign w:val="bottom"/>
          </w:tcPr>
          <w:p>
            <w:pPr>
              <w:spacing w:after="0"/>
              <w:rPr>
                <w:sz w:val="24"/>
                <w:szCs w:val="24"/>
                <w:color w:val="auto"/>
              </w:rPr>
            </w:pPr>
          </w:p>
        </w:tc>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Defined-benefit plan costs</w:t>
            </w:r>
          </w:p>
        </w:tc>
        <w:tc>
          <w:tcPr>
            <w:tcW w:w="1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r>
      <w:tr>
        <w:trPr>
          <w:trHeight w:val="257"/>
        </w:trPr>
        <w:tc>
          <w:tcPr>
            <w:tcW w:w="80" w:type="dxa"/>
            <w:vAlign w:val="bottom"/>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Assumptions used to determine defined-benefit plan cost (Excluding Envigo Plan):</w:t>
            </w: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defined-benefit plan cost (Envigo Plan):</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378"/>
        </w:trPr>
        <w:tc>
          <w:tcPr>
            <w:tcW w:w="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0" w:type="dxa"/>
            <w:vAlign w:val="bottom"/>
            <w:gridSpan w:val="3"/>
          </w:tcPr>
          <w:p>
            <w:pPr>
              <w:jc w:val="center"/>
              <w:ind w:right="610"/>
              <w:spacing w:after="0"/>
              <w:rPr>
                <w:sz w:val="20"/>
                <w:szCs w:val="20"/>
                <w:color w:val="auto"/>
              </w:rPr>
            </w:pPr>
            <w:r>
              <w:rPr>
                <w:rFonts w:ascii="Arial" w:cs="Arial" w:eastAsia="Arial" w:hAnsi="Arial"/>
                <w:sz w:val="18"/>
                <w:szCs w:val="18"/>
                <w:color w:val="auto"/>
                <w:w w:val="88"/>
              </w:rPr>
              <w:t>German Plan</w:t>
            </w:r>
          </w:p>
        </w:tc>
        <w:tc>
          <w:tcPr>
            <w:tcW w:w="5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29"/>
        </w:trPr>
        <w:tc>
          <w:tcPr>
            <w:tcW w:w="8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5"/>
              </w:rPr>
              <w:t>Year Ended December 31,</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w w:val="90"/>
              </w:rPr>
              <w:t>Year Ended December 31,</w:t>
            </w:r>
          </w:p>
        </w:tc>
      </w:tr>
      <w:tr>
        <w:trPr>
          <w:trHeight w:val="230"/>
        </w:trPr>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ind w:left="800"/>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r>
      <w:tr>
        <w:trPr>
          <w:trHeight w:val="34"/>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3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97"/>
        </w:trPr>
        <w:tc>
          <w:tcPr>
            <w:tcW w:w="80" w:type="dxa"/>
            <w:vAlign w:val="bottom"/>
          </w:tcPr>
          <w:p>
            <w:pPr>
              <w:spacing w:after="0"/>
              <w:rPr>
                <w:sz w:val="24"/>
                <w:szCs w:val="24"/>
                <w:color w:val="auto"/>
              </w:rPr>
            </w:pPr>
          </w:p>
        </w:tc>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Defined-benefit plan costs</w:t>
            </w:r>
          </w:p>
        </w:tc>
        <w:tc>
          <w:tcPr>
            <w:tcW w:w="1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r>
      <w:tr>
        <w:trPr>
          <w:trHeight w:val="257"/>
        </w:trPr>
        <w:tc>
          <w:tcPr>
            <w:tcW w:w="80" w:type="dxa"/>
            <w:vAlign w:val="bottom"/>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Assumptions used to determine defined-benefit plan cost:</w:t>
            </w: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0" w:type="dxa"/>
            <w:vAlign w:val="bottom"/>
          </w:tcPr>
          <w:p>
            <w:pPr>
              <w:spacing w:after="0"/>
              <w:rPr>
                <w:sz w:val="21"/>
                <w:szCs w:val="21"/>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300" w:type="dxa"/>
            <w:vAlign w:val="bottom"/>
          </w:tcPr>
          <w:p>
            <w:pPr>
              <w:spacing w:after="0"/>
              <w:rPr>
                <w:sz w:val="21"/>
                <w:szCs w:val="21"/>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140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0" w:type="dxa"/>
            <w:vAlign w:val="bottom"/>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ectPr>
          <w:pgSz w:w="11900" w:h="16838" w:orient="portrait"/>
          <w:cols w:equalWidth="0" w:num="1">
            <w:col w:w="11420"/>
          </w:cols>
          <w:pgMar w:left="240" w:top="125" w:right="23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5" w:right="239" w:bottom="1028"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change in the projected benefit obligation and plan assets, the funded status of the plan and a reconciliation of such funded status to the amounts reported in the consolidated balance sheet as of December 31, 2019, and December 31, 2018, is as follows:</w:t>
      </w:r>
    </w:p>
    <w:p>
      <w:pPr>
        <w:sectPr>
          <w:pgSz w:w="11900" w:h="16838" w:orient="portrait"/>
          <w:cols w:equalWidth="0" w:num="1">
            <w:col w:w="11420"/>
          </w:cols>
          <w:pgMar w:left="240" w:top="125" w:right="239" w:bottom="157" w:gutter="0" w:footer="0" w:header="0"/>
        </w:sectPr>
      </w:pPr>
    </w:p>
    <w:p>
      <w:pPr>
        <w:spacing w:after="0" w:line="1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Change in Projected Benefit Obligation: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U.K.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46355</wp:posOffset>
            </wp:positionV>
            <wp:extent cx="25044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8280" w:space="720"/>
            <w:col w:w="2420"/>
          </w:cols>
          <w:pgMar w:left="240" w:top="125" w:right="239" w:bottom="157" w:gutter="0" w:footer="0" w:header="0"/>
          <w:type w:val="continuous"/>
        </w:sect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beginning of year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Balance of acquired subsidiary at acquisition date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amendments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exchange rate changes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curtailment</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ind w:left="757"/>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2179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1217930" cy="17145"/>
                    </a:xfrm>
                    <a:prstGeom prst="rect">
                      <a:avLst/>
                    </a:prstGeom>
                    <a:noFill/>
                  </pic:spPr>
                </pic:pic>
              </a:graphicData>
            </a:graphic>
          </wp:anchor>
        </w:drawing>
      </w:r>
    </w:p>
    <w:p>
      <w:pPr>
        <w:spacing w:after="0" w:line="70" w:lineRule="exact"/>
        <w:rPr>
          <w:sz w:val="20"/>
          <w:szCs w:val="20"/>
          <w:color w:val="auto"/>
        </w:rPr>
      </w:pPr>
    </w:p>
    <w:p>
      <w:pPr>
        <w:ind w:left="1377" w:hanging="1377"/>
        <w:spacing w:after="0"/>
        <w:tabs>
          <w:tab w:leader="none" w:pos="13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260.1</w:t>
      </w:r>
    </w:p>
    <w:p>
      <w:pPr>
        <w:spacing w:after="0" w:line="63" w:lineRule="exact"/>
        <w:rPr>
          <w:rFonts w:ascii="Arial" w:cs="Arial" w:eastAsia="Arial" w:hAnsi="Arial"/>
          <w:sz w:val="18"/>
          <w:szCs w:val="18"/>
          <w:color w:val="auto"/>
        </w:rPr>
      </w:pPr>
    </w:p>
    <w:p>
      <w:pPr>
        <w:ind w:left="1377"/>
        <w:spacing w:after="0"/>
        <w:rPr>
          <w:rFonts w:ascii="Arial" w:cs="Arial" w:eastAsia="Arial" w:hAnsi="Arial"/>
          <w:sz w:val="18"/>
          <w:szCs w:val="18"/>
          <w:color w:val="auto"/>
        </w:rPr>
      </w:pPr>
      <w:r>
        <w:rPr>
          <w:rFonts w:ascii="Arial" w:cs="Arial" w:eastAsia="Arial" w:hAnsi="Arial"/>
          <w:sz w:val="18"/>
          <w:szCs w:val="18"/>
          <w:color w:val="auto"/>
        </w:rPr>
        <w:t>215.4</w:t>
      </w:r>
    </w:p>
    <w:p>
      <w:pPr>
        <w:spacing w:after="0" w:line="63" w:lineRule="exact"/>
        <w:rPr>
          <w:rFonts w:ascii="Arial" w:cs="Arial" w:eastAsia="Arial" w:hAnsi="Arial"/>
          <w:sz w:val="18"/>
          <w:szCs w:val="18"/>
          <w:color w:val="auto"/>
        </w:rPr>
      </w:pPr>
    </w:p>
    <w:p>
      <w:pPr>
        <w:ind w:left="1557"/>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63"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10.3</w:t>
      </w:r>
    </w:p>
    <w:p>
      <w:pPr>
        <w:spacing w:after="0" w:line="63"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64.1</w:t>
      </w:r>
    </w:p>
    <w:p>
      <w:pPr>
        <w:spacing w:after="0" w:line="63" w:lineRule="exact"/>
        <w:rPr>
          <w:rFonts w:ascii="Arial" w:cs="Arial" w:eastAsia="Arial" w:hAnsi="Arial"/>
          <w:sz w:val="18"/>
          <w:szCs w:val="18"/>
          <w:color w:val="auto"/>
        </w:rPr>
      </w:pPr>
    </w:p>
    <w:p>
      <w:pPr>
        <w:ind w:left="1417"/>
        <w:spacing w:after="0"/>
        <w:rPr>
          <w:rFonts w:ascii="Arial" w:cs="Arial" w:eastAsia="Arial" w:hAnsi="Arial"/>
          <w:sz w:val="18"/>
          <w:szCs w:val="18"/>
          <w:color w:val="auto"/>
        </w:rPr>
      </w:pPr>
      <w:r>
        <w:rPr>
          <w:rFonts w:ascii="Arial" w:cs="Arial" w:eastAsia="Arial" w:hAnsi="Arial"/>
          <w:sz w:val="16"/>
          <w:szCs w:val="16"/>
          <w:color w:val="auto"/>
        </w:rPr>
        <w:t>(11.3)</w:t>
      </w:r>
    </w:p>
    <w:p>
      <w:pPr>
        <w:spacing w:after="0" w:line="86" w:lineRule="exact"/>
        <w:rPr>
          <w:rFonts w:ascii="Arial" w:cs="Arial" w:eastAsia="Arial" w:hAnsi="Arial"/>
          <w:sz w:val="18"/>
          <w:szCs w:val="18"/>
          <w:color w:val="auto"/>
        </w:rPr>
      </w:pPr>
    </w:p>
    <w:p>
      <w:pPr>
        <w:ind w:left="159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20.8</w:t>
      </w:r>
    </w:p>
    <w:p>
      <w:pPr>
        <w:spacing w:after="0" w:line="63" w:lineRule="exact"/>
        <w:rPr>
          <w:rFonts w:ascii="Arial" w:cs="Arial" w:eastAsia="Arial" w:hAnsi="Arial"/>
          <w:sz w:val="18"/>
          <w:szCs w:val="18"/>
          <w:color w:val="auto"/>
        </w:rPr>
      </w:pPr>
    </w:p>
    <w:p>
      <w:pPr>
        <w:ind w:left="1417"/>
        <w:spacing w:after="0"/>
        <w:rPr>
          <w:rFonts w:ascii="Arial" w:cs="Arial" w:eastAsia="Arial" w:hAnsi="Arial"/>
          <w:sz w:val="18"/>
          <w:szCs w:val="18"/>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-1324610</wp:posOffset>
            </wp:positionV>
            <wp:extent cx="71691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-981710</wp:posOffset>
            </wp:positionV>
            <wp:extent cx="71691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-638810</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-295910</wp:posOffset>
            </wp:positionV>
            <wp:extent cx="71691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46355</wp:posOffset>
            </wp:positionV>
            <wp:extent cx="716915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7169150" cy="188595"/>
                    </a:xfrm>
                    <a:prstGeom prst="rect">
                      <a:avLst/>
                    </a:prstGeom>
                    <a:noFill/>
                  </pic:spPr>
                </pic:pic>
              </a:graphicData>
            </a:graphic>
          </wp:anchor>
        </w:drawing>
      </w:r>
    </w:p>
    <w:p>
      <w:pPr>
        <w:spacing w:after="0" w:line="80" w:lineRule="exact"/>
        <w:rPr>
          <w:sz w:val="20"/>
          <w:szCs w:val="20"/>
          <w:color w:val="auto"/>
        </w:rPr>
      </w:pPr>
    </w:p>
    <w:p>
      <w:pPr>
        <w:ind w:left="1377" w:hanging="1377"/>
        <w:spacing w:after="0"/>
        <w:tabs>
          <w:tab w:leader="none" w:pos="13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547.9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1217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2179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1217930" cy="17145"/>
                    </a:xfrm>
                    <a:prstGeom prst="rect">
                      <a:avLst/>
                    </a:prstGeom>
                    <a:noFill/>
                  </pic:spPr>
                </pic:pic>
              </a:graphicData>
            </a:graphic>
          </wp:anchor>
        </w:drawing>
      </w:r>
    </w:p>
    <w:p>
      <w:pPr>
        <w:spacing w:after="0" w:line="70" w:lineRule="exact"/>
        <w:rPr>
          <w:sz w:val="20"/>
          <w:szCs w:val="20"/>
          <w:color w:val="auto"/>
        </w:rPr>
      </w:pPr>
    </w:p>
    <w:p>
      <w:pPr>
        <w:ind w:left="1380" w:hanging="1372"/>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303.4</w:t>
      </w:r>
    </w:p>
    <w:p>
      <w:pPr>
        <w:spacing w:after="0" w:line="6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6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380" w:hanging="1372"/>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12179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6723" w:space="720"/>
            <w:col w:w="1837" w:space="180"/>
            <w:col w:w="1960"/>
          </w:cols>
          <w:pgMar w:left="240" w:top="125" w:right="239" w:bottom="157" w:gutter="0" w:footer="0" w:header="0"/>
          <w:type w:val="continuous"/>
        </w:sectPr>
      </w:pPr>
    </w:p>
    <w:p>
      <w:pPr>
        <w:spacing w:after="0" w:line="14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Change in Projected Benefit Obligation: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German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46355</wp:posOffset>
            </wp:positionV>
            <wp:extent cx="25044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8200" w:space="720"/>
            <w:col w:w="2500"/>
          </w:cols>
          <w:pgMar w:left="240" w:top="125" w:right="239" w:bottom="157" w:gutter="0" w:footer="0" w:header="0"/>
          <w:type w:val="continuous"/>
        </w:sect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beginning of year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Foreign currency exchange rate changes</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2019</w:t>
            </w:r>
          </w:p>
        </w:tc>
      </w:tr>
      <w:tr>
        <w:trPr>
          <w:trHeight w:val="34"/>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34.0</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42.8</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-1062990</wp:posOffset>
            </wp:positionV>
            <wp:extent cx="7169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-719455</wp:posOffset>
            </wp:positionV>
            <wp:extent cx="71691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-376555</wp:posOffset>
            </wp:positionV>
            <wp:extent cx="71691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2018</w:t>
            </w:r>
          </w:p>
        </w:tc>
      </w:tr>
      <w:tr>
        <w:trPr>
          <w:trHeight w:val="34"/>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6700" w:space="720"/>
            <w:col w:w="1920" w:space="100"/>
            <w:col w:w="1980"/>
          </w:cols>
          <w:pgMar w:left="240" w:top="125" w:right="239" w:bottom="157" w:gutter="0" w:footer="0" w:header="0"/>
          <w:type w:val="continuous"/>
        </w:sect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Change in Fair Value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40640</wp:posOffset>
            </wp:positionV>
            <wp:extent cx="716915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716915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U.K. Plans</w:t>
      </w:r>
    </w:p>
    <w:p>
      <w:pPr>
        <w:spacing w:after="0" w:line="113" w:lineRule="exact"/>
        <w:rPr>
          <w:sz w:val="20"/>
          <w:szCs w:val="20"/>
          <w:color w:val="auto"/>
        </w:rPr>
      </w:pPr>
    </w:p>
    <w:p>
      <w:pPr>
        <w:sectPr>
          <w:pgSz w:w="11900" w:h="16838" w:orient="portrait"/>
          <w:cols w:equalWidth="0" w:num="2">
            <w:col w:w="8280" w:space="720"/>
            <w:col w:w="2420"/>
          </w:cols>
          <w:pgMar w:left="240" w:top="125" w:right="239" w:bottom="157" w:gutter="0" w:footer="0" w:header="0"/>
          <w:type w:val="continuous"/>
        </w:sect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Plan assets of acquired subsidiary at acquisition date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contributions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Actual return 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69150" cy="18859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Fair value of plan assets at end of year</w:t>
      </w:r>
    </w:p>
    <w:p>
      <w:pPr>
        <w:spacing w:after="0" w:line="20" w:lineRule="exact"/>
        <w:rPr>
          <w:sz w:val="20"/>
          <w:szCs w:val="20"/>
          <w:color w:val="auto"/>
        </w:rPr>
      </w:pPr>
      <w:r>
        <w:rPr>
          <w:sz w:val="20"/>
          <w:szCs w:val="20"/>
          <w:color w:val="auto"/>
        </w:rPr>
        <w:br w:type="column"/>
      </w:r>
    </w:p>
    <w:p>
      <w:pPr>
        <w:ind w:left="757"/>
        <w:spacing w:after="0"/>
        <w:rPr>
          <w:sz w:val="20"/>
          <w:szCs w:val="20"/>
          <w:color w:val="auto"/>
        </w:rPr>
      </w:pPr>
      <w:r>
        <w:rPr>
          <w:rFonts w:ascii="Arial" w:cs="Arial" w:eastAsia="Arial" w:hAnsi="Arial"/>
          <w:sz w:val="18"/>
          <w:szCs w:val="18"/>
          <w:color w:val="auto"/>
        </w:rPr>
        <w:t>2019</w:t>
      </w:r>
    </w:p>
    <w:p>
      <w:pPr>
        <w:spacing w:after="0" w:line="90" w:lineRule="exact"/>
        <w:rPr>
          <w:sz w:val="20"/>
          <w:szCs w:val="20"/>
          <w:color w:val="auto"/>
        </w:rPr>
      </w:pPr>
    </w:p>
    <w:p>
      <w:pPr>
        <w:ind w:left="1377" w:hanging="1377"/>
        <w:spacing w:after="0"/>
        <w:tabs>
          <w:tab w:leader="none" w:pos="13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254.6</w:t>
      </w:r>
    </w:p>
    <w:p>
      <w:pPr>
        <w:spacing w:after="0" w:line="63" w:lineRule="exact"/>
        <w:rPr>
          <w:rFonts w:ascii="Arial" w:cs="Arial" w:eastAsia="Arial" w:hAnsi="Arial"/>
          <w:sz w:val="18"/>
          <w:szCs w:val="18"/>
          <w:color w:val="auto"/>
        </w:rPr>
      </w:pPr>
    </w:p>
    <w:p>
      <w:pPr>
        <w:ind w:left="1377"/>
        <w:spacing w:after="0"/>
        <w:rPr>
          <w:rFonts w:ascii="Arial" w:cs="Arial" w:eastAsia="Arial" w:hAnsi="Arial"/>
          <w:sz w:val="18"/>
          <w:szCs w:val="18"/>
          <w:color w:val="auto"/>
        </w:rPr>
      </w:pPr>
      <w:r>
        <w:rPr>
          <w:rFonts w:ascii="Arial" w:cs="Arial" w:eastAsia="Arial" w:hAnsi="Arial"/>
          <w:sz w:val="18"/>
          <w:szCs w:val="18"/>
          <w:color w:val="auto"/>
        </w:rPr>
        <w:t>168.3</w:t>
      </w:r>
    </w:p>
    <w:p>
      <w:pPr>
        <w:spacing w:after="0" w:line="63"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11.4</w:t>
      </w:r>
    </w:p>
    <w:p>
      <w:pPr>
        <w:spacing w:after="0" w:line="63" w:lineRule="exact"/>
        <w:rPr>
          <w:rFonts w:ascii="Arial" w:cs="Arial" w:eastAsia="Arial" w:hAnsi="Arial"/>
          <w:sz w:val="18"/>
          <w:szCs w:val="18"/>
          <w:color w:val="auto"/>
        </w:rPr>
      </w:pPr>
    </w:p>
    <w:p>
      <w:pPr>
        <w:ind w:left="1557"/>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63"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48.8</w:t>
      </w:r>
    </w:p>
    <w:p>
      <w:pPr>
        <w:spacing w:after="0" w:line="63" w:lineRule="exact"/>
        <w:rPr>
          <w:rFonts w:ascii="Arial" w:cs="Arial" w:eastAsia="Arial" w:hAnsi="Arial"/>
          <w:sz w:val="18"/>
          <w:szCs w:val="18"/>
          <w:color w:val="auto"/>
        </w:rPr>
      </w:pPr>
    </w:p>
    <w:p>
      <w:pPr>
        <w:ind w:left="1417"/>
        <w:spacing w:after="0"/>
        <w:rPr>
          <w:rFonts w:ascii="Arial" w:cs="Arial" w:eastAsia="Arial" w:hAnsi="Arial"/>
          <w:sz w:val="18"/>
          <w:szCs w:val="18"/>
          <w:color w:val="auto"/>
        </w:rPr>
      </w:pPr>
      <w:r>
        <w:rPr>
          <w:rFonts w:ascii="Arial" w:cs="Arial" w:eastAsia="Arial" w:hAnsi="Arial"/>
          <w:sz w:val="16"/>
          <w:szCs w:val="16"/>
          <w:color w:val="auto"/>
        </w:rPr>
        <w:t>(11.3)</w:t>
      </w:r>
    </w:p>
    <w:p>
      <w:pPr>
        <w:spacing w:after="0" w:line="86" w:lineRule="exact"/>
        <w:rPr>
          <w:rFonts w:ascii="Arial" w:cs="Arial" w:eastAsia="Arial" w:hAnsi="Arial"/>
          <w:sz w:val="18"/>
          <w:szCs w:val="18"/>
          <w:color w:val="auto"/>
        </w:rPr>
      </w:pPr>
    </w:p>
    <w:p>
      <w:pPr>
        <w:ind w:left="1477"/>
        <w:spacing w:after="0"/>
        <w:rPr>
          <w:rFonts w:ascii="Arial" w:cs="Arial" w:eastAsia="Arial" w:hAnsi="Arial"/>
          <w:sz w:val="18"/>
          <w:szCs w:val="18"/>
          <w:color w:val="auto"/>
        </w:rPr>
      </w:pPr>
      <w:r>
        <w:rPr>
          <w:rFonts w:ascii="Arial" w:cs="Arial" w:eastAsia="Arial" w:hAnsi="Arial"/>
          <w:sz w:val="18"/>
          <w:szCs w:val="18"/>
          <w:color w:val="auto"/>
        </w:rPr>
        <w:t>18.6</w:t>
      </w:r>
    </w:p>
    <w:p>
      <w:pPr>
        <w:spacing w:after="0" w:line="77" w:lineRule="exact"/>
        <w:rPr>
          <w:sz w:val="20"/>
          <w:szCs w:val="20"/>
          <w:color w:val="auto"/>
        </w:rPr>
      </w:pPr>
    </w:p>
    <w:p>
      <w:pPr>
        <w:ind w:left="1377" w:hanging="1377"/>
        <w:spacing w:after="0"/>
        <w:tabs>
          <w:tab w:leader="none" w:pos="13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491.7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1217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color w:val="auto"/>
        </w:rPr>
        <w:t>2018</w:t>
      </w:r>
    </w:p>
    <w:p>
      <w:pPr>
        <w:spacing w:after="0" w:line="90" w:lineRule="exact"/>
        <w:rPr>
          <w:sz w:val="20"/>
          <w:szCs w:val="20"/>
          <w:color w:val="auto"/>
        </w:rPr>
      </w:pPr>
    </w:p>
    <w:p>
      <w:pPr>
        <w:ind w:left="1380" w:hanging="1372"/>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281.9</w:t>
      </w:r>
    </w:p>
    <w:p>
      <w:pPr>
        <w:spacing w:after="0" w:line="6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6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(15.2)</w:t>
      </w:r>
    </w:p>
    <w:p>
      <w:pPr>
        <w:spacing w:after="0" w:line="77" w:lineRule="exact"/>
        <w:rPr>
          <w:sz w:val="20"/>
          <w:szCs w:val="20"/>
          <w:color w:val="auto"/>
        </w:rPr>
      </w:pPr>
    </w:p>
    <w:p>
      <w:pPr>
        <w:ind w:left="1380" w:hanging="1372"/>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1217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6723" w:space="720"/>
            <w:col w:w="1837" w:space="180"/>
            <w:col w:w="1960"/>
          </w:cols>
          <w:pgMar w:left="240" w:top="125" w:right="239" w:bottom="1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Funded status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Recorded as: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Funded status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Recorded as: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Accrued expenses and other</w:t>
      </w:r>
    </w:p>
    <w:p>
      <w:pPr>
        <w:spacing w:after="0" w:line="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U.K.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31750</wp:posOffset>
            </wp:positionV>
            <wp:extent cx="716915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7169150" cy="19748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2018</w:t>
            </w:r>
          </w:p>
        </w:tc>
      </w:tr>
      <w:tr>
        <w:trPr>
          <w:trHeight w:val="34"/>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540"/>
        </w:trPr>
        <w:tc>
          <w:tcPr>
            <w:tcW w:w="44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80"/>
        </w:trPr>
        <w:tc>
          <w:tcPr>
            <w:tcW w:w="440" w:type="dxa"/>
            <w:vAlign w:val="bottom"/>
          </w:tcPr>
          <w:p>
            <w:pPr>
              <w:spacing w:after="0"/>
              <w:rPr>
                <w:sz w:val="24"/>
                <w:szCs w:val="24"/>
                <w:color w:val="auto"/>
              </w:rPr>
            </w:pPr>
          </w:p>
        </w:tc>
        <w:tc>
          <w:tcPr>
            <w:tcW w:w="2180" w:type="dxa"/>
            <w:vAlign w:val="bottom"/>
            <w:gridSpan w:val="3"/>
          </w:tcPr>
          <w:p>
            <w:pPr>
              <w:jc w:val="right"/>
              <w:ind w:right="70"/>
              <w:spacing w:after="0"/>
              <w:rPr>
                <w:sz w:val="20"/>
                <w:szCs w:val="20"/>
                <w:color w:val="auto"/>
              </w:rPr>
            </w:pPr>
            <w:r>
              <w:rPr>
                <w:rFonts w:ascii="Arial" w:cs="Arial" w:eastAsia="Arial" w:hAnsi="Arial"/>
                <w:sz w:val="18"/>
                <w:szCs w:val="18"/>
                <w:color w:val="auto"/>
              </w:rPr>
              <w:t>German Plan</w:t>
            </w:r>
          </w:p>
        </w:tc>
        <w:tc>
          <w:tcPr>
            <w:tcW w:w="1320" w:type="dxa"/>
            <w:vAlign w:val="bottom"/>
          </w:tcPr>
          <w:p>
            <w:pPr>
              <w:spacing w:after="0"/>
              <w:rPr>
                <w:sz w:val="24"/>
                <w:szCs w:val="24"/>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2018</w:t>
            </w:r>
          </w:p>
        </w:tc>
      </w:tr>
      <w:tr>
        <w:trPr>
          <w:trHeight w:val="34"/>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54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-1980565</wp:posOffset>
            </wp:positionV>
            <wp:extent cx="71691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-1637030</wp:posOffset>
            </wp:positionV>
            <wp:extent cx="716915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7169150" cy="18859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-1088390</wp:posOffset>
            </wp:positionV>
            <wp:extent cx="716915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7169150" cy="18859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-719455</wp:posOffset>
            </wp:positionV>
            <wp:extent cx="71691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-376555</wp:posOffset>
            </wp:positionV>
            <wp:extent cx="71691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ectPr>
          <w:pgSz w:w="11900" w:h="16838" w:orient="portrait"/>
          <w:cols w:equalWidth="0" w:num="2">
            <w:col w:w="6700" w:space="720"/>
            <w:col w:w="4000"/>
          </w:cols>
          <w:pgMar w:left="240" w:top="125" w:right="239" w:bottom="157" w:gutter="0" w:footer="0" w:header="0"/>
          <w:type w:val="continuous"/>
        </w:sectPr>
      </w:pPr>
    </w:p>
    <w:bookmarkStart w:id="122" w:name="page123"/>
    <w:bookmarkEnd w:id="122"/>
    <w:p>
      <w:pPr>
        <w:ind w:firstLine="243"/>
        <w:spacing w:after="0" w:line="277" w:lineRule="auto"/>
        <w:rPr>
          <w:sz w:val="20"/>
          <w:szCs w:val="20"/>
          <w:color w:val="auto"/>
        </w:rPr>
      </w:pPr>
      <w:r>
        <w:rPr>
          <w:rFonts w:ascii="Arial" w:cs="Arial" w:eastAsia="Arial" w:hAnsi="Arial"/>
          <w:sz w:val="18"/>
          <w:szCs w:val="18"/>
          <w:color w:val="auto"/>
        </w:rPr>
        <w:t>On December 31, 2019, the U.K. plans were closed to future accrual, which resulted in an estimated reduction in the projected benefit obligation of the plans of $16.1. The reduction in the projected benefit obligation due to the plan revisions resulted in a</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247"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curtailment gain, which was recorded as a reduction to the unrecognized actuarial losses present in accumulated other comprehensive income as of December 31, 2019.</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contributed $11.4 in 2019 to the U.K. Plans and expects to contribute $13.8 in 2020. No contributions were made to the German plan during 2019, nor are any contributions expected to be made in 2020, as the plan is unfunded.</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accumulated benefit obligation for the U.K. Plans and the German Plan was $547.9 and $37.8 at December 31, 2019, respectively. The accumulated benefit obligation for the U.K. Plans and the German Plan was $223.8 and $30.1 at December 31, 2018, respectively.</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amounts recognized in accumulated other comprehensive income for the year ended December 31, 2019, and December 31, 2018, is as follows: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gridSpan w:val="3"/>
          </w:tcPr>
          <w:p>
            <w:pPr>
              <w:jc w:val="right"/>
              <w:ind w:right="190"/>
              <w:spacing w:after="0"/>
              <w:rPr>
                <w:sz w:val="20"/>
                <w:szCs w:val="20"/>
                <w:color w:val="auto"/>
              </w:rPr>
            </w:pPr>
            <w:r>
              <w:rPr>
                <w:rFonts w:ascii="Arial" w:cs="Arial" w:eastAsia="Arial" w:hAnsi="Arial"/>
                <w:sz w:val="18"/>
                <w:szCs w:val="18"/>
                <w:color w:val="auto"/>
              </w:rPr>
              <w:t>U.K. Plans</w:t>
            </w:r>
          </w:p>
        </w:tc>
        <w:tc>
          <w:tcPr>
            <w:tcW w:w="1360" w:type="dxa"/>
            <w:vAlign w:val="bottom"/>
          </w:tcPr>
          <w:p>
            <w:pPr>
              <w:spacing w:after="0"/>
              <w:rPr>
                <w:sz w:val="20"/>
                <w:szCs w:val="20"/>
                <w:color w:val="auto"/>
              </w:rPr>
            </w:pPr>
          </w:p>
        </w:tc>
      </w:tr>
      <w:tr>
        <w:trPr>
          <w:trHeight w:val="34"/>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jc w:val="right"/>
              <w:ind w:right="730"/>
              <w:spacing w:after="0"/>
              <w:rPr>
                <w:sz w:val="20"/>
                <w:szCs w:val="20"/>
                <w:color w:val="auto"/>
              </w:rPr>
            </w:pPr>
            <w:r>
              <w:rPr>
                <w:rFonts w:ascii="Arial" w:cs="Arial" w:eastAsia="Arial" w:hAnsi="Arial"/>
                <w:sz w:val="18"/>
                <w:szCs w:val="18"/>
                <w:color w:val="auto"/>
              </w:rPr>
              <w:t>2018</w:t>
            </w:r>
          </w:p>
        </w:tc>
      </w:tr>
      <w:tr>
        <w:trPr>
          <w:trHeight w:val="34"/>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Less: Tax benefit (deferred tax asset)</w:t>
            </w:r>
          </w:p>
        </w:tc>
        <w:tc>
          <w:tcPr>
            <w:tcW w:w="13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7"/>
        </w:trPr>
        <w:tc>
          <w:tcPr>
            <w:tcW w:w="7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 increases (excludes Envigo plan at 0%)</w:t>
            </w: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500"/>
        </w:trPr>
        <w:tc>
          <w:tcPr>
            <w:tcW w:w="7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gridSpan w:val="3"/>
          </w:tcPr>
          <w:p>
            <w:pPr>
              <w:jc w:val="right"/>
              <w:ind w:right="110"/>
              <w:spacing w:after="0"/>
              <w:rPr>
                <w:sz w:val="20"/>
                <w:szCs w:val="20"/>
                <w:color w:val="auto"/>
              </w:rPr>
            </w:pPr>
            <w:r>
              <w:rPr>
                <w:rFonts w:ascii="Arial" w:cs="Arial" w:eastAsia="Arial" w:hAnsi="Arial"/>
                <w:sz w:val="18"/>
                <w:szCs w:val="18"/>
                <w:color w:val="auto"/>
              </w:rPr>
              <w:t>German Plan</w:t>
            </w:r>
          </w:p>
        </w:tc>
        <w:tc>
          <w:tcPr>
            <w:tcW w:w="1360" w:type="dxa"/>
            <w:vAlign w:val="bottom"/>
          </w:tcPr>
          <w:p>
            <w:pPr>
              <w:spacing w:after="0"/>
              <w:rPr>
                <w:sz w:val="24"/>
                <w:szCs w:val="24"/>
                <w:color w:val="auto"/>
              </w:rPr>
            </w:pPr>
          </w:p>
        </w:tc>
      </w:tr>
      <w:tr>
        <w:trPr>
          <w:trHeight w:val="34"/>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2018</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Net actuarial loss/(gain)</w:t>
            </w:r>
          </w:p>
        </w:tc>
        <w:tc>
          <w:tcPr>
            <w:tcW w:w="132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Tax expense (deferred tax liability)</w:t>
            </w:r>
          </w:p>
        </w:tc>
        <w:tc>
          <w:tcPr>
            <w:tcW w:w="1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r>
      <w:tr>
        <w:trPr>
          <w:trHeight w:val="257"/>
        </w:trPr>
        <w:tc>
          <w:tcPr>
            <w:tcW w:w="7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actuarial loss for the U.K and German pension plans required to be amortized from accumulated other comprehensive income into net periodic pension cost in 2020 is expected to be $0.1 and $0.3, respectively.</w:t>
      </w:r>
    </w:p>
    <w:p>
      <w:pPr>
        <w:spacing w:after="0" w:line="7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investment policies for the U.K. Plans are set by the plan trustees, based upon the guidance of professional advisors and after consultation with the Company, taking into consideration the plans’ liabilities and future funding levels. The trustees have set the long-term investment policy largely in accordance with the asset allocation of a broadly diversified investment portfolio. Assets for the U.K. Plans are generally invested within the target ranges as follows:</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Legacy U.K. Plans</w:t>
            </w:r>
          </w:p>
        </w:tc>
        <w:tc>
          <w:tcPr>
            <w:tcW w:w="1520" w:type="dxa"/>
            <w:vAlign w:val="bottom"/>
            <w:gridSpan w:val="2"/>
          </w:tcPr>
          <w:p>
            <w:pPr>
              <w:jc w:val="center"/>
              <w:ind w:left="470"/>
              <w:spacing w:after="0"/>
              <w:rPr>
                <w:sz w:val="20"/>
                <w:szCs w:val="20"/>
                <w:color w:val="auto"/>
              </w:rPr>
            </w:pPr>
            <w:r>
              <w:rPr>
                <w:rFonts w:ascii="Arial" w:cs="Arial" w:eastAsia="Arial" w:hAnsi="Arial"/>
                <w:sz w:val="18"/>
                <w:szCs w:val="18"/>
                <w:color w:val="auto"/>
                <w:w w:val="91"/>
              </w:rPr>
              <w:t>Envigo Plan</w:t>
            </w:r>
          </w:p>
        </w:tc>
        <w:tc>
          <w:tcPr>
            <w:tcW w:w="540" w:type="dxa"/>
            <w:vAlign w:val="bottom"/>
          </w:tcPr>
          <w:p>
            <w:pPr>
              <w:spacing w:after="0"/>
              <w:rPr>
                <w:sz w:val="20"/>
                <w:szCs w:val="20"/>
                <w:color w:val="auto"/>
              </w:rPr>
            </w:pPr>
          </w:p>
        </w:tc>
      </w:tr>
      <w:tr>
        <w:trPr>
          <w:trHeight w:val="34"/>
        </w:trPr>
        <w:tc>
          <w:tcPr>
            <w:tcW w:w="7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4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to</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640" w:type="dxa"/>
            <w:vAlign w:val="bottom"/>
          </w:tcPr>
          <w:p>
            <w:pPr>
              <w:jc w:val="center"/>
              <w:ind w:right="250"/>
              <w:spacing w:after="0"/>
              <w:rPr>
                <w:sz w:val="20"/>
                <w:szCs w:val="20"/>
                <w:color w:val="auto"/>
              </w:rPr>
            </w:pPr>
            <w:r>
              <w:rPr>
                <w:rFonts w:ascii="Arial" w:cs="Arial" w:eastAsia="Arial" w:hAnsi="Arial"/>
                <w:sz w:val="18"/>
                <w:szCs w:val="18"/>
                <w:color w:val="auto"/>
                <w:w w:val="92"/>
              </w:rPr>
              <w:t>to</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70.0%</w:t>
            </w: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to</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jc w:val="center"/>
              <w:ind w:right="250"/>
              <w:spacing w:after="0"/>
              <w:rPr>
                <w:sz w:val="20"/>
                <w:szCs w:val="20"/>
                <w:color w:val="auto"/>
              </w:rPr>
            </w:pPr>
            <w:r>
              <w:rPr>
                <w:rFonts w:ascii="Arial" w:cs="Arial" w:eastAsia="Arial" w:hAnsi="Arial"/>
                <w:sz w:val="18"/>
                <w:szCs w:val="18"/>
                <w:color w:val="auto"/>
                <w:w w:val="92"/>
              </w:rPr>
              <w:t>to</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15.0%</w:t>
            </w: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2"/>
              </w:rPr>
              <w:t>to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320" w:type="dxa"/>
            <w:vAlign w:val="bottom"/>
            <w:gridSpan w:val="3"/>
          </w:tcPr>
          <w:p>
            <w:pPr>
              <w:ind w:left="180"/>
              <w:spacing w:after="0"/>
              <w:rPr>
                <w:sz w:val="20"/>
                <w:szCs w:val="20"/>
                <w:color w:val="auto"/>
              </w:rPr>
            </w:pPr>
            <w:r>
              <w:rPr>
                <w:rFonts w:ascii="Arial" w:cs="Arial" w:eastAsia="Arial" w:hAnsi="Arial"/>
                <w:sz w:val="18"/>
                <w:szCs w:val="18"/>
                <w:color w:val="auto"/>
                <w:w w:val="92"/>
              </w:rPr>
              <w:t>The weighted average asset allocation of the U.K. Pension Plans as of December 31, 2019, by asset category is as follows:</w:t>
            </w:r>
          </w:p>
        </w:tc>
        <w:tc>
          <w:tcPr>
            <w:tcW w:w="1960" w:type="dxa"/>
            <w:vAlign w:val="bottom"/>
          </w:tcPr>
          <w:p>
            <w:pPr>
              <w:spacing w:after="0"/>
              <w:rPr>
                <w:sz w:val="20"/>
                <w:szCs w:val="20"/>
                <w:color w:val="auto"/>
              </w:rPr>
            </w:pPr>
          </w:p>
        </w:tc>
      </w:tr>
      <w:tr>
        <w:trPr>
          <w:trHeight w:val="378"/>
        </w:trPr>
        <w:tc>
          <w:tcPr>
            <w:tcW w:w="7240" w:type="dxa"/>
            <w:vAlign w:val="bottom"/>
          </w:tcPr>
          <w:p>
            <w:pPr>
              <w:spacing w:after="0"/>
              <w:rPr>
                <w:sz w:val="24"/>
                <w:szCs w:val="24"/>
                <w:color w:val="auto"/>
              </w:rPr>
            </w:pPr>
          </w:p>
        </w:tc>
        <w:tc>
          <w:tcPr>
            <w:tcW w:w="4040" w:type="dxa"/>
            <w:vAlign w:val="bottom"/>
            <w:gridSpan w:val="3"/>
          </w:tcPr>
          <w:p>
            <w:pPr>
              <w:jc w:val="right"/>
              <w:ind w:right="1210"/>
              <w:spacing w:after="0"/>
              <w:rPr>
                <w:sz w:val="20"/>
                <w:szCs w:val="20"/>
                <w:color w:val="auto"/>
              </w:rPr>
            </w:pPr>
            <w:r>
              <w:rPr>
                <w:rFonts w:ascii="Arial" w:cs="Arial" w:eastAsia="Arial" w:hAnsi="Arial"/>
                <w:sz w:val="18"/>
                <w:szCs w:val="18"/>
                <w:color w:val="auto"/>
              </w:rPr>
              <w:t>December 31, 2019</w:t>
            </w:r>
          </w:p>
        </w:tc>
      </w:tr>
      <w:tr>
        <w:trPr>
          <w:trHeight w:val="270"/>
        </w:trPr>
        <w:tc>
          <w:tcPr>
            <w:tcW w:w="724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Legacy U.K. Plans</w:t>
            </w:r>
          </w:p>
        </w:tc>
        <w:tc>
          <w:tcPr>
            <w:tcW w:w="1960" w:type="dxa"/>
            <w:vAlign w:val="bottom"/>
          </w:tcPr>
          <w:p>
            <w:pPr>
              <w:jc w:val="right"/>
              <w:ind w:right="450"/>
              <w:spacing w:after="0"/>
              <w:rPr>
                <w:sz w:val="20"/>
                <w:szCs w:val="20"/>
                <w:color w:val="auto"/>
              </w:rPr>
            </w:pPr>
            <w:r>
              <w:rPr>
                <w:rFonts w:ascii="Arial" w:cs="Arial" w:eastAsia="Arial" w:hAnsi="Arial"/>
                <w:sz w:val="18"/>
                <w:szCs w:val="18"/>
                <w:color w:val="auto"/>
              </w:rPr>
              <w:t>Envigo Plan</w:t>
            </w:r>
          </w:p>
        </w:tc>
      </w:tr>
      <w:tr>
        <w:trPr>
          <w:trHeight w:val="34"/>
        </w:trPr>
        <w:tc>
          <w:tcPr>
            <w:tcW w:w="7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7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2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12"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5" w:right="239" w:bottom="312"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 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 of the Company’s U.K. Plans' assets as of December 31, 2019, and December 31, 2018, by asset category, are as follows: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6"/>
          </w:tcPr>
          <w:p>
            <w:pPr>
              <w:jc w:val="center"/>
              <w:ind w:left="730"/>
              <w:spacing w:after="0"/>
              <w:rPr>
                <w:sz w:val="20"/>
                <w:szCs w:val="20"/>
                <w:color w:val="auto"/>
              </w:rPr>
            </w:pPr>
            <w:r>
              <w:rPr>
                <w:rFonts w:ascii="Arial" w:cs="Arial" w:eastAsia="Arial" w:hAnsi="Arial"/>
                <w:sz w:val="18"/>
                <w:szCs w:val="18"/>
                <w:color w:val="auto"/>
                <w:w w:val="89"/>
              </w:rPr>
              <w:t>Fair Value Measurements as of</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31, 2019</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December 31,</w:t>
            </w:r>
          </w:p>
        </w:tc>
        <w:tc>
          <w:tcPr>
            <w:tcW w:w="300" w:type="dxa"/>
            <w:vAlign w:val="bottom"/>
          </w:tcPr>
          <w:p>
            <w:pPr>
              <w:spacing w:after="0"/>
              <w:rPr>
                <w:sz w:val="23"/>
                <w:szCs w:val="23"/>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color w:val="auto"/>
                <w:w w:val="92"/>
              </w:rPr>
              <w:t>Using Fair Value Hierarchy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458.5</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30"/>
              <w:spacing w:after="0"/>
              <w:rPr>
                <w:sz w:val="20"/>
                <w:szCs w:val="20"/>
                <w:color w:val="auto"/>
              </w:rPr>
            </w:pPr>
            <w:r>
              <w:rPr>
                <w:rFonts w:ascii="Arial" w:cs="Arial" w:eastAsia="Arial" w:hAnsi="Arial"/>
                <w:sz w:val="18"/>
                <w:szCs w:val="18"/>
                <w:color w:val="auto"/>
                <w:w w:val="89"/>
              </w:rPr>
              <w:t>Fair Value Measurements as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31, 2018</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December 31,</w:t>
            </w:r>
          </w:p>
        </w:tc>
        <w:tc>
          <w:tcPr>
            <w:tcW w:w="300" w:type="dxa"/>
            <w:vAlign w:val="bottom"/>
          </w:tcPr>
          <w:p>
            <w:pPr>
              <w:spacing w:after="0"/>
              <w:rPr>
                <w:sz w:val="23"/>
                <w:szCs w:val="23"/>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color w:val="auto"/>
                <w:w w:val="92"/>
              </w:rPr>
              <w:t>Using Fair Value Hierarchy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79"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9"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Fair Value Measurement of Level 3 Pension Assets</w:t>
            </w:r>
          </w:p>
        </w:tc>
        <w:tc>
          <w:tcPr>
            <w:tcW w:w="1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30" w:type="dxa"/>
            <w:vAlign w:val="bottom"/>
            <w:tcBorders>
              <w:bottom w:val="single" w:sz="8" w:color="auto"/>
            </w:tcBorders>
          </w:tcPr>
          <w:p>
            <w:pPr>
              <w:spacing w:after="0"/>
              <w:rPr>
                <w:sz w:val="23"/>
                <w:szCs w:val="23"/>
                <w:color w:val="auto"/>
              </w:rPr>
            </w:pPr>
          </w:p>
        </w:tc>
        <w:tc>
          <w:tcPr>
            <w:tcW w:w="33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8"/>
                <w:szCs w:val="18"/>
                <w:color w:val="auto"/>
              </w:rPr>
              <w:t>Annuities</w:t>
            </w: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20" w:type="dxa"/>
            <w:vAlign w:val="bottom"/>
            <w:tcBorders>
              <w:bottom w:val="single" w:sz="8" w:color="CCEEFF"/>
            </w:tcBorders>
            <w:shd w:val="clear" w:color="auto" w:fill="CCEEFF"/>
          </w:tcPr>
          <w:p>
            <w:pPr>
              <w:spacing w:after="0"/>
              <w:rPr>
                <w:sz w:val="21"/>
                <w:szCs w:val="21"/>
                <w:color w:val="auto"/>
              </w:rPr>
            </w:pPr>
          </w:p>
        </w:tc>
        <w:tc>
          <w:tcPr>
            <w:tcW w:w="55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3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33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33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30" w:type="dxa"/>
            <w:vAlign w:val="bottom"/>
            <w:tcBorders>
              <w:bottom w:val="single" w:sz="8" w:color="CCEEFF"/>
            </w:tcBorders>
            <w:shd w:val="clear" w:color="auto" w:fill="CCEEFF"/>
          </w:tcPr>
          <w:p>
            <w:pPr>
              <w:spacing w:after="0"/>
              <w:rPr>
                <w:sz w:val="21"/>
                <w:szCs w:val="21"/>
                <w:color w:val="auto"/>
              </w:rPr>
            </w:pPr>
          </w:p>
        </w:tc>
        <w:tc>
          <w:tcPr>
            <w:tcW w:w="33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33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33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20" w:type="dxa"/>
            <w:vAlign w:val="bottom"/>
            <w:shd w:val="clear" w:color="auto" w:fill="CCEEFF"/>
          </w:tcPr>
          <w:p>
            <w:pPr>
              <w:spacing w:after="0"/>
              <w:rPr>
                <w:sz w:val="22"/>
                <w:szCs w:val="22"/>
                <w:color w:val="auto"/>
              </w:rPr>
            </w:pPr>
          </w:p>
        </w:tc>
        <w:tc>
          <w:tcPr>
            <w:tcW w:w="55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3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Expected future benefit payments are as follows:</w:t>
            </w: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30" w:type="dxa"/>
            <w:vAlign w:val="bottom"/>
            <w:tcBorders>
              <w:top w:val="single" w:sz="8" w:color="auto"/>
              <w:bottom w:val="single" w:sz="8" w:color="auto"/>
            </w:tcBorders>
          </w:tcPr>
          <w:p>
            <w:pPr>
              <w:spacing w:after="0" w:line="20" w:lineRule="exact"/>
              <w:rPr>
                <w:sz w:val="1"/>
                <w:szCs w:val="1"/>
                <w:color w:val="auto"/>
              </w:rPr>
            </w:pPr>
          </w:p>
        </w:tc>
        <w:tc>
          <w:tcPr>
            <w:tcW w:w="33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U.K. Plans</w:t>
            </w:r>
          </w:p>
        </w:tc>
        <w:tc>
          <w:tcPr>
            <w:tcW w:w="12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German Plan</w:t>
            </w:r>
          </w:p>
        </w:tc>
        <w:tc>
          <w:tcPr>
            <w:tcW w:w="0" w:type="dxa"/>
            <w:vAlign w:val="bottom"/>
          </w:tcPr>
          <w:p>
            <w:pPr>
              <w:spacing w:after="0"/>
              <w:rPr>
                <w:sz w:val="1"/>
                <w:szCs w:val="1"/>
                <w:color w:val="auto"/>
              </w:rPr>
            </w:pPr>
          </w:p>
        </w:tc>
      </w:tr>
      <w:tr>
        <w:trPr>
          <w:trHeight w:val="34"/>
        </w:trPr>
        <w:tc>
          <w:tcPr>
            <w:tcW w:w="7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50" w:type="dxa"/>
            <w:vAlign w:val="bottom"/>
            <w:tcBorders>
              <w:bottom w:val="single" w:sz="8" w:color="auto"/>
            </w:tcBorders>
            <w:gridSpan w:val="2"/>
          </w:tcPr>
          <w:p>
            <w:pPr>
              <w:spacing w:after="0"/>
              <w:rPr>
                <w:sz w:val="2"/>
                <w:szCs w:val="2"/>
                <w:color w:val="auto"/>
              </w:rPr>
            </w:pPr>
          </w:p>
        </w:tc>
        <w:tc>
          <w:tcPr>
            <w:tcW w:w="33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5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33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2021</w:t>
            </w:r>
          </w:p>
        </w:tc>
        <w:tc>
          <w:tcPr>
            <w:tcW w:w="1420" w:type="dxa"/>
            <w:vAlign w:val="bottom"/>
          </w:tcPr>
          <w:p>
            <w:pPr>
              <w:spacing w:after="0"/>
              <w:rPr>
                <w:sz w:val="21"/>
                <w:szCs w:val="21"/>
                <w:color w:val="auto"/>
              </w:rPr>
            </w:pPr>
          </w:p>
        </w:tc>
        <w:tc>
          <w:tcPr>
            <w:tcW w:w="550" w:type="dxa"/>
            <w:vAlign w:val="bottom"/>
            <w:gridSpan w:val="2"/>
          </w:tcPr>
          <w:p>
            <w:pPr>
              <w:jc w:val="right"/>
              <w:ind w:right="170"/>
              <w:spacing w:after="0"/>
              <w:rPr>
                <w:sz w:val="20"/>
                <w:szCs w:val="20"/>
                <w:color w:val="auto"/>
              </w:rPr>
            </w:pPr>
            <w:r>
              <w:rPr>
                <w:rFonts w:ascii="Arial" w:cs="Arial" w:eastAsia="Arial" w:hAnsi="Arial"/>
                <w:sz w:val="18"/>
                <w:szCs w:val="18"/>
                <w:color w:val="auto"/>
              </w:rPr>
              <w:t>14.9</w:t>
            </w:r>
          </w:p>
        </w:tc>
        <w:tc>
          <w:tcPr>
            <w:tcW w:w="33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50" w:type="dxa"/>
            <w:vAlign w:val="bottom"/>
            <w:gridSpan w:val="2"/>
          </w:tcPr>
          <w:p>
            <w:pPr>
              <w:spacing w:after="0"/>
              <w:rPr>
                <w:sz w:val="2"/>
                <w:szCs w:val="2"/>
                <w:color w:val="auto"/>
              </w:rPr>
            </w:pPr>
          </w:p>
        </w:tc>
        <w:tc>
          <w:tcPr>
            <w:tcW w:w="33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55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16.1</w:t>
            </w:r>
          </w:p>
        </w:tc>
        <w:tc>
          <w:tcPr>
            <w:tcW w:w="33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2023</w:t>
            </w:r>
          </w:p>
        </w:tc>
        <w:tc>
          <w:tcPr>
            <w:tcW w:w="1420" w:type="dxa"/>
            <w:vAlign w:val="bottom"/>
          </w:tcPr>
          <w:p>
            <w:pPr>
              <w:spacing w:after="0"/>
              <w:rPr>
                <w:sz w:val="21"/>
                <w:szCs w:val="21"/>
                <w:color w:val="auto"/>
              </w:rPr>
            </w:pPr>
          </w:p>
        </w:tc>
        <w:tc>
          <w:tcPr>
            <w:tcW w:w="550" w:type="dxa"/>
            <w:vAlign w:val="bottom"/>
            <w:gridSpan w:val="2"/>
          </w:tcPr>
          <w:p>
            <w:pPr>
              <w:jc w:val="right"/>
              <w:ind w:right="170"/>
              <w:spacing w:after="0"/>
              <w:rPr>
                <w:sz w:val="20"/>
                <w:szCs w:val="20"/>
                <w:color w:val="auto"/>
              </w:rPr>
            </w:pPr>
            <w:r>
              <w:rPr>
                <w:rFonts w:ascii="Arial" w:cs="Arial" w:eastAsia="Arial" w:hAnsi="Arial"/>
                <w:sz w:val="18"/>
                <w:szCs w:val="18"/>
                <w:color w:val="auto"/>
              </w:rPr>
              <w:t>16.7</w:t>
            </w:r>
          </w:p>
        </w:tc>
        <w:tc>
          <w:tcPr>
            <w:tcW w:w="33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50" w:type="dxa"/>
            <w:vAlign w:val="bottom"/>
            <w:gridSpan w:val="2"/>
          </w:tcPr>
          <w:p>
            <w:pPr>
              <w:spacing w:after="0"/>
              <w:rPr>
                <w:sz w:val="2"/>
                <w:szCs w:val="2"/>
                <w:color w:val="auto"/>
              </w:rPr>
            </w:pPr>
          </w:p>
        </w:tc>
        <w:tc>
          <w:tcPr>
            <w:tcW w:w="33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CCEEFF"/>
            </w:tcBorders>
            <w:shd w:val="clear" w:color="auto" w:fill="CCEEFF"/>
          </w:tcPr>
          <w:p>
            <w:pPr>
              <w:spacing w:after="0"/>
              <w:rPr>
                <w:sz w:val="21"/>
                <w:szCs w:val="21"/>
                <w:color w:val="auto"/>
              </w:rPr>
            </w:pPr>
          </w:p>
        </w:tc>
        <w:tc>
          <w:tcPr>
            <w:tcW w:w="55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18.0</w:t>
            </w:r>
          </w:p>
        </w:tc>
        <w:tc>
          <w:tcPr>
            <w:tcW w:w="33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Years 2025 and thereafter</w:t>
            </w:r>
          </w:p>
        </w:tc>
        <w:tc>
          <w:tcPr>
            <w:tcW w:w="1420" w:type="dxa"/>
            <w:vAlign w:val="bottom"/>
          </w:tcPr>
          <w:p>
            <w:pPr>
              <w:spacing w:after="0"/>
              <w:rPr>
                <w:sz w:val="21"/>
                <w:szCs w:val="21"/>
                <w:color w:val="auto"/>
              </w:rPr>
            </w:pPr>
          </w:p>
        </w:tc>
        <w:tc>
          <w:tcPr>
            <w:tcW w:w="550" w:type="dxa"/>
            <w:vAlign w:val="bottom"/>
            <w:gridSpan w:val="2"/>
          </w:tcPr>
          <w:p>
            <w:pPr>
              <w:jc w:val="right"/>
              <w:ind w:right="170"/>
              <w:spacing w:after="0"/>
              <w:rPr>
                <w:sz w:val="20"/>
                <w:szCs w:val="20"/>
                <w:color w:val="auto"/>
              </w:rPr>
            </w:pPr>
            <w:r>
              <w:rPr>
                <w:rFonts w:ascii="Arial" w:cs="Arial" w:eastAsia="Arial" w:hAnsi="Arial"/>
                <w:sz w:val="18"/>
                <w:szCs w:val="18"/>
                <w:color w:val="auto"/>
              </w:rPr>
              <w:t>95.7</w:t>
            </w:r>
          </w:p>
        </w:tc>
        <w:tc>
          <w:tcPr>
            <w:tcW w:w="33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379"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a result of the Covance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6"/>
          </w:tcPr>
          <w:p>
            <w:pPr>
              <w:jc w:val="right"/>
              <w:ind w:right="10"/>
              <w:spacing w:after="0"/>
              <w:rPr>
                <w:sz w:val="20"/>
                <w:szCs w:val="20"/>
                <w:color w:val="auto"/>
              </w:rPr>
            </w:pPr>
            <w:r>
              <w:rPr>
                <w:rFonts w:ascii="Arial" w:cs="Arial" w:eastAsia="Arial" w:hAnsi="Arial"/>
                <w:sz w:val="18"/>
                <w:szCs w:val="18"/>
                <w:color w:val="auto"/>
                <w:w w:val="96"/>
              </w:rPr>
              <w:t>Year ended December 31,</w:t>
            </w:r>
          </w:p>
        </w:tc>
        <w:tc>
          <w:tcPr>
            <w:tcW w:w="920" w:type="dxa"/>
            <w:vAlign w:val="bottom"/>
          </w:tcPr>
          <w:p>
            <w:pPr>
              <w:spacing w:after="0"/>
              <w:rPr>
                <w:sz w:val="20"/>
                <w:szCs w:val="20"/>
                <w:color w:val="auto"/>
              </w:rPr>
            </w:pPr>
          </w:p>
        </w:tc>
      </w:tr>
      <w:tr>
        <w:trPr>
          <w:trHeight w:val="34"/>
        </w:trPr>
        <w:tc>
          <w:tcPr>
            <w:tcW w:w="7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8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64"/>
        </w:trPr>
        <w:tc>
          <w:tcPr>
            <w:tcW w:w="7360" w:type="dxa"/>
            <w:vAlign w:val="bottom"/>
          </w:tcPr>
          <w:p>
            <w:pPr>
              <w:ind w:left="280"/>
              <w:spacing w:after="0"/>
              <w:rPr>
                <w:sz w:val="20"/>
                <w:szCs w:val="20"/>
                <w:color w:val="auto"/>
              </w:rPr>
            </w:pPr>
            <w:r>
              <w:rPr>
                <w:rFonts w:ascii="Arial" w:cs="Arial" w:eastAsia="Arial" w:hAnsi="Arial"/>
                <w:sz w:val="18"/>
                <w:szCs w:val="18"/>
                <w:color w:val="auto"/>
              </w:rPr>
              <w:t>Post-retirement medical plan costs</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0.7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Amounts included in accumulated other comprehensive earnings consist of unamortized net loss of $2.0. The accumulated other comprehensive earnings that are expected to be recognized as components of the post-retirement medical plan costs during 2020 are $0.3 related to amortization of the net gain resulting from the shift of Medicare-eligible participants to private exchanges.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r>
      <w:tr>
        <w:trPr>
          <w:trHeight w:val="34"/>
        </w:trPr>
        <w:tc>
          <w:tcPr>
            <w:tcW w:w="8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8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8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as: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87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3.2% and 4.2% as of December 31, 2019, and 2018, respectively. The healthcare cost trend rate was removed due to the expectation of future funding to be at the same level as the previous year's funding.</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2021</w:t>
            </w:r>
          </w:p>
        </w:tc>
        <w:tc>
          <w:tcPr>
            <w:tcW w:w="4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9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9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Years 2025 and thereafter</w:t>
            </w:r>
          </w:p>
        </w:tc>
        <w:tc>
          <w:tcPr>
            <w:tcW w:w="4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 Deferred Compensation Plan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$76.7 and $64.2 at December 31, 2019, and 2018, respectively. Deferred amounts are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5" w:right="239" w:bottom="437"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general unsecured obligations and are subject to claims by the Company's creditors. The Company's general assets may be used to fund obligations and pay DCP benefits.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December 31, 2019, and 2018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10"/>
          </w:tcPr>
          <w:p>
            <w:pPr>
              <w:jc w:val="center"/>
              <w:ind w:right="100"/>
              <w:spacing w:after="0"/>
              <w:rPr>
                <w:sz w:val="20"/>
                <w:szCs w:val="20"/>
                <w:color w:val="auto"/>
              </w:rPr>
            </w:pPr>
            <w:r>
              <w:rPr>
                <w:rFonts w:ascii="Arial" w:cs="Arial" w:eastAsia="Arial" w:hAnsi="Arial"/>
                <w:sz w:val="18"/>
                <w:szCs w:val="18"/>
                <w:color w:val="auto"/>
                <w:w w:val="89"/>
              </w:rPr>
              <w:t>Fair Value Measurements as of</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40" w:type="dxa"/>
            <w:vAlign w:val="bottom"/>
            <w:gridSpan w:val="8"/>
          </w:tcPr>
          <w:p>
            <w:pPr>
              <w:jc w:val="center"/>
              <w:ind w:right="68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Fair Value as of</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9"/>
          </w:tcPr>
          <w:p>
            <w:pPr>
              <w:jc w:val="center"/>
              <w:ind w:right="400"/>
              <w:spacing w:after="0"/>
              <w:rPr>
                <w:sz w:val="20"/>
                <w:szCs w:val="20"/>
                <w:color w:val="auto"/>
              </w:rPr>
            </w:pPr>
            <w:r>
              <w:rPr>
                <w:rFonts w:ascii="Arial" w:cs="Arial" w:eastAsia="Arial" w:hAnsi="Arial"/>
                <w:sz w:val="18"/>
                <w:szCs w:val="18"/>
                <w:color w:val="auto"/>
                <w:w w:val="92"/>
              </w:rPr>
              <w:t>Using Fair Value Hierarchy</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w w:val="92"/>
              </w:rPr>
              <w:t>Balance Sheet Classification</w:t>
            </w:r>
          </w:p>
        </w:tc>
        <w:tc>
          <w:tcPr>
            <w:tcW w:w="240" w:type="dxa"/>
            <w:vAlign w:val="bottom"/>
          </w:tcPr>
          <w:p>
            <w:pPr>
              <w:spacing w:after="0"/>
              <w:rPr>
                <w:sz w:val="21"/>
                <w:szCs w:val="21"/>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2019</w:t>
            </w:r>
          </w:p>
        </w:tc>
        <w:tc>
          <w:tcPr>
            <w:tcW w:w="1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Level 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22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 currency swaps</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Investment in equity securities</w:t>
            </w:r>
          </w:p>
        </w:tc>
        <w:tc>
          <w:tcPr>
            <w:tcW w:w="2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10"/>
          </w:tcPr>
          <w:p>
            <w:pPr>
              <w:jc w:val="center"/>
              <w:ind w:right="100"/>
              <w:spacing w:after="0"/>
              <w:rPr>
                <w:sz w:val="20"/>
                <w:szCs w:val="20"/>
                <w:color w:val="auto"/>
              </w:rPr>
            </w:pPr>
            <w:r>
              <w:rPr>
                <w:rFonts w:ascii="Arial" w:cs="Arial" w:eastAsia="Arial" w:hAnsi="Arial"/>
                <w:sz w:val="18"/>
                <w:szCs w:val="18"/>
                <w:color w:val="auto"/>
                <w:w w:val="89"/>
              </w:rPr>
              <w:t>Fair Value Measurements as of</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40" w:type="dxa"/>
            <w:vAlign w:val="bottom"/>
            <w:gridSpan w:val="8"/>
          </w:tcPr>
          <w:p>
            <w:pPr>
              <w:jc w:val="center"/>
              <w:ind w:right="68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Fair Value as of</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9"/>
          </w:tcPr>
          <w:p>
            <w:pPr>
              <w:jc w:val="center"/>
              <w:ind w:right="400"/>
              <w:spacing w:after="0"/>
              <w:rPr>
                <w:sz w:val="20"/>
                <w:szCs w:val="20"/>
                <w:color w:val="auto"/>
              </w:rPr>
            </w:pPr>
            <w:r>
              <w:rPr>
                <w:rFonts w:ascii="Arial" w:cs="Arial" w:eastAsia="Arial" w:hAnsi="Arial"/>
                <w:sz w:val="18"/>
                <w:szCs w:val="18"/>
                <w:color w:val="auto"/>
                <w:w w:val="92"/>
              </w:rPr>
              <w:t>Using Fair Value Hierarchy</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w w:val="92"/>
              </w:rPr>
              <w:t>Balance Sheet Classification</w:t>
            </w:r>
          </w:p>
        </w:tc>
        <w:tc>
          <w:tcPr>
            <w:tcW w:w="240" w:type="dxa"/>
            <w:vAlign w:val="bottom"/>
          </w:tcPr>
          <w:p>
            <w:pPr>
              <w:spacing w:after="0"/>
              <w:rPr>
                <w:sz w:val="21"/>
                <w:szCs w:val="21"/>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2018</w:t>
            </w:r>
          </w:p>
        </w:tc>
        <w:tc>
          <w:tcPr>
            <w:tcW w:w="1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Level 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2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 currency swaps liability</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2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6"/>
        </w:trPr>
        <w:tc>
          <w:tcPr>
            <w:tcW w:w="40" w:type="dxa"/>
            <w:vAlign w:val="bottom"/>
          </w:tcPr>
          <w:p>
            <w:pPr>
              <w:spacing w:after="0"/>
              <w:rPr>
                <w:sz w:val="24"/>
                <w:szCs w:val="24"/>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Measurement of Level 3 Liabilities</w:t>
            </w:r>
          </w:p>
        </w:tc>
        <w:tc>
          <w:tcPr>
            <w:tcW w:w="2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8"/>
                <w:szCs w:val="18"/>
                <w:color w:val="auto"/>
                <w:w w:val="91"/>
              </w:rPr>
              <w:t>Contingent Consideration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2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Addition</w:t>
            </w: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Addition</w:t>
            </w: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 During the year ended December 31, 2019, the carrying value of the noncontrolling interest put increased by $0.8 for foreign currency translation.</w:t>
      </w:r>
    </w:p>
    <w:p>
      <w:pPr>
        <w:spacing w:after="0" w:line="71"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7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$0.0 and $16.9 as of December 31, 2019, and 2018, respectively. The fair market value of the Senior Notes, based on market pricing, was approximately $5,281.1 and $5,318.0 as of December 31, 2019, and 2018, respectively. The Company's note and debt instruments are considered Level 2 instruments, as the fair market values of these instruments are determined using other observable inputs.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 INSTRUMENTS AND HEDGING ACTIVITIES</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Although the Company’s zero-coupon subordinated notes contained features that were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 Company exited one of these swap arrangements in December 2019 in connection with the redemption of $187.9 of the 4.625% Senior Notes due 2020. These derivative financial instruments are accounted for as fair value hedges of the Senior Notes due 2020. These interest rate swaps are included in other long-term assets or liabilities, as applicable, and added to the value of the Senior Notes.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4"/>
          </w:tcPr>
          <w:p>
            <w:pPr>
              <w:jc w:val="center"/>
              <w:ind w:right="70"/>
              <w:spacing w:after="0"/>
              <w:rPr>
                <w:sz w:val="20"/>
                <w:szCs w:val="20"/>
                <w:color w:val="auto"/>
              </w:rPr>
            </w:pPr>
            <w:r>
              <w:rPr>
                <w:rFonts w:ascii="Arial" w:cs="Arial" w:eastAsia="Arial" w:hAnsi="Arial"/>
                <w:sz w:val="18"/>
                <w:szCs w:val="18"/>
                <w:color w:val="auto"/>
                <w:w w:val="93"/>
              </w:rPr>
              <w:t>Cumulative Amount of Fair Value Hedging</w:t>
            </w:r>
          </w:p>
        </w:tc>
      </w:tr>
      <w:tr>
        <w:trPr>
          <w:trHeight w:val="216"/>
        </w:trPr>
        <w:tc>
          <w:tcPr>
            <w:tcW w:w="3660" w:type="dxa"/>
            <w:vAlign w:val="bottom"/>
          </w:tcPr>
          <w:p>
            <w:pPr>
              <w:spacing w:after="0"/>
              <w:rPr>
                <w:sz w:val="18"/>
                <w:szCs w:val="18"/>
                <w:color w:val="auto"/>
              </w:rPr>
            </w:pPr>
          </w:p>
        </w:tc>
        <w:tc>
          <w:tcPr>
            <w:tcW w:w="378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Carrying amount of hedged liabilities as of</w:t>
            </w:r>
          </w:p>
        </w:tc>
        <w:tc>
          <w:tcPr>
            <w:tcW w:w="3640" w:type="dxa"/>
            <w:vAlign w:val="bottom"/>
            <w:gridSpan w:val="5"/>
          </w:tcPr>
          <w:p>
            <w:pPr>
              <w:jc w:val="center"/>
              <w:spacing w:after="0"/>
              <w:rPr>
                <w:sz w:val="20"/>
                <w:szCs w:val="20"/>
                <w:color w:val="auto"/>
              </w:rPr>
            </w:pPr>
            <w:r>
              <w:rPr>
                <w:rFonts w:ascii="Arial" w:cs="Arial" w:eastAsia="Arial" w:hAnsi="Arial"/>
                <w:sz w:val="18"/>
                <w:szCs w:val="18"/>
                <w:color w:val="auto"/>
                <w:w w:val="93"/>
              </w:rPr>
              <w:t>Adjustment Included in the Carrying Amount of</w:t>
            </w:r>
          </w:p>
        </w:tc>
      </w:tr>
      <w:tr>
        <w:trPr>
          <w:trHeight w:val="230"/>
        </w:trPr>
        <w:tc>
          <w:tcPr>
            <w:tcW w:w="3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December 31,</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the Hedged Liabilities as of December 31,</w:t>
            </w:r>
          </w:p>
        </w:tc>
      </w:tr>
      <w:tr>
        <w:trPr>
          <w:trHeight w:val="27"/>
        </w:trPr>
        <w:tc>
          <w:tcPr>
            <w:tcW w:w="3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2018</w:t>
            </w:r>
          </w:p>
        </w:tc>
      </w:tr>
      <w:tr>
        <w:trPr>
          <w:trHeight w:val="27"/>
        </w:trPr>
        <w:tc>
          <w:tcPr>
            <w:tcW w:w="3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w w:val="98"/>
              </w:rPr>
              <w:t>Balance Sheet Line Item in which Hedged Items are Included</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160"/>
              <w:spacing w:after="0"/>
              <w:rPr>
                <w:sz w:val="20"/>
                <w:szCs w:val="20"/>
                <w:color w:val="auto"/>
              </w:rPr>
            </w:pPr>
            <w:r>
              <w:rPr>
                <w:rFonts w:ascii="Arial" w:cs="Arial" w:eastAsia="Arial" w:hAnsi="Arial"/>
                <w:sz w:val="18"/>
                <w:szCs w:val="18"/>
                <w:color w:val="auto"/>
              </w:rPr>
              <w:t>Current portion, long term debt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1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25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2019 and 2018.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Swaps</w:t>
      </w:r>
    </w:p>
    <w:p>
      <w:pPr>
        <w:spacing w:after="0" w:line="256"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6"/>
          <w:szCs w:val="16"/>
          <w:color w:val="auto"/>
        </w:rPr>
        <w:t>During the first quarter of 2018, the Company entered into six USD to Swiss Franc cross-currency swap agreements with an aggregate notional value of $600.0 and which were accounted for as a hedge against its net investment in a Swiss subsidiary. Of the notional value, $300.0 were due to mature in 2022 and $300.0 were due to mature in 2025. These cross currency swaps maturing in 2022 and 2025 were settled on December 10, 2018 in cash.</w:t>
      </w:r>
    </w:p>
    <w:p>
      <w:pPr>
        <w:spacing w:after="0" w:line="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During the fourth quarter of 2018, the Company entered into six new USD to Swiss Franc cross-currency swap agreements with an aggregate notional value of $600.0 and which are accounted for as a hedge against the impact of foreign exchange movements on its net investment in a Swiss Franc functional currency subsidiary. Of the notional value, $300.0 matures in 2022 and $300.0 matures in 2025. These cross currency swaps maturing in 2022 and 2025 are included in other long-term assets as of December 31, 2019. Changes in the fair value of the cross-currency swaps are recorded as a component of the foreign currency translation adjustment in accumulated other comprehensive income in the Consolidated Balance Sheet until the hedged item is recognized in earnings. The cumulative amount of the fair value hedging adjustment included in the current value of the cross currency swaps is $6.0 for the year ended December 31, 2019, and was recognized as currency translation within the Consolidated Statement of</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Earnings. There were no amounts reclassified from the Consolidated Statement of Comprehensive Earnings to the Consolidated Statement of Operations during the year ended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derivatives on a gross basis and the balance sheet classification of those instruments: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jc w:val="center"/>
              <w:ind w:right="80"/>
              <w:spacing w:after="0"/>
              <w:rPr>
                <w:sz w:val="20"/>
                <w:szCs w:val="20"/>
                <w:color w:val="auto"/>
              </w:rPr>
            </w:pPr>
            <w:r>
              <w:rPr>
                <w:rFonts w:ascii="Arial" w:cs="Arial" w:eastAsia="Arial" w:hAnsi="Arial"/>
                <w:sz w:val="18"/>
                <w:szCs w:val="18"/>
                <w:color w:val="auto"/>
                <w:w w:val="88"/>
              </w:rPr>
              <w:t>December 31, 2019</w:t>
            </w:r>
          </w:p>
        </w:tc>
        <w:tc>
          <w:tcPr>
            <w:tcW w:w="2460" w:type="dxa"/>
            <w:vAlign w:val="bottom"/>
            <w:gridSpan w:val="5"/>
          </w:tcPr>
          <w:p>
            <w:pPr>
              <w:jc w:val="right"/>
              <w:ind w:right="415"/>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jc w:val="center"/>
              <w:ind w:right="80"/>
              <w:spacing w:after="0"/>
              <w:rPr>
                <w:sz w:val="20"/>
                <w:szCs w:val="20"/>
                <w:color w:val="auto"/>
              </w:rPr>
            </w:pPr>
            <w:r>
              <w:rPr>
                <w:rFonts w:ascii="Arial" w:cs="Arial" w:eastAsia="Arial" w:hAnsi="Arial"/>
                <w:sz w:val="18"/>
                <w:szCs w:val="18"/>
                <w:color w:val="auto"/>
                <w:w w:val="94"/>
              </w:rPr>
              <w:t>Fair Value of Derivative</w:t>
            </w:r>
          </w:p>
        </w:tc>
        <w:tc>
          <w:tcPr>
            <w:tcW w:w="2460" w:type="dxa"/>
            <w:vAlign w:val="bottom"/>
            <w:gridSpan w:val="5"/>
          </w:tcPr>
          <w:p>
            <w:pPr>
              <w:ind w:left="380"/>
              <w:spacing w:after="0"/>
              <w:rPr>
                <w:sz w:val="20"/>
                <w:szCs w:val="20"/>
                <w:color w:val="auto"/>
              </w:rPr>
            </w:pPr>
            <w:r>
              <w:rPr>
                <w:rFonts w:ascii="Arial" w:cs="Arial" w:eastAsia="Arial" w:hAnsi="Arial"/>
                <w:sz w:val="18"/>
                <w:szCs w:val="18"/>
                <w:color w:val="auto"/>
              </w:rPr>
              <w:t>Fair Value of Derivative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U.S.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240" w:type="dxa"/>
            <w:vAlign w:val="bottom"/>
            <w:gridSpan w:val="3"/>
            <w:vMerge w:val="restart"/>
          </w:tcPr>
          <w:p>
            <w:pPr>
              <w:ind w:left="1240"/>
              <w:spacing w:after="0"/>
              <w:rPr>
                <w:sz w:val="20"/>
                <w:szCs w:val="20"/>
                <w:color w:val="auto"/>
              </w:rPr>
            </w:pPr>
            <w:r>
              <w:rPr>
                <w:rFonts w:ascii="Arial" w:cs="Arial" w:eastAsia="Arial" w:hAnsi="Arial"/>
                <w:sz w:val="18"/>
                <w:szCs w:val="18"/>
                <w:color w:val="auto"/>
              </w:rPr>
              <w:t>Balance Sheet Caption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Dollar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95"/>
              <w:spacing w:after="0"/>
              <w:rPr>
                <w:sz w:val="20"/>
                <w:szCs w:val="20"/>
                <w:color w:val="auto"/>
              </w:rPr>
            </w:pPr>
            <w:r>
              <w:rPr>
                <w:rFonts w:ascii="Arial" w:cs="Arial" w:eastAsia="Arial" w:hAnsi="Arial"/>
                <w:sz w:val="16"/>
                <w:szCs w:val="16"/>
                <w:color w:val="auto"/>
              </w:rPr>
              <w:t>Dollar</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240" w:type="dxa"/>
            <w:vAlign w:val="bottom"/>
            <w:gridSpan w:val="3"/>
            <w:vMerge w:val="continue"/>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color w:val="auto"/>
              </w:rPr>
              <w:t>Asset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Liability</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Notional</w:t>
            </w:r>
          </w:p>
        </w:tc>
        <w:tc>
          <w:tcPr>
            <w:tcW w:w="780" w:type="dxa"/>
            <w:vAlign w:val="bottom"/>
            <w:gridSpan w:val="2"/>
          </w:tcPr>
          <w:p>
            <w:pPr>
              <w:ind w:left="160"/>
              <w:spacing w:after="0"/>
              <w:rPr>
                <w:sz w:val="20"/>
                <w:szCs w:val="20"/>
                <w:color w:val="auto"/>
              </w:rPr>
            </w:pPr>
            <w:r>
              <w:rPr>
                <w:rFonts w:ascii="Arial" w:cs="Arial" w:eastAsia="Arial" w:hAnsi="Arial"/>
                <w:sz w:val="16"/>
                <w:szCs w:val="16"/>
                <w:color w:val="auto"/>
              </w:rPr>
              <w:t>Asset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Liability</w:t>
            </w:r>
          </w:p>
        </w:tc>
        <w:tc>
          <w:tcPr>
            <w:tcW w:w="780" w:type="dxa"/>
            <w:vAlign w:val="bottom"/>
          </w:tcPr>
          <w:p>
            <w:pPr>
              <w:jc w:val="right"/>
              <w:ind w:right="15"/>
              <w:spacing w:after="0"/>
              <w:rPr>
                <w:sz w:val="20"/>
                <w:szCs w:val="20"/>
                <w:color w:val="auto"/>
              </w:rPr>
            </w:pPr>
            <w:r>
              <w:rPr>
                <w:rFonts w:ascii="Arial" w:cs="Arial" w:eastAsia="Arial" w:hAnsi="Arial"/>
                <w:sz w:val="16"/>
                <w:szCs w:val="16"/>
                <w:color w:val="auto"/>
              </w:rPr>
              <w:t>Notional</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2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Derivatives Designated as Hedging Instruments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auto"/>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Prepaid expenses and other/Other liabilities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Cross currency swaps</w:t>
            </w:r>
          </w:p>
        </w:tc>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 net/Other liabilities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below provides information regarding the location and amount of pretax (gains) losses of derivatives designated in fair value hedging relationships: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140" w:type="dxa"/>
            <w:vAlign w:val="bottom"/>
            <w:gridSpan w:val="10"/>
          </w:tcPr>
          <w:p>
            <w:pPr>
              <w:jc w:val="center"/>
              <w:ind w:right="80"/>
              <w:spacing w:after="0"/>
              <w:rPr>
                <w:sz w:val="20"/>
                <w:szCs w:val="20"/>
                <w:color w:val="auto"/>
              </w:rPr>
            </w:pPr>
            <w:r>
              <w:rPr>
                <w:rFonts w:ascii="Arial" w:cs="Arial" w:eastAsia="Arial" w:hAnsi="Arial"/>
                <w:sz w:val="18"/>
                <w:szCs w:val="18"/>
                <w:color w:val="auto"/>
                <w:w w:val="92"/>
              </w:rPr>
              <w:t>Amount of pre-tax gain/(loss) included in other</w:t>
            </w:r>
          </w:p>
        </w:tc>
        <w:tc>
          <w:tcPr>
            <w:tcW w:w="260" w:type="dxa"/>
            <w:vAlign w:val="bottom"/>
          </w:tcPr>
          <w:p>
            <w:pPr>
              <w:spacing w:after="0"/>
              <w:rPr>
                <w:sz w:val="18"/>
                <w:szCs w:val="18"/>
                <w:color w:val="auto"/>
              </w:rPr>
            </w:pPr>
          </w:p>
        </w:tc>
        <w:tc>
          <w:tcPr>
            <w:tcW w:w="2580" w:type="dxa"/>
            <w:vAlign w:val="bottom"/>
            <w:gridSpan w:val="6"/>
          </w:tcPr>
          <w:p>
            <w:pPr>
              <w:jc w:val="center"/>
              <w:ind w:left="470"/>
              <w:spacing w:after="0"/>
              <w:rPr>
                <w:sz w:val="20"/>
                <w:szCs w:val="20"/>
                <w:color w:val="auto"/>
              </w:rPr>
            </w:pPr>
            <w:r>
              <w:rPr>
                <w:rFonts w:ascii="Arial" w:cs="Arial" w:eastAsia="Arial" w:hAnsi="Arial"/>
                <w:sz w:val="18"/>
                <w:szCs w:val="18"/>
                <w:color w:val="auto"/>
                <w:w w:val="91"/>
              </w:rPr>
              <w:t>Amounts reclassified to the</w:t>
            </w:r>
          </w:p>
        </w:tc>
        <w:tc>
          <w:tcPr>
            <w:tcW w:w="7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6"/>
          </w:tcPr>
          <w:p>
            <w:pPr>
              <w:jc w:val="center"/>
              <w:ind w:right="150"/>
              <w:spacing w:after="0"/>
              <w:rPr>
                <w:sz w:val="20"/>
                <w:szCs w:val="20"/>
                <w:color w:val="auto"/>
              </w:rPr>
            </w:pPr>
            <w:r>
              <w:rPr>
                <w:rFonts w:ascii="Arial" w:cs="Arial" w:eastAsia="Arial" w:hAnsi="Arial"/>
                <w:sz w:val="18"/>
                <w:szCs w:val="18"/>
                <w:color w:val="auto"/>
                <w:w w:val="89"/>
              </w:rPr>
              <w:t>comprehensive income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7"/>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gridSpan w:val="7"/>
          </w:tcPr>
          <w:p>
            <w:pPr>
              <w:jc w:val="center"/>
              <w:spacing w:after="0"/>
              <w:rPr>
                <w:sz w:val="20"/>
                <w:szCs w:val="20"/>
                <w:color w:val="auto"/>
              </w:rPr>
            </w:pPr>
            <w:r>
              <w:rPr>
                <w:rFonts w:ascii="Arial" w:cs="Arial" w:eastAsia="Arial" w:hAnsi="Arial"/>
                <w:sz w:val="18"/>
                <w:szCs w:val="18"/>
                <w:color w:val="auto"/>
                <w:w w:val="89"/>
              </w:rPr>
              <w:t>Year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2017</w:t>
            </w:r>
          </w:p>
        </w:tc>
      </w:tr>
      <w:tr>
        <w:trPr>
          <w:trHeight w:val="27"/>
        </w:trPr>
        <w:tc>
          <w:tcPr>
            <w:tcW w:w="3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Cross currency swaps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 recognized a $1.6 gain on the exit one of these swap arrangements in December 2019 in connection with the redemption of $187.9 of the 4.625% Senior Notes due 2020. No gains or losses from derivative instruments classified as hedging instruments have been recognized into income for the years ended December 31, 2018 or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20. SUPPLEMENTAL CASH FLOW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r>
      <w:tr>
        <w:trPr>
          <w:trHeight w:val="3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348.0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Floating rate secured note receivable due 2022 from the sale of CRP</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is a summary of segment information for the years ended December 31, 2019, 2018, and 2017.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21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revenues less directly identifiable expenses to arrive at operating income for the segment. General management and administrative corporate expenses are included in general corporate expenses below.</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ind w:left="1420" w:right="120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7,000.1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7,030.8</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4,578.1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4,313.1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88"/>
              </w:rPr>
              <w:t>11,554.8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11,333.4</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10,308.0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4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Operating Earnings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1,086.0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411.5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operating income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1,330.2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1,325.7</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expenses, net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1,104.9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1,268.3</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824.9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883.9</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interests</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w w:val="96"/>
              </w:rPr>
              <w:t>Net income attributable to Laboratory Corporation of America Holdings</w:t>
            </w:r>
          </w:p>
        </w:tc>
        <w:tc>
          <w:tcPr>
            <w:tcW w:w="340" w:type="dxa"/>
            <w:vAlign w:val="bottom"/>
          </w:tcPr>
          <w:p>
            <w:pPr>
              <w:spacing w:after="0"/>
              <w:rPr>
                <w:sz w:val="22"/>
                <w:szCs w:val="22"/>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2"/>
                <w:szCs w:val="22"/>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823.8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c>
          <w:tcPr>
            <w:tcW w:w="20" w:type="dxa"/>
            <w:vAlign w:val="bottom"/>
          </w:tcPr>
          <w:p>
            <w:pPr>
              <w:spacing w:after="0"/>
              <w:rPr>
                <w:sz w:val="22"/>
                <w:szCs w:val="22"/>
                <w:color w:val="auto"/>
              </w:rPr>
            </w:pPr>
          </w:p>
        </w:tc>
        <w:tc>
          <w:tcPr>
            <w:tcW w:w="3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301.0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293.3</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261.1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2.6</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564.7</w:t>
            </w:r>
          </w:p>
        </w:tc>
        <w:tc>
          <w:tcPr>
            <w:tcW w:w="4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543.2</w:t>
            </w:r>
          </w:p>
        </w:tc>
        <w:tc>
          <w:tcPr>
            <w:tcW w:w="20" w:type="dxa"/>
            <w:vAlign w:val="bottom"/>
          </w:tcPr>
          <w:p>
            <w:pPr>
              <w:spacing w:after="0"/>
              <w:rPr>
                <w:sz w:val="22"/>
                <w:szCs w:val="22"/>
                <w:color w:val="auto"/>
              </w:rPr>
            </w:pP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9"/>
          </w:tcPr>
          <w:p>
            <w:pPr>
              <w:jc w:val="center"/>
              <w:ind w:right="160"/>
              <w:spacing w:after="0"/>
              <w:rPr>
                <w:sz w:val="20"/>
                <w:szCs w:val="20"/>
                <w:color w:val="auto"/>
              </w:rPr>
            </w:pPr>
            <w:r>
              <w:rPr>
                <w:rFonts w:ascii="Arial" w:cs="Arial" w:eastAsia="Arial" w:hAnsi="Arial"/>
                <w:sz w:val="18"/>
                <w:szCs w:val="18"/>
                <w:color w:val="auto"/>
                <w:w w:val="91"/>
              </w:rPr>
              <w:t>Intercompany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LCD</w:t>
            </w:r>
          </w:p>
        </w:tc>
        <w:tc>
          <w:tcPr>
            <w:tcW w:w="340" w:type="dxa"/>
            <w:vAlign w:val="bottom"/>
          </w:tcPr>
          <w:p>
            <w:pPr>
              <w:spacing w:after="0"/>
              <w:rPr>
                <w:sz w:val="20"/>
                <w:szCs w:val="20"/>
                <w:color w:val="auto"/>
              </w:rPr>
            </w:pPr>
          </w:p>
        </w:tc>
        <w:tc>
          <w:tcPr>
            <w:tcW w:w="780" w:type="dxa"/>
            <w:vAlign w:val="bottom"/>
            <w:gridSpan w:val="5"/>
          </w:tcPr>
          <w:p>
            <w:pPr>
              <w:ind w:left="20"/>
              <w:spacing w:after="0"/>
              <w:rPr>
                <w:sz w:val="20"/>
                <w:szCs w:val="20"/>
                <w:color w:val="auto"/>
              </w:rPr>
            </w:pPr>
            <w:r>
              <w:rPr>
                <w:rFonts w:ascii="Arial" w:cs="Arial" w:eastAsia="Arial" w:hAnsi="Arial"/>
                <w:sz w:val="18"/>
                <w:szCs w:val="18"/>
                <w:color w:val="auto"/>
              </w:rPr>
              <w:t>CDD</w:t>
            </w:r>
          </w:p>
        </w:tc>
        <w:tc>
          <w:tcPr>
            <w:tcW w:w="80" w:type="dxa"/>
            <w:vAlign w:val="bottom"/>
          </w:tcPr>
          <w:p>
            <w:pPr>
              <w:spacing w:after="0"/>
              <w:rPr>
                <w:sz w:val="20"/>
                <w:szCs w:val="20"/>
                <w:color w:val="auto"/>
              </w:rPr>
            </w:pPr>
          </w:p>
        </w:tc>
        <w:tc>
          <w:tcPr>
            <w:tcW w:w="1280" w:type="dxa"/>
            <w:vAlign w:val="bottom"/>
            <w:gridSpan w:val="9"/>
          </w:tcPr>
          <w:p>
            <w:pPr>
              <w:jc w:val="center"/>
              <w:ind w:right="1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Geographic distribution of revenues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2,341.8</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532.9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7,000.1</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4,578.1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9"/>
              </w:rPr>
              <w:t>LCD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CDD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20" w:type="dxa"/>
            <w:vAlign w:val="bottom"/>
            <w:gridSpan w:val="5"/>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1,385.1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694.8</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94.9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1,480</w:t>
            </w:r>
          </w:p>
        </w:tc>
        <w:tc>
          <w:tcPr>
            <w:tcW w:w="4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1,156.6</w:t>
            </w:r>
          </w:p>
        </w:tc>
        <w:tc>
          <w:tcPr>
            <w:tcW w:w="20" w:type="dxa"/>
            <w:vAlign w:val="bottom"/>
          </w:tcPr>
          <w:p>
            <w:pPr>
              <w:spacing w:after="0"/>
              <w:rPr>
                <w:sz w:val="22"/>
                <w:szCs w:val="22"/>
                <w:color w:val="auto"/>
              </w:rPr>
            </w:pPr>
          </w:p>
        </w:tc>
        <w:tc>
          <w:tcPr>
            <w:tcW w:w="3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40"/>
          </w:cols>
          <w:pgMar w:left="240" w:top="125"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0240"/>
          </w:cols>
          <w:pgMar w:left="240" w:top="125" w:right="141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22. QUARTERLY DATA (UNAUDITED)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700" w:type="dxa"/>
            <w:vAlign w:val="bottom"/>
          </w:tcPr>
          <w:p>
            <w:pPr>
              <w:ind w:left="280"/>
              <w:spacing w:after="0"/>
              <w:rPr>
                <w:sz w:val="20"/>
                <w:szCs w:val="20"/>
                <w:color w:val="auto"/>
              </w:rPr>
            </w:pPr>
            <w:r>
              <w:rPr>
                <w:rFonts w:ascii="Arial" w:cs="Arial" w:eastAsia="Arial" w:hAnsi="Arial"/>
                <w:sz w:val="18"/>
                <w:szCs w:val="18"/>
                <w:color w:val="auto"/>
                <w:w w:val="99"/>
              </w:rPr>
              <w:t>The following is a summary of unaudited quarterly data:</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Year Ended December 31, 2019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3,252.5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1,330.2</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823.8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52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Year Ended December 31, 2018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3,176.4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883.7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5" w:right="239" w:bottom="1440" w:gutter="0" w:footer="0" w:header="0"/>
        </w:sectPr>
      </w:pPr>
    </w:p>
    <w:bookmarkStart w:id="131" w:name="page132"/>
    <w:bookmarkEnd w:id="131"/>
    <w:p>
      <w:pPr>
        <w:jc w:val="center"/>
        <w:ind w:left="260" w:right="2760"/>
        <w:spacing w:after="0" w:line="457" w:lineRule="auto"/>
        <w:rPr>
          <w:sz w:val="20"/>
          <w:szCs w:val="20"/>
          <w:color w:val="auto"/>
        </w:rPr>
      </w:pPr>
      <w:r>
        <w:rPr>
          <w:rFonts w:ascii="Arial" w:cs="Arial" w:eastAsia="Arial" w:hAnsi="Arial"/>
          <w:sz w:val="22"/>
          <w:szCs w:val="22"/>
          <w:b w:val="1"/>
          <w:bCs w:val="1"/>
          <w:color w:val="auto"/>
        </w:rPr>
        <w:t>AMENDED AND RESTATED BY-LAWS OF LABORATORY CORPORATION OF AMERICA HOLDINGS (hereinafter called the “Corporation”) (as amended as of February 5, 2020)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139"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21"/>
          <w:szCs w:val="21"/>
          <w:b w:val="1"/>
          <w:bCs w:val="1"/>
          <w:color w:val="auto"/>
        </w:rPr>
        <w:t xml:space="preserve">Place of Meetings. </w:t>
      </w:r>
      <w:r>
        <w:rPr>
          <w:rFonts w:ascii="Arial" w:cs="Arial" w:eastAsia="Arial" w:hAnsi="Arial"/>
          <w:sz w:val="21"/>
          <w:szCs w:val="21"/>
          <w:color w:val="auto"/>
        </w:rPr>
        <w:t>Meetings of the stockholders for the election of directors or for any other</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purpose shall be held at such time and place, either within or without the State of Delaware, as shall be designated from time to time by the Board of Directors (or the Chairman or Vice Chairman, if any of the Board of Directors in the absence of a designation by the Board of Directors) and stated in the notice of the meeting or in a duly executed waiver of notice thereof. </w:t>
      </w:r>
      <w:r>
        <w:rPr>
          <w:rFonts w:ascii="Arial" w:cs="Arial" w:eastAsia="Arial" w:hAnsi="Arial"/>
          <w:sz w:val="19"/>
          <w:szCs w:val="19"/>
          <w:b w:val="1"/>
          <w:bCs w:val="1"/>
          <w:color w:val="auto"/>
        </w:rPr>
        <w:t>Annual Meetings.</w:t>
      </w:r>
      <w:r>
        <w:rPr>
          <w:rFonts w:ascii="Arial" w:cs="Arial" w:eastAsia="Arial" w:hAnsi="Arial"/>
          <w:sz w:val="19"/>
          <w:szCs w:val="19"/>
          <w:color w:val="auto"/>
        </w:rPr>
        <w:t xml:space="preserve"> The Annual Meetings of Stockholders shall be held on such date and at such time as shall be designated from time to time by the Board of Directors and stated in the notice of the meeting, at which meetings the stockholders shall elect by a majority vote a Board of Directors</w:t>
      </w:r>
      <w:r>
        <w:rPr>
          <w:rFonts w:ascii="Arial" w:cs="Arial" w:eastAsia="Arial" w:hAnsi="Arial"/>
          <w:sz w:val="19"/>
          <w:szCs w:val="19"/>
          <w:b w:val="1"/>
          <w:bCs w:val="1"/>
          <w:color w:val="auto"/>
        </w:rPr>
        <w:t>,</w:t>
      </w:r>
      <w:r>
        <w:rPr>
          <w:rFonts w:ascii="Arial" w:cs="Arial" w:eastAsia="Arial" w:hAnsi="Arial"/>
          <w:sz w:val="19"/>
          <w:szCs w:val="19"/>
          <w:color w:val="auto"/>
        </w:rPr>
        <w:t xml:space="preserve"> as provided in Section 1 of Article II, and transact such other business as may properly be brought before the meeting. Except as otherwise permitted or required by applicable laws or regulations, notice of the Annual Meeting stating the place, date and hour of the meeting shall be given to each stockholder entitled to vote at such meeting not less than ten nor more than sixty days before the date of the meeting</w:t>
      </w:r>
      <w:r>
        <w:rPr>
          <w:rFonts w:ascii="Arial" w:cs="Arial" w:eastAsia="Arial" w:hAnsi="Arial"/>
          <w:sz w:val="19"/>
          <w:szCs w:val="19"/>
          <w:b w:val="1"/>
          <w:bCs w:val="1"/>
          <w:color w:val="auto"/>
        </w:rPr>
        <w:t>.</w:t>
      </w:r>
      <w:r>
        <w:rPr>
          <w:rFonts w:ascii="Arial" w:cs="Arial" w:eastAsia="Arial" w:hAnsi="Arial"/>
          <w:sz w:val="19"/>
          <w:szCs w:val="19"/>
          <w:color w:val="auto"/>
        </w:rPr>
        <w:t xml:space="preserve"> Notice may be given in any manner permitted by applicable laws and regulations, as provided in Article V. </w:t>
      </w:r>
      <w:r>
        <w:rPr>
          <w:rFonts w:ascii="Arial" w:cs="Arial" w:eastAsia="Arial" w:hAnsi="Arial"/>
          <w:sz w:val="19"/>
          <w:szCs w:val="19"/>
          <w:b w:val="1"/>
          <w:bCs w:val="1"/>
          <w:color w:val="auto"/>
        </w:rPr>
        <w:t>Special Meetings.</w:t>
      </w:r>
      <w:r>
        <w:rPr>
          <w:rFonts w:ascii="Arial" w:cs="Arial" w:eastAsia="Arial" w:hAnsi="Arial"/>
          <w:sz w:val="19"/>
          <w:szCs w:val="19"/>
          <w:color w:val="auto"/>
        </w:rPr>
        <w:t xml:space="preserve"> (a) Unless otherwise prescribed by law or by the Certificate of Incorporation, Special Meetings of Stockholders, for any purpose or purposes, may be called at any time by the Board of Directors. (b) Except as otherwise permitted or required by applicable laws or regulations, notice of a Special Meeting stating the place, if any, date and hour of the meeting and the purpose or purposes for which the meeting is called shall be given not less than ten nor more than sixty days before the date of the meeting to each stockholder entitled to vote at such meeting. Notice may be given in any manner permitted by applicable laws and regulations, as provided in Article V.</w:t>
      </w:r>
    </w:p>
    <w:p>
      <w:pPr>
        <w:spacing w:after="0" w:line="230" w:lineRule="exact"/>
        <w:rPr>
          <w:sz w:val="20"/>
          <w:szCs w:val="20"/>
          <w:color w:val="auto"/>
        </w:rPr>
      </w:pPr>
    </w:p>
    <w:p>
      <w:pPr>
        <w:jc w:val="both"/>
        <w:ind w:firstLine="656"/>
        <w:spacing w:after="0" w:line="286" w:lineRule="auto"/>
        <w:tabs>
          <w:tab w:leader="none" w:pos="965"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Subject to the provisions of this Section 3(c), a Special Meeting of Stockholders shall be called by a majority of the entire Board of Directors following receipt by the Secretary of the Corporation of a written request for a special meeting (a “Special Meeting Request”) from one stockholder who has, or a group of stockholders who have, owned at least 25% of the combined voting power of the then outstanding shares of all classes and series of capital stock of the Corporation entitled generally to vote in the election of directors of the Corporation, voting as a single class, continuously for at least one year as of both (i) a date within seven days prior to the date of the Special Meeting Request and (ii) the record date for determining stockholders entitled to vote at the Special Meeting (the “Requisite Holders”), if such Special Meeting Request complies with the requirements of this Section 3(c) and all other applicable sections of these By-Laws. For purposes of satisfying the foregoing ownership requirement under this Section 3(c), (i) the term “owned” shall have the same meaning as it has in Article I, Section 13(e) of these By-Laws, and (ii) the shares of the capital stock of the Corporation owned by one or more stockholders, or by the person or persons who own shares of the capital stock of the Corporation and on whose behalf any stockholder is acting, may be aggregated. For the avoidance of doubt, if a group of stockholders aggregates ownership of shares in order to meet the requirements under this Section 3(c), all shares held by each stockholder constituting their contribution to the foregoing 25% threshold must be held by that stockholder continuously for at least one year, and evidence of such continuous ownership shall be provided as specified in this Section 3(c). The Board of Directors shall determine whether all requirements set forth in this Section 3 and these By-Laws</w:t>
      </w:r>
    </w:p>
    <w:p>
      <w:pPr>
        <w:sectPr>
          <w:pgSz w:w="11900" w:h="16838" w:orient="portrait"/>
          <w:cols w:equalWidth="0" w:num="1">
            <w:col w:w="11420"/>
          </w:cols>
          <w:pgMar w:left="240" w:top="558" w:right="2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have been satisfied and such determination shall be binding on the Corporation and its stockholders. If a Special Meeting Request is made that complies with this Section 3(c) and all other applicable sections of these By-Laws, the Board of Directors may (in lieu of calling the Special Meeting of Stockholders requested in such Special Meeting Request) present an identical or substantially similar item (a “Similar Item”) for stockholder approval at any other meeting of stockholders that is held within ninety days after the Corporation receives such Special Meeting Request.</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A Special Meeting Request must be delivered to the Secretary of the Corporation at the principal executive offices of the Corporation. A Special Meeting Request shall only be valid if it is signed and dated by each of the stockholders that is one of the Requisite Holders and include: (i) a statement of the specific purpose(s) of the Special Meeting of Stockholders, the matter(s) proposed to be acted on at the Special Meeting of Stockholders, and the reasons for conducting such business at the Special Meeting of Stockholders; (ii) the text of any proposed amendment to the By-Laws to be considered at the Special Meeting of Stockholders; (iii) the name and address of each stockholder of record signing such request, the date of each such stockholder’s signature, and the name and address of any beneficial owner on whose behalf such request is made; (iv) the class or series and number of shares of the Corporation that are owned of record or beneficially by each such stockholder and any such beneficial owner and documentary evidence of such record or beneficial ownership; (v) any material interest of each stockholder or any such beneficial owner in any of the business proposed to be conducted at the Special Meeting of Stockholders and a description of all arrangements or understandings between any such stockholder and/or beneficial owner and any other person or persons (naming such person or persons) with respect to the business proposed to be conducted; (vi) a representation that one or more of the stockholders submitting the Special Meeting Request intend to appear in person or by proxy at the Special Meeting of Stockholders to present the proposal(s) or business to be brought before the Special Meeting of Stockholders; (vii) if any stockholder submitting such request intends to solicit proxies with respect to the stockholders’ proposal(s) or business to be presented at the Special Meeting of Stockholders, a representation to that effect; (viii) all information relating to each stockholder signing the Special Meeting Request that must be disclosed in solicitations for proxies for election of directors in an election contest (even if an election contest is not involved), or is otherwise required, in each case pursuant to Regulation 14A under the 1934 Act (as defined below in Article II); and (ix) if the purpose of the Special Meeting of Stockholders includes the election of one or more directors, all the information such stockholder or stockholders would be required to include in a notice delivered to the Corporation pursuant to Article I, Section 9 of these By-Laws.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addition, a Special Meeting Request shall not be valid if (i) the Special Meeting Request relates to an item of business that is not a proper subject for stockholder action under applicable law; (ii) the Special Meeting Request is received by the Corporation during the period commencing one hundred and twenty days prior to the first anniversary of the date of the immediately preceding annual meeting and ending on the date of the next annual meeting; (iii) a Similar Item was presented at any meeting of stockholders held within ninety days prior to receipt by the Corporation of such Special Meeting Request (and, for purposes of this clause (iii), the election of directors shall be deemed a “Similar Item” with respect to all items of business involving the election or removal of directors); (iv) a Similar Item is included in the Corporation’s notice as an item of business to be brought before a stockholder meeting that has been called but not yet held; or (v) such Special Meeting Request was made in a manner that involved a violation of Regulation 14A under the 1934 Act, or other applicable law.</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Stockholders included in the Requisite Holders and owning, as of the date of the revocation notice, a majority of the combined voting power of the shares owned by the Requisite Holders, may revoke a Special Meeting Request by written revocation delivered to the Corporation at any time prior to the Special Meeting</w:t>
      </w:r>
    </w:p>
    <w:p>
      <w:pPr>
        <w:sectPr>
          <w:pgSz w:w="11900" w:h="16838" w:orient="portrait"/>
          <w:cols w:equalWidth="0" w:num="1">
            <w:col w:w="11420"/>
          </w:cols>
          <w:pgMar w:left="240" w:top="564" w:right="2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22"/>
          <w:szCs w:val="22"/>
          <w:color w:val="auto"/>
        </w:rPr>
        <w:t>of Stockholders; provided, however, the Board of Directors shall have the discretion to determine whether or not to proceed with the Special Meeting of Stockholders.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none of the stockholders included in the Requisite Holders appears or sends a qualified representative to present the proposal(s) or business submitted by the stockholders for consideration at the Special Meeting of Stockholders, the Corporation need not present such proposal(s) or business for a vote at such meeting.</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4. Quorum. </w:t>
      </w:r>
      <w:r>
        <w:rPr>
          <w:rFonts w:ascii="Arial" w:cs="Arial" w:eastAsia="Arial" w:hAnsi="Arial"/>
          <w:sz w:val="19"/>
          <w:szCs w:val="19"/>
          <w:color w:val="auto"/>
        </w:rPr>
        <w:t>Except as otherwise provided by law or by the Certificate of Incorporation, the holders of a majority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may adjourn the meeting from time to time, but no other business shall be transacted at the meeting. Any business may be transacted at the adjourned meeting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 When a meeting is adjourned to another time or place, if any, notice need not be given of the adjourned meeting if the time and place, if any, thereof, by which stockholders and proxy holders may be deemed to be present in person and vote at such meeting, are announced at the meeting at which the adjournment is taken</w:t>
      </w:r>
      <w:r>
        <w:rPr>
          <w:rFonts w:ascii="Arial" w:cs="Arial" w:eastAsia="Arial" w:hAnsi="Arial"/>
          <w:sz w:val="19"/>
          <w:szCs w:val="19"/>
          <w:b w:val="1"/>
          <w:bCs w:val="1"/>
          <w:color w:val="auto"/>
        </w:rPr>
        <w:t>.</w:t>
      </w:r>
      <w:r>
        <w:rPr>
          <w:rFonts w:ascii="Arial" w:cs="Arial" w:eastAsia="Arial" w:hAnsi="Arial"/>
          <w:sz w:val="19"/>
          <w:szCs w:val="19"/>
          <w:color w:val="auto"/>
        </w:rPr>
        <w:t xml:space="preserve"> If the adjournment is for more than thirty days, or, if after adjournment a new record date is fixed, a notice of the adjourned meeting shall be given to each stockholder of record entitled to vote at the meeting. Once a share is represented for any purpose at a meeting (other than solely to object (1) to holding the meeting or transacting business at the meeting, or (2) (if it is a special meeting) to consideration of a particular matter at the meeting that is not within the purpose or purposes described in the meeting notice), it is deemed present for quorum purposes for the remainder of the meeting and or any adjournment of that meeting unless a new record date is set for the adjourned meeting. </w:t>
      </w:r>
      <w:r>
        <w:rPr>
          <w:rFonts w:ascii="Arial" w:cs="Arial" w:eastAsia="Arial" w:hAnsi="Arial"/>
          <w:sz w:val="19"/>
          <w:szCs w:val="19"/>
          <w:b w:val="1"/>
          <w:bCs w:val="1"/>
          <w:color w:val="auto"/>
        </w:rPr>
        <w:t>Voting.</w:t>
      </w:r>
      <w:r>
        <w:rPr>
          <w:rFonts w:ascii="Arial" w:cs="Arial" w:eastAsia="Arial" w:hAnsi="Arial"/>
          <w:sz w:val="19"/>
          <w:szCs w:val="19"/>
          <w:color w:val="auto"/>
        </w:rPr>
        <w:t xml:space="preserve">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Such votes may be cast in person or by proxy but no proxy shall be voted on or after three years from its date, unless such proxy provides for a longer period. Unless required by statute, or determined to be advisable by the Board of Directors, in its discretion, or the officer of the Corporation presiding at a meeting of stockholders, in his discretion, the vote on any matter need not be by ballot. </w:t>
      </w:r>
      <w:r>
        <w:rPr>
          <w:rFonts w:ascii="Arial" w:cs="Arial" w:eastAsia="Arial" w:hAnsi="Arial"/>
          <w:sz w:val="19"/>
          <w:szCs w:val="19"/>
          <w:b w:val="1"/>
          <w:bCs w:val="1"/>
          <w:color w:val="auto"/>
        </w:rPr>
        <w:t>Consent of Stockholders in Lieu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Meeting. </w:t>
      </w:r>
      <w:r>
        <w:rPr>
          <w:rFonts w:ascii="Arial" w:cs="Arial" w:eastAsia="Arial" w:hAnsi="Arial"/>
          <w:sz w:val="19"/>
          <w:szCs w:val="19"/>
          <w:color w:val="auto"/>
        </w:rPr>
        <w:t>Unless otherwise provided in the Certificate of Incorporation, any action required or permitted to be taken at any Annual</w:t>
      </w:r>
      <w:r>
        <w:rPr>
          <w:rFonts w:ascii="Arial" w:cs="Arial" w:eastAsia="Arial" w:hAnsi="Arial"/>
          <w:sz w:val="19"/>
          <w:szCs w:val="19"/>
          <w:b w:val="1"/>
          <w:bCs w:val="1"/>
          <w:color w:val="auto"/>
        </w:rPr>
        <w:t xml:space="preserve"> </w:t>
      </w:r>
      <w:r>
        <w:rPr>
          <w:rFonts w:ascii="Arial" w:cs="Arial" w:eastAsia="Arial" w:hAnsi="Arial"/>
          <w:sz w:val="19"/>
          <w:szCs w:val="19"/>
          <w:color w:val="auto"/>
        </w:rPr>
        <w:t>or Special Meeting of Stockholders of the Corporation,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In the event that the action which is consented to is such as would have required the filing of a certificate under the General Corporation Law, if such action had been voted on by stockholders at a meeting thereof, the Certificate filed shall state, in lieu of any statement concerning any vote of stockholders, that written consent and written notice has been given as provided in this Section 6.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w:t>
      </w:r>
    </w:p>
    <w:p>
      <w:pPr>
        <w:sectPr>
          <w:pgSz w:w="11900" w:h="16838" w:orient="portrait"/>
          <w:cols w:equalWidth="0" w:num="1">
            <w:col w:w="11420"/>
          </w:cols>
          <w:pgMar w:left="240" w:top="564" w:right="239" w:bottom="1440" w:gutter="0" w:footer="0" w:header="0"/>
        </w:sectPr>
      </w:pPr>
    </w:p>
    <w:bookmarkStart w:id="134" w:name="page135"/>
    <w:bookmarkEnd w:id="134"/>
    <w:p>
      <w:pPr>
        <w:jc w:val="both"/>
        <w:spacing w:after="0" w:line="287" w:lineRule="auto"/>
        <w:rPr>
          <w:sz w:val="20"/>
          <w:szCs w:val="20"/>
          <w:color w:val="auto"/>
        </w:rPr>
      </w:pPr>
      <w:r>
        <w:rPr>
          <w:rFonts w:ascii="Arial" w:cs="Arial" w:eastAsia="Arial" w:hAnsi="Arial"/>
          <w:sz w:val="19"/>
          <w:szCs w:val="19"/>
          <w:color w:val="auto"/>
        </w:rPr>
        <w:t>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10 days after the date on which such a request is received, adopt a resolution fixing the record date. If no record date has been fixed by the Board of Directors within 10 days after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7. List of Stockholders Entitled to Vote. </w:t>
      </w:r>
      <w:r>
        <w:rPr>
          <w:rFonts w:ascii="Arial" w:cs="Arial" w:eastAsia="Arial" w:hAnsi="Arial"/>
          <w:sz w:val="19"/>
          <w:szCs w:val="19"/>
          <w:color w:val="auto"/>
        </w:rPr>
        <w:t>The officer of the Corporation who has charge of the stock ledger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in any manner permitted by statute. The list shall also be produced and kept at the time and place of the meeting during the whole time thereof, and may be inspected by any stockholder of the Corporation who is present. </w:t>
      </w:r>
      <w:r>
        <w:rPr>
          <w:rFonts w:ascii="Arial" w:cs="Arial" w:eastAsia="Arial" w:hAnsi="Arial"/>
          <w:sz w:val="19"/>
          <w:szCs w:val="19"/>
          <w:b w:val="1"/>
          <w:bCs w:val="1"/>
          <w:color w:val="auto"/>
        </w:rPr>
        <w:t>Stock Ledger.</w:t>
      </w:r>
      <w:r>
        <w:rPr>
          <w:rFonts w:ascii="Arial" w:cs="Arial" w:eastAsia="Arial" w:hAnsi="Arial"/>
          <w:sz w:val="19"/>
          <w:szCs w:val="19"/>
          <w:color w:val="auto"/>
        </w:rPr>
        <w:t xml:space="preserve"> The stock ledger of the Corporation shall be the only evidence as to who are the stockholders entitled to examine the stock ledger, the list required by Section 7 of this Article I or the books of the Corporation, or to vote in person or by proxy at any meeting of stockholders, or to consent in writing to any action pursuant to Section 6 of this Article I. </w:t>
      </w:r>
      <w:r>
        <w:rPr>
          <w:rFonts w:ascii="Arial" w:cs="Arial" w:eastAsia="Arial" w:hAnsi="Arial"/>
          <w:sz w:val="19"/>
          <w:szCs w:val="19"/>
          <w:b w:val="1"/>
          <w:bCs w:val="1"/>
          <w:color w:val="auto"/>
        </w:rPr>
        <w:t>Notice of Stockholder Business other than Director Nominations.</w:t>
      </w:r>
      <w:r>
        <w:rPr>
          <w:rFonts w:ascii="Arial" w:cs="Arial" w:eastAsia="Arial" w:hAnsi="Arial"/>
          <w:sz w:val="19"/>
          <w:szCs w:val="19"/>
          <w:color w:val="auto"/>
        </w:rPr>
        <w:t xml:space="preserve"> In order for business to be properly brought before an Annual Meeting by a stockholder, the stockholder must have given timely notice thereof in writing to the Secretary of the Corporation. To be timely, a stockholder’s notice with respect to an Annual Meeting, other than with respect to nominations of persons for election to the Board of Directors of the Corporation pursuant to Article II, Sections 1 or 13, of these By-Laws, must be delivered to or mailed and received at the principal executive offices of the Corporation not less than sixty nor more than one hundred twenty days prior to the anniversary date of the preceding year’s Annual Meeting; provided, however, that in the event no Annual Meeting was held in the previous year or the date of the Annual Meeting has been changed by more than thirty days, notice by the stockholder to be timely must be so received not later than the close of business on the later of one hundred and twenty days in advance of such Annual Meeting or ten days following the date on which public announcement of the date of the meeting is first made. In no event shall the public announcement of an adjournment or postponement of an Annual Meeting commence a new time period (or extend any time period) for the giving of a notice as described above. For all business other than director nominations, a stockholder's notice to the secretary of the Corporation shall set forth as to each matter the stockholder proposes to bring before the Annual Meeting: (i) a brief description of the business desired to be brought before the Annual Meeting and the reasons for conducting such business at the Annual Meeting, (ii)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and (iii) as to the stockholder: (A) the name and address of the stockholder as they appear on the Corporation's books and of the beneficial owner, if any, on whose behalf the proposal is being</w:t>
      </w:r>
    </w:p>
    <w:p>
      <w:pPr>
        <w:sectPr>
          <w:pgSz w:w="11900" w:h="16838" w:orient="portrait"/>
          <w:cols w:equalWidth="0" w:num="1">
            <w:col w:w="11420"/>
          </w:cols>
          <w:pgMar w:left="240" w:top="564" w:right="239" w:bottom="1440" w:gutter="0" w:footer="0" w:header="0"/>
        </w:sectPr>
      </w:pPr>
    </w:p>
    <w:bookmarkStart w:id="135" w:name="page136"/>
    <w:bookmarkEnd w:id="135"/>
    <w:p>
      <w:pPr>
        <w:jc w:val="both"/>
        <w:spacing w:after="0" w:line="284" w:lineRule="auto"/>
        <w:rPr>
          <w:sz w:val="20"/>
          <w:szCs w:val="20"/>
          <w:color w:val="auto"/>
        </w:rPr>
      </w:pPr>
      <w:r>
        <w:rPr>
          <w:rFonts w:ascii="Arial" w:cs="Arial" w:eastAsia="Arial" w:hAnsi="Arial"/>
          <w:sz w:val="19"/>
          <w:szCs w:val="19"/>
          <w:color w:val="auto"/>
        </w:rPr>
        <w:t>made, (B) the class and number of shares of the Corporation which are owned by the stockholder (beneficially and of record) and owned by the beneficial owner, if any, on whose behalf the proposal is being made, as of the date of the stockholder's notice, (C) a description of any agreement, arrangement or understanding with respect to such proposal between or among the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stockholder's notice by, or on behalf of, the stockholder or any of its affiliates or associates, the effect or intent of which is to mitigate loss to, manage risk or benefit of share price changes for, or increase or decrease the voting power of the stockholder or any of its affiliates or associates with respect to shares of stock of the Corporation, (E) a representation that the stockholder is a holder of record of shares of the Corporation entitled to vote at the meeting and intends to appear in person or by proxy at the meeting to present the proposal specified in the notice, and (F) a representation whether the stockholder intends to solicit proxies from stockholders in support of the proposal. The foregoing notice requirements of Section 9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Section 14(a) of the Exchange Act and such stockholder's proposal has been included in a proxy statement that has been prepared by the Corporation to solicit proxies for such annual meeting. No business shall be conducted at any annual meeting except in accordance with the procedures set forth in this Section 9 and Article II, Sections 1 and 13 of these By-Laws, and unless otherwise required by law, if a stockholder intending to propose business at an annual meeting pursuant to this Section 9 does not provide the information required under this Section 9 to the Corporation promptly following the later of the record date or the date notice of the record date is first publicly disclosed, or the stockholder (or a qualified representative of the stockholder) does not appear at the meeting to present the proposed business, such business shall not be considered, notwithstanding that proxies in respect of such business may have been received by the Corporation. The requirements of this Section 9 shall apply to any business to be brought before an annual meeting by a stockholder whether such business is to be included in the Corporation's proxy statement pursuant to Rule 14a-8 of the Exchange Act or presented to stockholders by means of an independently financed proxy solicitation. The requirements of this Section 9 are included to provide the Corporation notice of a stockholder's intention to bring business before an annual meeting and shall in no event be construed as imposing upon any stockholder the requirement to seek approval from the Corporation as a condition precedent to bringing any such business before an annual meeting.</w:t>
      </w:r>
    </w:p>
    <w:p>
      <w:pPr>
        <w:spacing w:after="0" w:line="254"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DIRECTORS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1. Number and Election of Directors. </w:t>
      </w:r>
      <w:r>
        <w:rPr>
          <w:rFonts w:ascii="Arial" w:cs="Arial" w:eastAsia="Arial" w:hAnsi="Arial"/>
          <w:sz w:val="19"/>
          <w:szCs w:val="19"/>
          <w:color w:val="auto"/>
        </w:rPr>
        <w:t>The Board of Directors shall consist of not less than one nor more than</w:t>
      </w:r>
      <w:r>
        <w:rPr>
          <w:rFonts w:ascii="Arial" w:cs="Arial" w:eastAsia="Arial" w:hAnsi="Arial"/>
          <w:sz w:val="19"/>
          <w:szCs w:val="19"/>
          <w:b w:val="1"/>
          <w:bCs w:val="1"/>
          <w:color w:val="auto"/>
        </w:rPr>
        <w:t xml:space="preserve"> </w:t>
      </w:r>
      <w:r>
        <w:rPr>
          <w:rFonts w:ascii="Arial" w:cs="Arial" w:eastAsia="Arial" w:hAnsi="Arial"/>
          <w:sz w:val="19"/>
          <w:szCs w:val="19"/>
          <w:color w:val="auto"/>
        </w:rPr>
        <w:t>fifteen members, the exact number of which shall be fixed from time to time by the Board of Directors. Except as otherwise required by these By-Laws, by law or by the Certificate of Incorporation, directors shall be elected by a majority of the votes cast at an Annual Meeting of Stockholders at which a quorum is present, provided that directors shall be elected by the vote of a plurality at a meeting at which a quorum is present if (i) the Secretary receives notice that a stockholder has nominated a person for election to the Board of Directors in accordance with the advance notice requirements for stockholder nominations set forth in this Section 1 and (ii) such nomination has not been withdrawn by such stockholder on or prior to the day next preceding the date the Corporation first mails notice of meeting for such meeting to the stockholders. Each director so elected shall hold office until the next Annual Meeting and until his successor is duly elected and qualified, or until his earlier death, resignation or removal, in the manner hereinafter provided. Any director may resign at any time upon notice to the Corporation. Directors need not be stockholders. For purposes of this Section, a majority of the votes cast means that the number of shares voted “for” a director must exceed 50% of the votes cast with respect to that director. Nominations for election to</w:t>
      </w:r>
    </w:p>
    <w:p>
      <w:pPr>
        <w:sectPr>
          <w:pgSz w:w="11900" w:h="16838" w:orient="portrait"/>
          <w:cols w:equalWidth="0" w:num="1">
            <w:col w:w="11420"/>
          </w:cols>
          <w:pgMar w:left="240" w:top="564" w:right="239" w:bottom="1440" w:gutter="0" w:footer="0" w:header="0"/>
        </w:sectPr>
      </w:pPr>
    </w:p>
    <w:bookmarkStart w:id="136" w:name="page137"/>
    <w:bookmarkEnd w:id="136"/>
    <w:p>
      <w:pPr>
        <w:jc w:val="both"/>
        <w:spacing w:after="0" w:line="284" w:lineRule="auto"/>
        <w:rPr>
          <w:sz w:val="20"/>
          <w:szCs w:val="20"/>
          <w:color w:val="auto"/>
        </w:rPr>
      </w:pPr>
      <w:r>
        <w:rPr>
          <w:rFonts w:ascii="Arial" w:cs="Arial" w:eastAsia="Arial" w:hAnsi="Arial"/>
          <w:sz w:val="19"/>
          <w:szCs w:val="19"/>
          <w:color w:val="auto"/>
        </w:rPr>
        <w:t>the Board of Directors at an annual or special meeting of the stockholders may be made by the Board of Directors or on behalf of the Board of Directors by a nominating committee duly appointed by the Board of Directors, or by a stockholder of the Corporation entitled to vote for the election of directors. Except as set forth in Article II, Section 13, all nominations, other than those made by or on behalf of the Board of Directors, shall be made by notice in writing delivered or mailed by first class United States mail, postage prepaid, to the Secretary and received by the Secretary not less than sixty nor more than one hundred twenty days prior to the anniversary date of the preceding year’s Annual Meeting, in the case of nominations for election at an Annual Meeting, and not more than ten days after the date of the Corporation’s notice of a special meeting, in the case of nominations for election at a special meeting; provided, however, that in the event that the Annual Meeting is called for a date that is more than thirty days before or after the anniversary of the preceding year’s Annual Meeting, in order to be timely the notice must be so received not later than the close of business on the later of one hundred and twenty days in advance of such Annual Meeting or ten days following the day on which public disclosure of the date of the Annual Meeting was made. In no event shall the public announcement of an adjournment or postponement of an Annual Meeting commence a new time period (or extend any time period) for the giving of a notice as described above. Such stockholder’s notice shall set forth as to each proposed nominee who is not an incumbent director, (a)the name, age, business address and, if known, residence address of such nominee, (b)the principal occupation or employment of such nominee during the preceding five years, (c)the number of shares of stock of the Corporation which are beneficially owned by such nominee, (d)any other information relating to such nominee that would be required to be set forth in a definitive proxy statement filed in connection with a proxy solicitation pursuant to Section 14 of the Securities Exchange Act of 1934 (“the 1934 Act”), (e) the written consent of such nominee to being named in the Corporation’s proxy statement as a nominee and to serving as a director of the Corporation, if elected; and such stockholder’s notice shall set forth as to such stockholder the name and address, as they appear on the Corporation’s books, of such stockholder, the number of shares of stock of the Corporation which are beneficially owned by such stockholder, and all other information relating to such stockholder that would be required to be filed with the Securities and Exchange Commission if such stockholder were a participant in a proxy solicitation pursuant to said Section 14. A nomination made otherwise than as provided in this Section 1 or in Article II, Section 13 shall be null and void and shall not be submitted to a vote of stockholders.</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2. Vacancies. </w:t>
      </w:r>
      <w:r>
        <w:rPr>
          <w:rFonts w:ascii="Arial" w:cs="Arial" w:eastAsia="Arial" w:hAnsi="Arial"/>
          <w:sz w:val="22"/>
          <w:szCs w:val="22"/>
          <w:color w:val="auto"/>
        </w:rPr>
        <w:t>Vacancies and newly created directorships resulting from any increase in the authorized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be filled by a majority of the directors then in office, though less than a quorum, or by a sole remaining director, and the directors so chosen shall hold office until the next annual election and until their successors are duly elected and qualified, or until their earlier resignation or removal.</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 xml:space="preserve">Duties and Powers. </w:t>
      </w:r>
      <w:r>
        <w:rPr>
          <w:rFonts w:ascii="Arial" w:cs="Arial" w:eastAsia="Arial" w:hAnsi="Arial"/>
          <w:sz w:val="19"/>
          <w:szCs w:val="19"/>
          <w:color w:val="auto"/>
        </w:rPr>
        <w:t>The business of the Corporation shall be managed by or under the direction of the Board of Directors which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exercise all such powers of the Corporation and do all such lawful acts and things as are not by statute or by the Certificate of Incorporation or by these By-Laws directed or required to be exercised or done by the stockholders. </w:t>
      </w:r>
      <w:r>
        <w:rPr>
          <w:rFonts w:ascii="Arial" w:cs="Arial" w:eastAsia="Arial" w:hAnsi="Arial"/>
          <w:sz w:val="19"/>
          <w:szCs w:val="19"/>
          <w:b w:val="1"/>
          <w:bCs w:val="1"/>
          <w:color w:val="auto"/>
        </w:rPr>
        <w:t>Meetings.</w:t>
      </w:r>
      <w:r>
        <w:rPr>
          <w:rFonts w:ascii="Arial" w:cs="Arial" w:eastAsia="Arial" w:hAnsi="Arial"/>
          <w:sz w:val="19"/>
          <w:szCs w:val="19"/>
          <w:color w:val="auto"/>
        </w:rPr>
        <w:t xml:space="preserve">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Chairman, if there be one, the Vice Chairman, if there be one, the President, or any three or more directors. Notice thereof stating the place, date and hour of the meeting shall be given to each director in any manner permitted by statute. Unless otherwise required by these By-Laws, the notice need not state the purpose or purposes of the meeting. Notice need not be given to any director who, either before or after the meeting, signs and submits a written waiver of notice, submits a waiver of notice by electronic transmission, or attends the meeting (except when he attends for the express purpose of objecting, at the beginning of the meeting, to the transaction of any business because the meeting is not lawfully called or convened). </w:t>
      </w:r>
      <w:r>
        <w:rPr>
          <w:rFonts w:ascii="Arial" w:cs="Arial" w:eastAsia="Arial" w:hAnsi="Arial"/>
          <w:sz w:val="19"/>
          <w:szCs w:val="19"/>
          <w:b w:val="1"/>
          <w:bCs w:val="1"/>
          <w:color w:val="auto"/>
        </w:rPr>
        <w:t>Quorum.</w:t>
      </w:r>
      <w:r>
        <w:rPr>
          <w:rFonts w:ascii="Arial" w:cs="Arial" w:eastAsia="Arial" w:hAnsi="Arial"/>
          <w:sz w:val="19"/>
          <w:szCs w:val="19"/>
          <w:color w:val="auto"/>
        </w:rPr>
        <w:t xml:space="preserve"> Except as may be otherwise specifically provided by law, the Certificate of Incorporation or these By-Laws, at all</w:t>
      </w:r>
    </w:p>
    <w:p>
      <w:pPr>
        <w:sectPr>
          <w:pgSz w:w="11900" w:h="16838" w:orient="portrait"/>
          <w:cols w:equalWidth="0" w:num="1">
            <w:col w:w="11420"/>
          </w:cols>
          <w:pgMar w:left="240" w:top="564" w:right="239" w:bottom="1440" w:gutter="0" w:footer="0" w:header="0"/>
        </w:sectPr>
      </w:pPr>
    </w:p>
    <w:bookmarkStart w:id="137" w:name="page138"/>
    <w:bookmarkEnd w:id="137"/>
    <w:p>
      <w:pPr>
        <w:jc w:val="both"/>
        <w:spacing w:after="0" w:line="286" w:lineRule="auto"/>
        <w:rPr>
          <w:sz w:val="20"/>
          <w:szCs w:val="20"/>
          <w:color w:val="auto"/>
        </w:rPr>
      </w:pPr>
      <w:r>
        <w:rPr>
          <w:rFonts w:ascii="Arial" w:cs="Arial" w:eastAsia="Arial" w:hAnsi="Arial"/>
          <w:sz w:val="19"/>
          <w:szCs w:val="19"/>
          <w:color w:val="auto"/>
        </w:rPr>
        <w:t xml:space="preserve">meetings of the Board of Directors, a majority of the entire Board of Directors shall constitute a quorum for the transaction of business and the act of a majority of the entire Board of Directors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 </w:t>
      </w:r>
      <w:r>
        <w:rPr>
          <w:rFonts w:ascii="Arial" w:cs="Arial" w:eastAsia="Arial" w:hAnsi="Arial"/>
          <w:sz w:val="19"/>
          <w:szCs w:val="19"/>
          <w:b w:val="1"/>
          <w:bCs w:val="1"/>
          <w:color w:val="auto"/>
        </w:rPr>
        <w:t xml:space="preserve">Actions of Board. </w:t>
      </w:r>
      <w:r>
        <w:rPr>
          <w:rFonts w:ascii="Arial" w:cs="Arial" w:eastAsia="Arial" w:hAnsi="Arial"/>
          <w:sz w:val="19"/>
          <w:szCs w:val="19"/>
          <w:color w:val="auto"/>
        </w:rPr>
        <w:t>Unless otherwise provided by the Certificate of Incorporation or these By-Laws, any action required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permitted to be taken at any meeting of the Board of Directors or of any committee thereof may be taken without a meeting, if all the members of the Board of Directors or committee, as the case may be, consent thereto in writing or by electronic transmission, and the writings or writing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w:t>
      </w:r>
      <w:r>
        <w:rPr>
          <w:rFonts w:ascii="Arial" w:cs="Arial" w:eastAsia="Arial" w:hAnsi="Arial"/>
          <w:sz w:val="19"/>
          <w:szCs w:val="19"/>
          <w:b w:val="1"/>
          <w:bCs w:val="1"/>
          <w:color w:val="auto"/>
        </w:rPr>
        <w:t>Meetings by Means of Conference Telephone.</w:t>
      </w:r>
      <w:r>
        <w:rPr>
          <w:rFonts w:ascii="Arial" w:cs="Arial" w:eastAsia="Arial" w:hAnsi="Arial"/>
          <w:sz w:val="19"/>
          <w:szCs w:val="19"/>
          <w:color w:val="auto"/>
        </w:rPr>
        <w:t xml:space="preserv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other communications equipment by means of which all persons participating in the meeting can hear each other, and participation in a meeting pursuant to this Section 7 shall constitute presence in person at such meeting.</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8. Committees. </w:t>
      </w:r>
      <w:r>
        <w:rPr>
          <w:rFonts w:ascii="Arial" w:cs="Arial" w:eastAsia="Arial" w:hAnsi="Arial"/>
          <w:sz w:val="19"/>
          <w:szCs w:val="19"/>
          <w:color w:val="auto"/>
        </w:rPr>
        <w:t>The Board of Directors may, by resolution passed by a majority of the entire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 Unless otherwise provided in the resolution of the Board of Directors designating a committee, a committee may create one or more subcommittees, each subcommittee to consist of one or more members of the committee, and may delegate to a subcommittee such powers and authority as the committee deems appropriate. </w:t>
      </w:r>
      <w:r>
        <w:rPr>
          <w:rFonts w:ascii="Arial" w:cs="Arial" w:eastAsia="Arial" w:hAnsi="Arial"/>
          <w:sz w:val="19"/>
          <w:szCs w:val="19"/>
          <w:b w:val="1"/>
          <w:bCs w:val="1"/>
          <w:color w:val="auto"/>
        </w:rPr>
        <w:t>Compensation.</w:t>
      </w:r>
      <w:r>
        <w:rPr>
          <w:rFonts w:ascii="Arial" w:cs="Arial" w:eastAsia="Arial" w:hAnsi="Arial"/>
          <w:sz w:val="19"/>
          <w:szCs w:val="19"/>
          <w:color w:val="auto"/>
        </w:rPr>
        <w:t xml:space="preserve"> The directors may be paid their expenses, if any, of attendance at each meeting of the Board of Directors and may be paid a sum, in cash, securities or a combination thereof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Compensation of directors shall be as determined by the Board of Directors. </w:t>
      </w:r>
      <w:r>
        <w:rPr>
          <w:rFonts w:ascii="Arial" w:cs="Arial" w:eastAsia="Arial" w:hAnsi="Arial"/>
          <w:sz w:val="19"/>
          <w:szCs w:val="19"/>
          <w:b w:val="1"/>
          <w:bCs w:val="1"/>
          <w:color w:val="auto"/>
        </w:rPr>
        <w:t>Interested Directors.</w:t>
      </w:r>
      <w:r>
        <w:rPr>
          <w:rFonts w:ascii="Arial" w:cs="Arial" w:eastAsia="Arial" w:hAnsi="Arial"/>
          <w:sz w:val="19"/>
          <w:szCs w:val="19"/>
          <w:color w:val="auto"/>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transactions are disclosed or are known to the stockholders</w:t>
      </w:r>
    </w:p>
    <w:p>
      <w:pPr>
        <w:sectPr>
          <w:pgSz w:w="11900" w:h="16838" w:orient="portrait"/>
          <w:cols w:equalWidth="0" w:num="1">
            <w:col w:w="11420"/>
          </w:cols>
          <w:pgMar w:left="240" w:top="564" w:right="239" w:bottom="1440" w:gutter="0" w:footer="0" w:header="0"/>
        </w:sectPr>
      </w:pPr>
    </w:p>
    <w:bookmarkStart w:id="138" w:name="page139"/>
    <w:bookmarkEnd w:id="138"/>
    <w:p>
      <w:pPr>
        <w:jc w:val="both"/>
        <w:spacing w:after="0" w:line="284" w:lineRule="auto"/>
        <w:rPr>
          <w:sz w:val="20"/>
          <w:szCs w:val="20"/>
          <w:color w:val="auto"/>
        </w:rPr>
      </w:pPr>
      <w:r>
        <w:rPr>
          <w:rFonts w:ascii="Arial" w:cs="Arial" w:eastAsia="Arial" w:hAnsi="Arial"/>
          <w:sz w:val="19"/>
          <w:szCs w:val="19"/>
          <w:color w:val="auto"/>
        </w:rPr>
        <w:t xml:space="preserve">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 </w:t>
      </w:r>
      <w:r>
        <w:rPr>
          <w:rFonts w:ascii="Arial" w:cs="Arial" w:eastAsia="Arial" w:hAnsi="Arial"/>
          <w:sz w:val="19"/>
          <w:szCs w:val="19"/>
          <w:b w:val="1"/>
          <w:bCs w:val="1"/>
          <w:color w:val="auto"/>
        </w:rPr>
        <w:t>Chairman of the Board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Directors. </w:t>
      </w:r>
      <w:r>
        <w:rPr>
          <w:rFonts w:ascii="Arial" w:cs="Arial" w:eastAsia="Arial" w:hAnsi="Arial"/>
          <w:sz w:val="19"/>
          <w:szCs w:val="19"/>
          <w:color w:val="auto"/>
        </w:rPr>
        <w:t>The Chairman of the Board of Directors, if there be one, shall preside at all meetings of the stockholders and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Board of Directors. The Chairman of the Board of Directors shall also perform such other duties and may exercise such other powers as from time to time may be assigned to him by these By-Laws or by the Board of Directors. </w:t>
      </w:r>
      <w:r>
        <w:rPr>
          <w:rFonts w:ascii="Arial" w:cs="Arial" w:eastAsia="Arial" w:hAnsi="Arial"/>
          <w:sz w:val="19"/>
          <w:szCs w:val="19"/>
          <w:b w:val="1"/>
          <w:bCs w:val="1"/>
          <w:color w:val="auto"/>
        </w:rPr>
        <w:t>Vice Chairman.</w:t>
      </w:r>
      <w:r>
        <w:rPr>
          <w:rFonts w:ascii="Arial" w:cs="Arial" w:eastAsia="Arial" w:hAnsi="Arial"/>
          <w:sz w:val="19"/>
          <w:szCs w:val="19"/>
          <w:color w:val="auto"/>
        </w:rPr>
        <w:t xml:space="preserve"> The Vice Chairman of the Board of Directors, if there be one, or the Vice Chairmen, if there be more than one, shall perform such duties and may exercise such other powers as from time to time may be assigned by these By-Laws or the Board of Directors. In the absence or disability of the Chairman of the Board of Directors, or if there be none, the Vice Chairman shall preside at meetings of the stockholders and the Board of Directors. </w:t>
      </w:r>
      <w:r>
        <w:rPr>
          <w:rFonts w:ascii="Arial" w:cs="Arial" w:eastAsia="Arial" w:hAnsi="Arial"/>
          <w:sz w:val="19"/>
          <w:szCs w:val="19"/>
          <w:b w:val="1"/>
          <w:bCs w:val="1"/>
          <w:color w:val="auto"/>
        </w:rPr>
        <w:t>Proxy Access</w:t>
      </w:r>
      <w:r>
        <w:rPr>
          <w:rFonts w:ascii="Arial" w:cs="Arial" w:eastAsia="Arial" w:hAnsi="Arial"/>
          <w:sz w:val="19"/>
          <w:szCs w:val="19"/>
          <w:color w:val="auto"/>
        </w:rPr>
        <w:t>. (a) The Corporation shall include in its proxy statement for an Annual Meeting of stockholders the name, together with the Required Information (as defined below), of any person nominated for election (a “Stockholder Nominee”) to the Board of Directors by a stockholder that satisfies, or by a group of no more than twenty stockholders that satisfy, the requirements of this Section 13 (an “Eligible Stockholder”), and that expressly elects at the time of providing the notice required by this Section 13 (the “Nomination Notice”) to have its nominee included in the Corporation’s proxy materials pursuant to this Section 13. To be timely, a stockholder’s Nomination Notice must be delivered given, either by personal delivery or mailed by United States certified mail, postage prepaid, and received by the Secretary at the principal executive offices of the Corporation not earlier than the close of business on the one hundred fiftieth day prior to, nor later than the close of business on the one hundred twentieth day prior to, the first anniversary of the date of the Corporation’s proxy statement released to stockholders in connection with the preceding year’s Annual Meeting; provided, however, that in the event that the Annual Meeting is called for a date that is more than thirty days before or seventy days after the anniversary of the preceding year’s Annual Meeting, in order to be timely the Nomination Notice must be so received not later than the close of business on the later of one hundred and twenty days in advance of such Annual Meeting or ten days following the day on which public disclosure of the date of the Annual Meeting was made. In no event shall the public announcement of an adjournment or postponement of an Annual Meeting commence a new time period (or extend any time period) for the giving of a Nomination Notice as described above.</w:t>
      </w:r>
    </w:p>
    <w:p>
      <w:pPr>
        <w:spacing w:after="0" w:line="208" w:lineRule="exact"/>
        <w:rPr>
          <w:sz w:val="20"/>
          <w:szCs w:val="20"/>
          <w:color w:val="auto"/>
        </w:rPr>
      </w:pPr>
    </w:p>
    <w:p>
      <w:pPr>
        <w:jc w:val="both"/>
        <w:ind w:firstLine="656"/>
        <w:spacing w:after="0" w:line="297" w:lineRule="auto"/>
        <w:tabs>
          <w:tab w:leader="none" w:pos="943"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purposes of this Section 13, the “Required Information” that the Corporation will include in its proxy statement is (i) the information concerning the Stockholder Nominee and the Eligible Stockholder that is required to be disclosed in the Corporation’s proxy statement by the regulations promulgated under the 1934 Act; and (ii) if the Eligible Stockholder so elects, a Statement (as defined in Section 13(g)). To be timely, the Required Information must be delivered to or mailed to and received by the Secretary within the time period specified in this Section 13 for providing the Nomination Notice.</w:t>
      </w:r>
    </w:p>
    <w:p>
      <w:pPr>
        <w:spacing w:after="0" w:line="187" w:lineRule="exact"/>
        <w:rPr>
          <w:rFonts w:ascii="Arial" w:cs="Arial" w:eastAsia="Arial" w:hAnsi="Arial"/>
          <w:sz w:val="19"/>
          <w:szCs w:val="19"/>
          <w:color w:val="auto"/>
        </w:rPr>
      </w:pPr>
    </w:p>
    <w:p>
      <w:pPr>
        <w:jc w:val="both"/>
        <w:ind w:firstLine="656"/>
        <w:spacing w:after="0" w:line="258" w:lineRule="auto"/>
        <w:tabs>
          <w:tab w:leader="none" w:pos="957"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number of Stockholder Nominees (including Stockholder Nominees that were submitted by an Eligible Stockholder for inclusion in the Corporation’s proxy materials pursuant to this Section 13 but either are subsequently withdrawn or that the Board of Directors decides to nominate as Board of Director nominees), together with any nominees who were previously elected to the Board of Directors as Stockholder Nominees at any of the preceding two Annual Meetings and who are re-nominated for election at such Annual Meeting by the Board of Directors, appearing in the Corporation’s proxy materials with respect to an Annual Meeting of stockholders shall not exceed the greater of (i) two or (ii) twenty percent (20%) of the number of directors in office as of the last day on which a Nomination Notice may be delivered pursuant to this Section 13, or if such amount is not a whole number, the closest whole number below twenty percent (20%). In the event that the number of Stockholder Nominees submitted by Eligible Stockholders pursuant to this Section 13 exceeds this maximum number, each Eligible Stockholder will select one Stockholder Nominee</w:t>
      </w:r>
    </w:p>
    <w:p>
      <w:pPr>
        <w:sectPr>
          <w:pgSz w:w="11900" w:h="16838" w:orient="portrait"/>
          <w:cols w:equalWidth="0" w:num="1">
            <w:col w:w="11420"/>
          </w:cols>
          <w:pgMar w:left="240" w:top="564" w:right="239" w:bottom="1440" w:gutter="0" w:footer="0" w:header="0"/>
        </w:sectPr>
      </w:pPr>
    </w:p>
    <w:bookmarkStart w:id="139" w:name="page140"/>
    <w:bookmarkEnd w:id="139"/>
    <w:p>
      <w:pPr>
        <w:jc w:val="both"/>
        <w:spacing w:after="0" w:line="248" w:lineRule="auto"/>
        <w:rPr>
          <w:sz w:val="20"/>
          <w:szCs w:val="20"/>
          <w:color w:val="auto"/>
        </w:rPr>
      </w:pPr>
      <w:r>
        <w:rPr>
          <w:rFonts w:ascii="Arial" w:cs="Arial" w:eastAsia="Arial" w:hAnsi="Arial"/>
          <w:sz w:val="22"/>
          <w:szCs w:val="22"/>
          <w:color w:val="auto"/>
        </w:rPr>
        <w:t>for inclusion in the Corporation’s proxy materials until the maximum number is reached, going in order of the amount (largest to smallest) of shares of the capital stock of the Corporation each Eligible Stockholder disclosed as owned in its respective Nomination Notice submitted to the Corporation and confirmed by the Corporation. If the maximum number is not reached after each Eligible Stockholder has selected one Stockholder Nominee, this selection process will continue as many times as necessary, following the same order each time, until the maximum number is reached.</w:t>
      </w:r>
    </w:p>
    <w:p>
      <w:pPr>
        <w:spacing w:after="0" w:line="233" w:lineRule="exact"/>
        <w:rPr>
          <w:sz w:val="20"/>
          <w:szCs w:val="20"/>
          <w:color w:val="auto"/>
        </w:rPr>
      </w:pPr>
    </w:p>
    <w:p>
      <w:pPr>
        <w:jc w:val="both"/>
        <w:ind w:firstLine="656"/>
        <w:spacing w:after="0" w:line="285" w:lineRule="auto"/>
        <w:tabs>
          <w:tab w:leader="none" w:pos="951" w:val="left"/>
        </w:tabs>
        <w:numPr>
          <w:ilvl w:val="0"/>
          <w:numId w:val="48"/>
        </w:numPr>
        <w:rPr>
          <w:rFonts w:ascii="Arial" w:cs="Arial" w:eastAsia="Arial" w:hAnsi="Arial"/>
          <w:sz w:val="19"/>
          <w:szCs w:val="19"/>
          <w:color w:val="auto"/>
        </w:rPr>
      </w:pPr>
      <w:r>
        <w:rPr>
          <w:rFonts w:ascii="Arial" w:cs="Arial" w:eastAsia="Arial" w:hAnsi="Arial"/>
          <w:sz w:val="19"/>
          <w:szCs w:val="19"/>
          <w:color w:val="auto"/>
        </w:rPr>
        <w:t>For purposes of this Section 13, an Eligible Stockholder shall be deemed to “own” only those outstanding shares of the capital stock of the Corporation as to which the stockholder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shares of outstanding capital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gain or loss arising from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person’s ownership of shares shall be deemed to continue during any period in which (i) the person has loaned such shares, provided that the person has the power to recall such loaned shares on no more than five business days’ notice; or (ii) the person has delegated any voting power by means of a proxy, power of attorney or other instrument or arrangement that is revocable at any time by the person. The terms “owned,” “owning” and other variations of the word “own” shall have correlative meanings. Whether outstanding shares of the capital stock of the Corporation are “owned” for these purposes shall be determined by the Board of Directors, which determination shall be conclusive and binding on the Corporation and its stockholders.</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656"/>
        <w:spacing w:after="0" w:line="286" w:lineRule="auto"/>
        <w:tabs>
          <w:tab w:leader="none" w:pos="925"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Eligible Stockholder must have owned (as defined above) continuously for at least three years that number of shares of capital stock as shall constitute three percent (3%) or more of the outstanding capital stock of the Corporation (the “Required Shares”) as of both (i) a date within seven days prior to the date of the Nomination Notice and (ii) the record date for determining stockholders entitled to vote at the Annual Meeting. For purposes of satisfying the foregoing ownership requirement under this Section 13, (i) the shares of the capital stock of the Corporation owned by one or more stockholders, or by the person or persons who own shares of the capital stock of the Corporation and on whose behalf any stockholder is acting, may be aggregated, provided that the number of stockholders and other persons whose ownership of shares of capital stock of the Corporation is aggregated for such purpose shall not exceed twenty, and (ii) a group of funds under common management and investment control shall be treated as one stockholder or person for this purpose. No person may be a member of more than one group of persons constituting an Eligible Stockholder under this Section 13. For the avoidance of doubt, if a group of stockholders aggregates ownership of shares in order to meet the requirements under this Section 13, all shares held by each stockholder constituting their contribution to the foregoing 3% threshold must be held by that stockholder continuously for at least three years, and evidence of such continuous ownership shall be provided as specified in this Section 13(f).</w:t>
      </w:r>
    </w:p>
    <w:p>
      <w:pPr>
        <w:sectPr>
          <w:pgSz w:w="11900" w:h="16838" w:orient="portrait"/>
          <w:cols w:equalWidth="0" w:num="1">
            <w:col w:w="11420"/>
          </w:cols>
          <w:pgMar w:left="240" w:top="564" w:right="239" w:bottom="1440" w:gutter="0" w:footer="0" w:header="0"/>
        </w:sectPr>
      </w:pPr>
    </w:p>
    <w:bookmarkStart w:id="140" w:name="page141"/>
    <w:bookmarkEnd w:id="140"/>
    <w:p>
      <w:pPr>
        <w:ind w:firstLine="378"/>
        <w:spacing w:after="0" w:line="263" w:lineRule="auto"/>
        <w:rPr>
          <w:sz w:val="20"/>
          <w:szCs w:val="20"/>
          <w:color w:val="auto"/>
        </w:rPr>
      </w:pPr>
      <w:r>
        <w:rPr>
          <w:rFonts w:ascii="Arial" w:cs="Arial" w:eastAsia="Arial" w:hAnsi="Arial"/>
          <w:sz w:val="22"/>
          <w:szCs w:val="22"/>
          <w:color w:val="auto"/>
        </w:rPr>
        <w:t>Within the time period specified in this Section 13 for providing the Nomination Notice, an Eligible Stockholder must provide the following information in writing to the Secretary of the Corporation:</w:t>
      </w:r>
    </w:p>
    <w:p>
      <w:pPr>
        <w:spacing w:after="0" w:line="148" w:lineRule="exact"/>
        <w:rPr>
          <w:sz w:val="20"/>
          <w:szCs w:val="20"/>
          <w:color w:val="auto"/>
        </w:rPr>
      </w:pPr>
    </w:p>
    <w:p>
      <w:pPr>
        <w:jc w:val="both"/>
        <w:ind w:left="660" w:hanging="4"/>
        <w:spacing w:after="0" w:line="252" w:lineRule="auto"/>
        <w:tabs>
          <w:tab w:leader="none" w:pos="1478" w:val="left"/>
        </w:tabs>
        <w:numPr>
          <w:ilvl w:val="0"/>
          <w:numId w:val="49"/>
        </w:numPr>
        <w:rPr>
          <w:rFonts w:ascii="Arial" w:cs="Arial" w:eastAsia="Arial" w:hAnsi="Arial"/>
          <w:sz w:val="16"/>
          <w:szCs w:val="16"/>
          <w:color w:val="auto"/>
        </w:rPr>
      </w:pPr>
      <w:r>
        <w:rPr>
          <w:rFonts w:ascii="Arial" w:cs="Arial" w:eastAsia="Arial" w:hAnsi="Arial"/>
          <w:sz w:val="19"/>
          <w:szCs w:val="19"/>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Eligible Stockholder owns, and has owned continuously for the preceding three years, the Required Shares, and the Eligible Stockholder’s agreement to provide, within five business days after the record date for the Annual Meeting, written statements from the record holder and intermediaries verifying the Eligible Stockholder’s continuous ownership of the Required Shares through the record date;</w:t>
      </w:r>
    </w:p>
    <w:p>
      <w:pPr>
        <w:spacing w:after="0" w:line="190" w:lineRule="exact"/>
        <w:rPr>
          <w:rFonts w:ascii="Arial" w:cs="Arial" w:eastAsia="Arial" w:hAnsi="Arial"/>
          <w:sz w:val="16"/>
          <w:szCs w:val="16"/>
          <w:color w:val="auto"/>
        </w:rPr>
      </w:pPr>
    </w:p>
    <w:p>
      <w:pPr>
        <w:ind w:left="660" w:hanging="4"/>
        <w:spacing w:after="0" w:line="239" w:lineRule="auto"/>
        <w:tabs>
          <w:tab w:leader="none" w:pos="1528" w:val="left"/>
        </w:tabs>
        <w:numPr>
          <w:ilvl w:val="0"/>
          <w:numId w:val="49"/>
        </w:numPr>
        <w:rPr>
          <w:rFonts w:ascii="Arial" w:cs="Arial" w:eastAsia="Arial" w:hAnsi="Arial"/>
          <w:sz w:val="18"/>
          <w:szCs w:val="18"/>
          <w:color w:val="auto"/>
        </w:rPr>
      </w:pPr>
      <w:r>
        <w:rPr>
          <w:rFonts w:ascii="Arial" w:cs="Arial" w:eastAsia="Arial" w:hAnsi="Arial"/>
          <w:sz w:val="22"/>
          <w:szCs w:val="22"/>
          <w:color w:val="auto"/>
        </w:rPr>
        <w:t>the written consent of each Stockholder Nominee to being named in the proxy statement as a nominee and to serving as a director if elected;</w:t>
      </w:r>
    </w:p>
    <w:p>
      <w:pPr>
        <w:spacing w:after="0" w:line="198" w:lineRule="exact"/>
        <w:rPr>
          <w:rFonts w:ascii="Arial" w:cs="Arial" w:eastAsia="Arial" w:hAnsi="Arial"/>
          <w:sz w:val="18"/>
          <w:szCs w:val="18"/>
          <w:color w:val="auto"/>
        </w:rPr>
      </w:pPr>
    </w:p>
    <w:p>
      <w:pPr>
        <w:ind w:left="660" w:hanging="4"/>
        <w:spacing w:after="0" w:line="239" w:lineRule="auto"/>
        <w:tabs>
          <w:tab w:leader="none" w:pos="1654" w:val="left"/>
        </w:tabs>
        <w:numPr>
          <w:ilvl w:val="0"/>
          <w:numId w:val="49"/>
        </w:numPr>
        <w:rPr>
          <w:rFonts w:ascii="Arial" w:cs="Arial" w:eastAsia="Arial" w:hAnsi="Arial"/>
          <w:sz w:val="18"/>
          <w:szCs w:val="18"/>
          <w:color w:val="auto"/>
        </w:rPr>
      </w:pPr>
      <w:r>
        <w:rPr>
          <w:rFonts w:ascii="Arial" w:cs="Arial" w:eastAsia="Arial" w:hAnsi="Arial"/>
          <w:sz w:val="22"/>
          <w:szCs w:val="22"/>
          <w:color w:val="auto"/>
        </w:rPr>
        <w:t>a copy of the Schedule 14N that has been filed with the Securities and Exchange Commission as required by Rule 14a-18 under the 1934 Act, as such rule may be amended;</w:t>
      </w:r>
    </w:p>
    <w:p>
      <w:pPr>
        <w:spacing w:after="0" w:line="198" w:lineRule="exact"/>
        <w:rPr>
          <w:rFonts w:ascii="Arial" w:cs="Arial" w:eastAsia="Arial" w:hAnsi="Arial"/>
          <w:sz w:val="18"/>
          <w:szCs w:val="18"/>
          <w:color w:val="auto"/>
        </w:rPr>
      </w:pPr>
    </w:p>
    <w:p>
      <w:pPr>
        <w:jc w:val="both"/>
        <w:ind w:left="660" w:hanging="4"/>
        <w:spacing w:after="0" w:line="248" w:lineRule="auto"/>
        <w:tabs>
          <w:tab w:leader="none" w:pos="1628" w:val="left"/>
        </w:tabs>
        <w:numPr>
          <w:ilvl w:val="0"/>
          <w:numId w:val="49"/>
        </w:numPr>
        <w:rPr>
          <w:rFonts w:ascii="Arial" w:cs="Arial" w:eastAsia="Arial" w:hAnsi="Arial"/>
          <w:sz w:val="16"/>
          <w:szCs w:val="16"/>
          <w:color w:val="auto"/>
        </w:rPr>
      </w:pPr>
      <w:r>
        <w:rPr>
          <w:rFonts w:ascii="Arial" w:cs="Arial" w:eastAsia="Arial" w:hAnsi="Arial"/>
          <w:sz w:val="19"/>
          <w:szCs w:val="19"/>
          <w:color w:val="auto"/>
        </w:rPr>
        <w:t>a description of all direct and indirect compensation and other material monetary agreements, arrangements, and understandings during the past three years, and any other material relationships, between or among the Eligible Stockholder and its affiliates and associates, or others acting in concert therewith, on the one hand, and each Stockholder Nominee, and each Stockholder Nominee’s respective affiliates and associates, or others acting in concert therewith, on the other hand, including, without limitation all information that would be required to be disclosed pursuant to Item 404 of Regulation S-K if the Eligible Stockholder making the nomination or on whose behalf the nomination is made, or any affiliate or associate thereof or person acting in concert therewith, were the “registrant” for purposes of Item 404 and the nominee were a director or executive officer of such registrant;</w:t>
      </w:r>
    </w:p>
    <w:p>
      <w:pPr>
        <w:spacing w:after="0" w:line="192" w:lineRule="exact"/>
        <w:rPr>
          <w:rFonts w:ascii="Arial" w:cs="Arial" w:eastAsia="Arial" w:hAnsi="Arial"/>
          <w:sz w:val="16"/>
          <w:szCs w:val="16"/>
          <w:color w:val="auto"/>
        </w:rPr>
      </w:pPr>
    </w:p>
    <w:p>
      <w:pPr>
        <w:jc w:val="both"/>
        <w:ind w:left="660" w:hanging="4"/>
        <w:spacing w:after="0" w:line="223" w:lineRule="auto"/>
        <w:tabs>
          <w:tab w:leader="none" w:pos="1518" w:val="left"/>
        </w:tabs>
        <w:numPr>
          <w:ilvl w:val="0"/>
          <w:numId w:val="49"/>
        </w:numPr>
        <w:rPr>
          <w:rFonts w:ascii="Arial" w:cs="Arial" w:eastAsia="Arial" w:hAnsi="Arial"/>
          <w:sz w:val="17"/>
          <w:szCs w:val="17"/>
          <w:color w:val="auto"/>
        </w:rPr>
      </w:pPr>
      <w:r>
        <w:rPr>
          <w:rFonts w:ascii="Arial" w:cs="Arial" w:eastAsia="Arial" w:hAnsi="Arial"/>
          <w:sz w:val="21"/>
          <w:szCs w:val="21"/>
          <w:color w:val="auto"/>
        </w:rPr>
        <w:t>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the Eligible Stockholder, the effect or intent of which is to mitigate loss, manage risk or benefit from share price change for, or maintain, increase or decrease the voting power of, such Eligible Stockholder with respect to shares of stock of the corporation, and a representation that the Eligible Stockholder will notify the corporation in writing of any such agreement, arrangement or understanding in effect as of the record date for the meeting promptly following the later of the record date or the date notice of the record date is first publicly disclosed;</w:t>
      </w:r>
    </w:p>
    <w:p>
      <w:pPr>
        <w:spacing w:after="0" w:line="203" w:lineRule="exact"/>
        <w:rPr>
          <w:rFonts w:ascii="Arial" w:cs="Arial" w:eastAsia="Arial" w:hAnsi="Arial"/>
          <w:sz w:val="17"/>
          <w:szCs w:val="17"/>
          <w:color w:val="auto"/>
        </w:rPr>
      </w:pPr>
    </w:p>
    <w:p>
      <w:pPr>
        <w:jc w:val="both"/>
        <w:ind w:left="660" w:hanging="4"/>
        <w:spacing w:after="0" w:line="245" w:lineRule="auto"/>
        <w:tabs>
          <w:tab w:leader="none" w:pos="1626" w:val="left"/>
        </w:tabs>
        <w:numPr>
          <w:ilvl w:val="0"/>
          <w:numId w:val="49"/>
        </w:numPr>
        <w:rPr>
          <w:rFonts w:ascii="Arial" w:cs="Arial" w:eastAsia="Arial" w:hAnsi="Arial"/>
          <w:sz w:val="16"/>
          <w:szCs w:val="16"/>
          <w:color w:val="auto"/>
        </w:rPr>
      </w:pPr>
      <w:r>
        <w:rPr>
          <w:rFonts w:ascii="Arial" w:cs="Arial" w:eastAsia="Arial" w:hAnsi="Arial"/>
          <w:sz w:val="19"/>
          <w:szCs w:val="19"/>
          <w:color w:val="auto"/>
        </w:rPr>
        <w:t>a representation that the Eligible Stockholder (including each member of any group of stockholders that together is an Eligible Stockholder under this Section 13) (A) acquired the Required Shares in the ordinary course of business and not with the intent to change or influence control at the Corporation, and does not presently have such intent, (B) intends to appear in person or by proxy at the Annual Meeting to present the nomination, (C) has not nominated and will not nominate for election to the Board of Directors at the Annual Meeting any person other than the Stockholder Nominee(s) being nominated pursuant to this Section 13, (D) has not engaged and will not engage in, and has not and will not be a “participant” in another person’s, “solicitation” within the meaning of Rule 14a-1(l) under the 1934 Act in support of the election of any individual as a director at the Annual Meeting other than its Stockholder Nominee or a nominee of the Board of Directors, (E) will not distribute to any stockholder any form of proxy for the Annual Meeting other than the form distributed by the Corporation and (F) in the case of a nomination by a group of stockholders that</w:t>
      </w:r>
    </w:p>
    <w:p>
      <w:pPr>
        <w:sectPr>
          <w:pgSz w:w="11900" w:h="16838" w:orient="portrait"/>
          <w:cols w:equalWidth="0" w:num="1">
            <w:col w:w="11420"/>
          </w:cols>
          <w:pgMar w:left="240" w:top="564" w:right="239" w:bottom="1440" w:gutter="0" w:footer="0" w:header="0"/>
        </w:sectPr>
      </w:pPr>
    </w:p>
    <w:bookmarkStart w:id="141" w:name="page142"/>
    <w:bookmarkEnd w:id="141"/>
    <w:p>
      <w:pPr>
        <w:jc w:val="both"/>
        <w:ind w:left="4"/>
        <w:spacing w:after="0" w:line="223" w:lineRule="auto"/>
        <w:rPr>
          <w:sz w:val="20"/>
          <w:szCs w:val="20"/>
          <w:color w:val="auto"/>
        </w:rPr>
      </w:pPr>
      <w:r>
        <w:rPr>
          <w:rFonts w:ascii="Arial" w:cs="Arial" w:eastAsia="Arial" w:hAnsi="Arial"/>
          <w:sz w:val="22"/>
          <w:szCs w:val="22"/>
          <w:color w:val="auto"/>
        </w:rPr>
        <w:t>together is an Eligible Stockholder, the designation by all group members of one group member that is authorized to act on behalf of all such members with respect to the nomination and matters related thereto, including any withdrawal of the nomination; and</w:t>
      </w:r>
    </w:p>
    <w:p>
      <w:pPr>
        <w:spacing w:after="0" w:line="200" w:lineRule="exact"/>
        <w:rPr>
          <w:sz w:val="20"/>
          <w:szCs w:val="20"/>
          <w:color w:val="auto"/>
        </w:rPr>
      </w:pPr>
    </w:p>
    <w:p>
      <w:pPr>
        <w:jc w:val="both"/>
        <w:ind w:left="4" w:hanging="4"/>
        <w:spacing w:after="0" w:line="245" w:lineRule="auto"/>
        <w:tabs>
          <w:tab w:leader="none" w:pos="962" w:val="left"/>
        </w:tabs>
        <w:numPr>
          <w:ilvl w:val="0"/>
          <w:numId w:val="50"/>
        </w:numPr>
        <w:rPr>
          <w:rFonts w:ascii="Arial" w:cs="Arial" w:eastAsia="Arial" w:hAnsi="Arial"/>
          <w:sz w:val="16"/>
          <w:szCs w:val="16"/>
          <w:color w:val="auto"/>
        </w:rPr>
      </w:pPr>
      <w:r>
        <w:rPr>
          <w:rFonts w:ascii="Arial" w:cs="Arial" w:eastAsia="Arial" w:hAnsi="Arial"/>
          <w:sz w:val="19"/>
          <w:szCs w:val="19"/>
          <w:color w:val="auto"/>
        </w:rPr>
        <w:t>an undertaking that the Eligible Stockholder agrees to (A) own the Required Shares through the date of the Annual Meeting, (B) assume all liability stemming from any legal or regulatory violation arising out of the Eligible Stockholder’s communications with the stockholders of the Corporation or out of the information that the Eligible Stockholder provided to the Corporation, (C)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solicitation or other activity by the Eligible Stockholder in connection with its efforts to elect the Stockholder Nominee pursuant to this Section 13, (D) comply with all other laws and regulations applicable to any solicitation in connection with the Annual Meeting and (E) provide to the Corporation prior to the Annual Meeting such additional information as necessary with respect thereto.</w:t>
      </w:r>
    </w:p>
    <w:p>
      <w:pPr>
        <w:spacing w:after="0" w:line="228" w:lineRule="exact"/>
        <w:rPr>
          <w:sz w:val="20"/>
          <w:szCs w:val="20"/>
          <w:color w:val="auto"/>
        </w:rPr>
      </w:pPr>
    </w:p>
    <w:p>
      <w:pPr>
        <w:jc w:val="both"/>
        <w:ind w:left="4" w:hanging="4"/>
        <w:spacing w:after="0" w:line="297" w:lineRule="auto"/>
        <w:tabs>
          <w:tab w:leader="none" w:pos="323"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Eligible Stockholder may provide to the Secretary of the Corporation, at the time the information required by this Section 13 is provided, a written statement for inclusion in the Corporation’s proxy statement for the Annual Meeting, not to exceed five hundred words, in support of the Stockholder Nominee’s candidacy (the “Statement”). Notwithstanding anything to the contrary contained in this Section 13, the Corporation may omit from its proxy materials any information or Statement (or portion thereof) that it, in good faith, believes would violate any applicable law or regulation.</w:t>
      </w:r>
    </w:p>
    <w:p>
      <w:pPr>
        <w:spacing w:after="0" w:line="187" w:lineRule="exact"/>
        <w:rPr>
          <w:rFonts w:ascii="Arial" w:cs="Arial" w:eastAsia="Arial" w:hAnsi="Arial"/>
          <w:sz w:val="19"/>
          <w:szCs w:val="19"/>
          <w:color w:val="auto"/>
        </w:rPr>
      </w:pPr>
    </w:p>
    <w:p>
      <w:pPr>
        <w:jc w:val="both"/>
        <w:ind w:left="4" w:hanging="4"/>
        <w:spacing w:after="0" w:line="286" w:lineRule="auto"/>
        <w:tabs>
          <w:tab w:leader="none" w:pos="322"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Within the time period specified in this Section 13 for delivering the Nomination Notice, a Stockholder Nominee must deliver to the Secretary of the Corporation a written representation and agreement that the Stockholder Nominee (i) is not and will not become a party to any agreement, arrangement or understanding with, and has not given any commitment or assurance to, any person or entity as to how such person, if elected as a director of the Corporation, will act or vote on any issue or question (ii) is not and will not become a party to any agreement, arrangement or understanding with any person or entity other than the Corporation with respect to any direct or indirect compensation, reimbursement or indemnification in connection with service or action as a director, and (iii) will comply with all of the Corporation’s corporate governance, conflict of interest, confidentiality and stock ownership and trading policies and guidelines, and any other Corporation policies and guidelines applicable to directors, as well as any applicable law, rule or regulation or listing requirement. At the request of the Corporation, the Stockholder Nominee must submit all completed and signed questionnaires required of the Corporation’s directors and officers. The Corporation may request such additional information as necessary to permit the Board of Directors to determine if each Stockholder Nominee is independent under the listing standards of the principal U.S. exchange upon which the Corporation’s capital stock is listed, any applicable rules of the Securities and Exchange Commission and any publicly disclosed standards used by the Board of Directors in determining and disclosing the independence of the Corporation’s directors (the “Applicable Independence Standards”).</w:t>
      </w:r>
    </w:p>
    <w:p>
      <w:pPr>
        <w:spacing w:after="0" w:line="200" w:lineRule="exact"/>
        <w:rPr>
          <w:rFonts w:ascii="Arial" w:cs="Arial" w:eastAsia="Arial" w:hAnsi="Arial"/>
          <w:sz w:val="19"/>
          <w:szCs w:val="19"/>
          <w:color w:val="auto"/>
        </w:rPr>
      </w:pPr>
    </w:p>
    <w:p>
      <w:pPr>
        <w:jc w:val="both"/>
        <w:ind w:left="4" w:hanging="4"/>
        <w:spacing w:after="0" w:line="265" w:lineRule="auto"/>
        <w:tabs>
          <w:tab w:leader="none" w:pos="294"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Stockholder Nominee who is included in the Corporation’s proxy materials for a particular Annual Meeting of stockholders but either (i) withdraws from or becomes ineligible or unavailable for election at the Annual Meeting, or (ii) does not receive at least twenty-five percent (25%) of the votes cast “for” the Stockholder Nominee’s election, will be ineligible to be a Stockholder Nominee pursuant to this Section 13 for the next two (2) Annual Meetings.</w:t>
      </w:r>
    </w:p>
    <w:p>
      <w:pPr>
        <w:sectPr>
          <w:pgSz w:w="11900" w:h="16838" w:orient="portrait"/>
          <w:cols w:equalWidth="0" w:num="1">
            <w:col w:w="10764"/>
          </w:cols>
          <w:pgMar w:left="896" w:top="537" w:right="239" w:bottom="1440" w:gutter="0" w:footer="0" w:header="0"/>
        </w:sectPr>
      </w:pPr>
    </w:p>
    <w:bookmarkStart w:id="142" w:name="page143"/>
    <w:bookmarkEnd w:id="142"/>
    <w:p>
      <w:pPr>
        <w:jc w:val="both"/>
        <w:ind w:left="4" w:hanging="4"/>
        <w:spacing w:after="0" w:line="284" w:lineRule="auto"/>
        <w:tabs>
          <w:tab w:leader="none" w:pos="28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Corporation shall not be required to include, pursuant to this Section 13, any Stockholder Nominees in its proxy materials for any meeting of stockholders (i) for which the Secretary of Corporation receives a notice that a stockholder has nominated a person for election to the Board of Directors pursuant to the advance notice requirements for stockholder nominees for director set forth in Section 1 of this Article II and such stockholder does not expressly elect at the time of providing the notice to have its nominee included in the Corporation’s proxy materials pursuant to this Section 13, (ii) if the Eligible Stockholder who has nominated such Stockholder Nominee has engaged in or is currently engaged in, or has been or is a “participant” in another person’s, “solicitation” within the meaning of Rule 14a-1(l) under the 1934 Act in support of the election of any individual as a director at the meeting other than its Stockholder Nominee(s) or a nominee of the Board of Directors, (iii) who is not independent under the Applicable Independence Standards, as determined by the Board of Directors, (iv) whose election as a member of the Board of Directors would cause the Corporation to be in violation of these By-Laws, the Certificate of Incorporation, the listing standards of the principal exchange upon which the Corporation’s capital stock is traded, or any applicable law, rule or regulation, (v) who is or has been, within the past three years, an officer or director of a competitor, as defined in Section 8 of the Clayton Antitrust Act of 1914, as determined by the Board of Directors, (vi) who is a named subject of a pending criminal proceeding (excluding traffic violations and other minor offenses) or has been convicted in such a criminal proceeding within the past ten years, (vii) who is subject to any order of the type specified in Rule 506(d) of Regulation D promulgated under the Securities Act of 1933, as amended, (viii) 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it was made, not misleading, as determined by the Board of Directors, or (ix) if the Eligible Stockholder or applicable Stockholder Nominee otherwise contravenes any of the agreements or representations made by such Eligible Stockholder or Stockholder Nominee or fails to comply with its obligations pursuant to this Section 13.</w:t>
      </w: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jc w:val="both"/>
        <w:ind w:left="4" w:hanging="4"/>
        <w:spacing w:after="0" w:line="292" w:lineRule="auto"/>
        <w:tabs>
          <w:tab w:leader="none" w:pos="318"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herein, the Board of Directors or the person presiding at the meeting shall declare a nomination by an Eligible Stockholder to be invalid, and such nomination shall be disregarded notwithstanding that proxies in respect of such vote may have been received by the Corporation, if (i) the Stockholder Nominee(s) and/or the applicable Eligible Stockholder shall have breached its or their obligations, agreements or representations under this Section 13, as determined by the Board of Directors or the person presiding at the Annual Meeting of stockholders, or (ii) the Eligible Stockholder (or a qualified representative thereof) does not appear at the Annual Meeting of stockholders to present any nomination pursuant to this Section 13.</w:t>
      </w:r>
    </w:p>
    <w:p>
      <w:pPr>
        <w:spacing w:after="0" w:line="192" w:lineRule="exact"/>
        <w:rPr>
          <w:rFonts w:ascii="Arial" w:cs="Arial" w:eastAsia="Arial" w:hAnsi="Arial"/>
          <w:sz w:val="19"/>
          <w:szCs w:val="19"/>
          <w:color w:val="auto"/>
        </w:rPr>
      </w:pPr>
    </w:p>
    <w:p>
      <w:pPr>
        <w:jc w:val="both"/>
        <w:ind w:left="4" w:hanging="4"/>
        <w:spacing w:after="0" w:line="247" w:lineRule="auto"/>
        <w:tabs>
          <w:tab w:leader="none" w:pos="272"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Eligible Stockholder (including any person who owns shares of capital stock of the Corporation that constitute part of the Eligible Stockholder’s ownership for purposes of satisfying Section 13(f) hereof) shall file with the Securities and Exchange Commission any solicitation or other communication with the Corporation’s stockholders relating to the meeting at which the Stockholder Nominee will be nominated, regardless of whether any such filing is required under Regulation 14A of the 1934 Act or whether any exemption from filing is available for such solicitation or other communication under Regulation 14A of the 1934 Act.</w:t>
      </w:r>
    </w:p>
    <w:p>
      <w:pPr>
        <w:spacing w:after="0" w:line="26" w:lineRule="exact"/>
        <w:rPr>
          <w:sz w:val="20"/>
          <w:szCs w:val="20"/>
          <w:color w:val="auto"/>
        </w:rPr>
      </w:pPr>
    </w:p>
    <w:p>
      <w:pPr>
        <w:jc w:val="center"/>
        <w:ind w:right="636"/>
        <w:spacing w:after="0"/>
        <w:rPr>
          <w:sz w:val="20"/>
          <w:szCs w:val="20"/>
          <w:color w:val="auto"/>
        </w:rPr>
      </w:pPr>
      <w:r>
        <w:rPr>
          <w:rFonts w:ascii="Arial" w:cs="Arial" w:eastAsia="Arial" w:hAnsi="Arial"/>
          <w:sz w:val="22"/>
          <w:szCs w:val="22"/>
          <w:b w:val="1"/>
          <w:bCs w:val="1"/>
          <w:color w:val="auto"/>
        </w:rPr>
        <w:t>ARTICLE III</w:t>
      </w:r>
    </w:p>
    <w:p>
      <w:pPr>
        <w:spacing w:after="0" w:line="112" w:lineRule="exact"/>
        <w:rPr>
          <w:sz w:val="20"/>
          <w:szCs w:val="20"/>
          <w:color w:val="auto"/>
        </w:rPr>
      </w:pPr>
    </w:p>
    <w:p>
      <w:pPr>
        <w:jc w:val="center"/>
        <w:ind w:right="636"/>
        <w:spacing w:after="0"/>
        <w:rPr>
          <w:sz w:val="20"/>
          <w:szCs w:val="20"/>
          <w:color w:val="auto"/>
        </w:rPr>
      </w:pPr>
      <w:r>
        <w:rPr>
          <w:rFonts w:ascii="Arial" w:cs="Arial" w:eastAsia="Arial" w:hAnsi="Arial"/>
          <w:sz w:val="22"/>
          <w:szCs w:val="22"/>
          <w:b w:val="1"/>
          <w:bCs w:val="1"/>
          <w:color w:val="auto"/>
        </w:rPr>
        <w:t>OFFICERS</w:t>
      </w:r>
    </w:p>
    <w:p>
      <w:pPr>
        <w:spacing w:after="0" w:line="166" w:lineRule="exact"/>
        <w:rPr>
          <w:sz w:val="20"/>
          <w:szCs w:val="20"/>
          <w:color w:val="auto"/>
        </w:rPr>
      </w:pPr>
    </w:p>
    <w:p>
      <w:pPr>
        <w:ind w:left="4" w:firstLine="648"/>
        <w:spacing w:after="0" w:line="269" w:lineRule="auto"/>
        <w:rPr>
          <w:sz w:val="20"/>
          <w:szCs w:val="20"/>
          <w:color w:val="auto"/>
        </w:rPr>
      </w:pPr>
      <w:r>
        <w:rPr>
          <w:rFonts w:ascii="Arial" w:cs="Arial" w:eastAsia="Arial" w:hAnsi="Arial"/>
          <w:sz w:val="22"/>
          <w:szCs w:val="22"/>
          <w:b w:val="1"/>
          <w:bCs w:val="1"/>
          <w:color w:val="auto"/>
        </w:rPr>
        <w:t xml:space="preserve">Section 1. General. </w:t>
      </w:r>
      <w:r>
        <w:rPr>
          <w:rFonts w:ascii="Arial" w:cs="Arial" w:eastAsia="Arial" w:hAnsi="Arial"/>
          <w:sz w:val="22"/>
          <w:szCs w:val="22"/>
          <w:color w:val="auto"/>
        </w:rPr>
        <w:t>The officers of the Corporation shall be chosen by the Board of Directors and shall be a</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a Secretary. The Board of directors, in its discretion, may also choose a</w:t>
      </w:r>
    </w:p>
    <w:p>
      <w:pPr>
        <w:sectPr>
          <w:pgSz w:w="11900" w:h="16838" w:orient="portrait"/>
          <w:cols w:equalWidth="0" w:num="1">
            <w:col w:w="10764"/>
          </w:cols>
          <w:pgMar w:left="896" w:top="820" w:right="239" w:bottom="1440" w:gutter="0" w:footer="0" w:header="0"/>
        </w:sectPr>
      </w:pPr>
    </w:p>
    <w:bookmarkStart w:id="143" w:name="page144"/>
    <w:bookmarkEnd w:id="143"/>
    <w:p>
      <w:pPr>
        <w:jc w:val="both"/>
        <w:spacing w:after="0" w:line="283" w:lineRule="auto"/>
        <w:rPr>
          <w:sz w:val="20"/>
          <w:szCs w:val="20"/>
          <w:color w:val="auto"/>
        </w:rPr>
      </w:pPr>
      <w:r>
        <w:rPr>
          <w:rFonts w:ascii="Arial" w:cs="Arial" w:eastAsia="Arial" w:hAnsi="Arial"/>
          <w:sz w:val="19"/>
          <w:szCs w:val="19"/>
          <w:color w:val="auto"/>
        </w:rPr>
        <w:t xml:space="preserve">Treasurer and one or more Executive Vice Presidents, Senior Vice Presidents,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need such officers be directors of the Corporation. </w:t>
      </w:r>
      <w:r>
        <w:rPr>
          <w:rFonts w:ascii="Arial" w:cs="Arial" w:eastAsia="Arial" w:hAnsi="Arial"/>
          <w:sz w:val="19"/>
          <w:szCs w:val="19"/>
          <w:b w:val="1"/>
          <w:bCs w:val="1"/>
          <w:color w:val="auto"/>
        </w:rPr>
        <w:t>Election.</w:t>
      </w:r>
      <w:r>
        <w:rPr>
          <w:rFonts w:ascii="Arial" w:cs="Arial" w:eastAsia="Arial" w:hAnsi="Arial"/>
          <w:sz w:val="19"/>
          <w:szCs w:val="19"/>
          <w:color w:val="auto"/>
        </w:rPr>
        <w:t xml:space="preserve">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entire Board of Directors. Any vacancy occurring in any office of the Corporation shall be filled by the Board of Directors. The salaries of all executive officers of the Corporation shall be fixed by the Board of Directors. </w:t>
      </w:r>
      <w:r>
        <w:rPr>
          <w:rFonts w:ascii="Arial" w:cs="Arial" w:eastAsia="Arial" w:hAnsi="Arial"/>
          <w:sz w:val="19"/>
          <w:szCs w:val="19"/>
          <w:b w:val="1"/>
          <w:bCs w:val="1"/>
          <w:color w:val="auto"/>
        </w:rPr>
        <w:t xml:space="preserve">Voting Securities Owned by the Corporation. </w:t>
      </w:r>
      <w:r>
        <w:rPr>
          <w:rFonts w:ascii="Arial" w:cs="Arial" w:eastAsia="Arial" w:hAnsi="Arial"/>
          <w:sz w:val="19"/>
          <w:szCs w:val="19"/>
          <w:color w:val="auto"/>
        </w:rPr>
        <w:t>Powers of attorney, proxies, waivers of notice of meeting, consents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instruments relating to securities owned by the Corporation may be executed in the name and on behalf of the Corporation by any officer of the Corporation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 </w:t>
      </w:r>
      <w:r>
        <w:rPr>
          <w:rFonts w:ascii="Arial" w:cs="Arial" w:eastAsia="Arial" w:hAnsi="Arial"/>
          <w:sz w:val="19"/>
          <w:szCs w:val="19"/>
          <w:b w:val="1"/>
          <w:bCs w:val="1"/>
          <w:color w:val="auto"/>
        </w:rPr>
        <w:t>President.</w:t>
      </w:r>
      <w:r>
        <w:rPr>
          <w:rFonts w:ascii="Arial" w:cs="Arial" w:eastAsia="Arial" w:hAnsi="Arial"/>
          <w:sz w:val="19"/>
          <w:szCs w:val="19"/>
          <w:color w:val="auto"/>
        </w:rPr>
        <w:t xml:space="preserve"> The President shall, subject to the control of the Board of Directors, be the Chief Executive Officer of the Corporation and shall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and the Vice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 </w:t>
      </w:r>
      <w:r>
        <w:rPr>
          <w:rFonts w:ascii="Arial" w:cs="Arial" w:eastAsia="Arial" w:hAnsi="Arial"/>
          <w:sz w:val="19"/>
          <w:szCs w:val="19"/>
          <w:b w:val="1"/>
          <w:bCs w:val="1"/>
          <w:color w:val="auto"/>
        </w:rPr>
        <w:t>Executive Vice Presidents/Senior Vice Presidents.</w:t>
      </w:r>
      <w:r>
        <w:rPr>
          <w:rFonts w:ascii="Arial" w:cs="Arial" w:eastAsia="Arial" w:hAnsi="Arial"/>
          <w:sz w:val="19"/>
          <w:szCs w:val="19"/>
          <w:color w:val="auto"/>
        </w:rPr>
        <w:t xml:space="preserve"> At the request of the President or in his absence or in the event of his inability or refusal to act (and if there be no Chairman of the Board of Directors or Vice Chairman of the Board of Directors), the Executive Vice President or Senior Vice Presidents if there is more than one (in the order designated by the Board of Directors) shall perform the duties of the President, and when so acting, shall have all the powers of and be subject to all the restrictions upon the President. Each Executive Vice President or Senior Vice President shall perform such other duties and have such other powers as the Board of Directors from time to time may prescribe. If there be no Chairman of the Board of Directors, no Vice Chairman of the Board and no Executive Vice President or Senior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 </w:t>
      </w:r>
      <w:r>
        <w:rPr>
          <w:rFonts w:ascii="Arial" w:cs="Arial" w:eastAsia="Arial" w:hAnsi="Arial"/>
          <w:sz w:val="19"/>
          <w:szCs w:val="19"/>
          <w:b w:val="1"/>
          <w:bCs w:val="1"/>
          <w:color w:val="auto"/>
        </w:rPr>
        <w:t>Secretary.</w:t>
      </w:r>
      <w:r>
        <w:rPr>
          <w:rFonts w:ascii="Arial" w:cs="Arial" w:eastAsia="Arial" w:hAnsi="Arial"/>
          <w:sz w:val="19"/>
          <w:szCs w:val="19"/>
          <w:color w:val="auto"/>
        </w:rPr>
        <w:t xml:space="preserve">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the Chairman or Vice Chairman of the Board of Directors or</w:t>
      </w:r>
    </w:p>
    <w:p>
      <w:pPr>
        <w:sectPr>
          <w:pgSz w:w="11900" w:h="16838" w:orient="portrait"/>
          <w:cols w:equalWidth="0" w:num="1">
            <w:col w:w="10760"/>
          </w:cols>
          <w:pgMar w:left="900" w:top="564" w:right="239" w:bottom="1440" w:gutter="0" w:footer="0" w:header="0"/>
        </w:sectPr>
      </w:pPr>
    </w:p>
    <w:bookmarkStart w:id="144" w:name="page145"/>
    <w:bookmarkEnd w:id="144"/>
    <w:p>
      <w:pPr>
        <w:jc w:val="both"/>
        <w:spacing w:after="0" w:line="283" w:lineRule="auto"/>
        <w:rPr>
          <w:sz w:val="20"/>
          <w:szCs w:val="20"/>
          <w:color w:val="auto"/>
        </w:rPr>
      </w:pPr>
      <w:r>
        <w:rPr>
          <w:rFonts w:ascii="Arial" w:cs="Arial" w:eastAsia="Arial" w:hAnsi="Arial"/>
          <w:sz w:val="19"/>
          <w:szCs w:val="19"/>
          <w:color w:val="auto"/>
        </w:rPr>
        <w:t xml:space="preserve">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the Chairman or Vice Chairman of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 in any manner permitted by statute and as directed by the Board of Directors. </w:t>
      </w:r>
      <w:r>
        <w:rPr>
          <w:rFonts w:ascii="Arial" w:cs="Arial" w:eastAsia="Arial" w:hAnsi="Arial"/>
          <w:sz w:val="19"/>
          <w:szCs w:val="19"/>
          <w:b w:val="1"/>
          <w:bCs w:val="1"/>
          <w:color w:val="auto"/>
        </w:rPr>
        <w:t>Treasurer.</w:t>
      </w:r>
      <w:r>
        <w:rPr>
          <w:rFonts w:ascii="Arial" w:cs="Arial" w:eastAsia="Arial" w:hAnsi="Arial"/>
          <w:sz w:val="19"/>
          <w:szCs w:val="19"/>
          <w:color w:val="auto"/>
        </w:rPr>
        <w:t xml:space="preserve">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Chairman or Vice Chairman of the Board of Directors or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 </w:t>
      </w:r>
      <w:r>
        <w:rPr>
          <w:rFonts w:ascii="Arial" w:cs="Arial" w:eastAsia="Arial" w:hAnsi="Arial"/>
          <w:sz w:val="19"/>
          <w:szCs w:val="19"/>
          <w:b w:val="1"/>
          <w:bCs w:val="1"/>
          <w:color w:val="auto"/>
        </w:rPr>
        <w:t>Assistant Secretaries.</w:t>
      </w:r>
      <w:r>
        <w:rPr>
          <w:rFonts w:ascii="Arial" w:cs="Arial" w:eastAsia="Arial" w:hAnsi="Arial"/>
          <w:sz w:val="19"/>
          <w:szCs w:val="19"/>
          <w:color w:val="auto"/>
        </w:rPr>
        <w:t xml:space="preserve"> Except as may be otherwise provided in these By-Laws, Assistant Secretaries, if there be any, shall perform such duties and have such powers as from time to time may be assigned to them by the Board of Directors, the Chairman or Vice Chairman of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 </w:t>
      </w:r>
      <w:r>
        <w:rPr>
          <w:rFonts w:ascii="Arial" w:cs="Arial" w:eastAsia="Arial" w:hAnsi="Arial"/>
          <w:sz w:val="19"/>
          <w:szCs w:val="19"/>
          <w:b w:val="1"/>
          <w:bCs w:val="1"/>
          <w:color w:val="auto"/>
        </w:rPr>
        <w:t xml:space="preserve">Assistant Treasurers. </w:t>
      </w:r>
      <w:r>
        <w:rPr>
          <w:rFonts w:ascii="Arial" w:cs="Arial" w:eastAsia="Arial" w:hAnsi="Arial"/>
          <w:sz w:val="19"/>
          <w:szCs w:val="19"/>
          <w:color w:val="auto"/>
        </w:rPr>
        <w:t>Assistant Treasurers, if there be any, shall perform such duties and have such powers as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time may be assigned to them by the Board of Directors, the Chairman or Vice Chairman of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 </w:t>
      </w:r>
      <w:r>
        <w:rPr>
          <w:rFonts w:ascii="Arial" w:cs="Arial" w:eastAsia="Arial" w:hAnsi="Arial"/>
          <w:sz w:val="19"/>
          <w:szCs w:val="19"/>
          <w:b w:val="1"/>
          <w:bCs w:val="1"/>
          <w:color w:val="auto"/>
        </w:rPr>
        <w:t>Other Officers.</w:t>
      </w:r>
      <w:r>
        <w:rPr>
          <w:rFonts w:ascii="Arial" w:cs="Arial" w:eastAsia="Arial" w:hAnsi="Arial"/>
          <w:sz w:val="19"/>
          <w:szCs w:val="19"/>
          <w:color w:val="auto"/>
        </w:rPr>
        <w:t xml:space="preserve">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67"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ARTICLE IV</w:t>
      </w:r>
    </w:p>
    <w:p>
      <w:pPr>
        <w:spacing w:after="0" w:line="112"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STOCK</w:t>
      </w:r>
    </w:p>
    <w:p>
      <w:pPr>
        <w:sectPr>
          <w:pgSz w:w="11900" w:h="16838" w:orient="portrait"/>
          <w:cols w:equalWidth="0" w:num="1">
            <w:col w:w="10760"/>
          </w:cols>
          <w:pgMar w:left="900" w:top="564" w:right="239" w:bottom="1440" w:gutter="0" w:footer="0" w:header="0"/>
        </w:sectPr>
      </w:pPr>
    </w:p>
    <w:bookmarkStart w:id="145" w:name="page146"/>
    <w:bookmarkEnd w:id="145"/>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 Form of Certificates. </w:t>
      </w:r>
      <w:r>
        <w:rPr>
          <w:rFonts w:ascii="Arial" w:cs="Arial" w:eastAsia="Arial" w:hAnsi="Arial"/>
          <w:sz w:val="19"/>
          <w:szCs w:val="19"/>
          <w:color w:val="auto"/>
        </w:rPr>
        <w:t>The shares of the Corporation shall be represented by certificates, unless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Directors provides by resolution or resolutions that some or all of any or all classes or series of the Corporation’s stock shall be uncertificated shares. Any such resolution shall not apply to shares represented by a certificate until the certificate is surrendered to the Corporation. Every holder of stock in the Corporation represented by certificates shall be entitled to have a certificate signed, in the name of the Corporation (i) by the Chairman or the Vice Chairman of the Board of Directors, the President or a Vice President and (ii) by the Treasurer or an Assistant Treasurer, or the Secretary or an Assistant Secretary of the Corporation, representing the number of shares registered in certificate form. The Board of Directors may make such additional rules and regulations, not inconsistent with these By-Laws, as it may deem appropriate concerning the issue, transfer and registration of certificates for shares of stock or uncertificated shares of the Corporation. </w:t>
      </w:r>
      <w:r>
        <w:rPr>
          <w:rFonts w:ascii="Arial" w:cs="Arial" w:eastAsia="Arial" w:hAnsi="Arial"/>
          <w:sz w:val="19"/>
          <w:szCs w:val="19"/>
          <w:b w:val="1"/>
          <w:bCs w:val="1"/>
          <w:color w:val="auto"/>
        </w:rPr>
        <w:t>Signatures.</w:t>
      </w:r>
      <w:r>
        <w:rPr>
          <w:rFonts w:ascii="Arial" w:cs="Arial" w:eastAsia="Arial" w:hAnsi="Arial"/>
          <w:sz w:val="19"/>
          <w:szCs w:val="19"/>
          <w:color w:val="auto"/>
        </w:rPr>
        <w:t xml:space="preserve"> Any or all of the signatures on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w:t>
      </w:r>
      <w:r>
        <w:rPr>
          <w:rFonts w:ascii="Arial" w:cs="Arial" w:eastAsia="Arial" w:hAnsi="Arial"/>
          <w:sz w:val="19"/>
          <w:szCs w:val="19"/>
          <w:b w:val="1"/>
          <w:bCs w:val="1"/>
          <w:color w:val="auto"/>
        </w:rPr>
        <w:t>Lost Certificates.</w:t>
      </w:r>
      <w:r>
        <w:rPr>
          <w:rFonts w:ascii="Arial" w:cs="Arial" w:eastAsia="Arial" w:hAnsi="Arial"/>
          <w:sz w:val="19"/>
          <w:szCs w:val="19"/>
          <w:color w:val="auto"/>
        </w:rPr>
        <w:t xml:space="preserve">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alleged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on account of the alleged lost, stolen or destroyed certificate or the issuance of the new certificate or uncertificated shares. The Corporation may adopt such other provisions and restrictions with reference to lost certificates, not inconsistent with applicable law, as it shall in its discretion deem appropriate. </w:t>
      </w:r>
      <w:r>
        <w:rPr>
          <w:rFonts w:ascii="Arial" w:cs="Arial" w:eastAsia="Arial" w:hAnsi="Arial"/>
          <w:sz w:val="19"/>
          <w:szCs w:val="19"/>
          <w:b w:val="1"/>
          <w:bCs w:val="1"/>
          <w:color w:val="auto"/>
        </w:rPr>
        <w:t>Transfers.</w:t>
      </w:r>
      <w:r>
        <w:rPr>
          <w:rFonts w:ascii="Arial" w:cs="Arial" w:eastAsia="Arial" w:hAnsi="Arial"/>
          <w:sz w:val="19"/>
          <w:szCs w:val="19"/>
          <w:color w:val="auto"/>
        </w:rPr>
        <w:t xml:space="preserve">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or uncertificated shares shall be issued.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5. Record Date. </w:t>
      </w:r>
      <w:r>
        <w:rPr>
          <w:rFonts w:ascii="Arial" w:cs="Arial" w:eastAsia="Arial" w:hAnsi="Arial"/>
          <w:sz w:val="21"/>
          <w:szCs w:val="21"/>
          <w:color w:val="auto"/>
        </w:rPr>
        <w:t>In order that the Corporation may determine the stockholders entitled to notice of or to vote at any</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 The manner of fixing a record date for the determination of stockholders entitled to express consent to corporate action in writing without a meeting shall be as provided for in Article I, Section 6.</w:t>
      </w:r>
    </w:p>
    <w:p>
      <w:pPr>
        <w:spacing w:after="0" w:line="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 xml:space="preserve">Beneficial Owners. </w:t>
      </w:r>
      <w:r>
        <w:rPr>
          <w:rFonts w:ascii="Arial" w:cs="Arial" w:eastAsia="Arial" w:hAnsi="Arial"/>
          <w:sz w:val="22"/>
          <w:szCs w:val="22"/>
          <w:color w:val="auto"/>
        </w:rPr>
        <w:t>The Corporation shall be entitled to recognize the exclusive right of a person registered on its books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ectPr>
          <w:pgSz w:w="11900" w:h="16838" w:orient="portrait"/>
          <w:cols w:equalWidth="0" w:num="1">
            <w:col w:w="11420"/>
          </w:cols>
          <w:pgMar w:left="240" w:top="558" w:right="239" w:bottom="1440" w:gutter="0" w:footer="0" w:header="0"/>
        </w:sectPr>
      </w:pPr>
    </w:p>
    <w:bookmarkStart w:id="146" w:name="page147"/>
    <w:bookmarkEnd w:id="146"/>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1. Notices. </w:t>
      </w:r>
      <w:r>
        <w:rPr>
          <w:rFonts w:ascii="Arial" w:cs="Arial" w:eastAsia="Arial" w:hAnsi="Arial"/>
          <w:sz w:val="19"/>
          <w:szCs w:val="19"/>
          <w:color w:val="auto"/>
        </w:rPr>
        <w:t>Whenever notice is required by law, the Certificate of Incorporation or these By-Laws, to be given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director, member of a committee or stockholder, such notice may be given in any manner permitted by applicable laws and regulations, and shall be deemed given at the time prescribed by applicable laws and regulations for such manner of notice. Notice of any meeting shall not be required to be given to any person who attends the meeting, except when the person attends the meeting in person or by proxy for the express purpose of objecting, at the beginning of the meeting, to the transaction of any business because the meeting is not lawfully called or convened. </w:t>
      </w:r>
      <w:r>
        <w:rPr>
          <w:rFonts w:ascii="Arial" w:cs="Arial" w:eastAsia="Arial" w:hAnsi="Arial"/>
          <w:sz w:val="19"/>
          <w:szCs w:val="19"/>
          <w:b w:val="1"/>
          <w:bCs w:val="1"/>
          <w:color w:val="auto"/>
        </w:rPr>
        <w:t>Waivers of Notice.</w:t>
      </w:r>
      <w:r>
        <w:rPr>
          <w:rFonts w:ascii="Arial" w:cs="Arial" w:eastAsia="Arial" w:hAnsi="Arial"/>
          <w:sz w:val="19"/>
          <w:szCs w:val="19"/>
          <w:color w:val="auto"/>
        </w:rPr>
        <w:t xml:space="preserve"> Whenever any notice is required by law, the Certificate of Incorporation or these By-Laws, to be given to any director, member of a committee or stockholder, a waiver thereof in writing, signed by the person or persons entitled to said notice, or an electronically transmitted waiver of notice, whether before or after the time stated therein, shall be deemed equivalent thereto.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Section 1. Dividends. </w:t>
      </w:r>
      <w:r>
        <w:rPr>
          <w:rFonts w:ascii="Arial" w:cs="Arial" w:eastAsia="Arial" w:hAnsi="Arial"/>
          <w:sz w:val="19"/>
          <w:szCs w:val="19"/>
          <w:color w:val="auto"/>
        </w:rPr>
        <w:t>Dividends upon the capital stock of the Corporation, subject to the provisions of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 </w:t>
      </w:r>
      <w:r>
        <w:rPr>
          <w:rFonts w:ascii="Arial" w:cs="Arial" w:eastAsia="Arial" w:hAnsi="Arial"/>
          <w:sz w:val="19"/>
          <w:szCs w:val="19"/>
          <w:b w:val="1"/>
          <w:bCs w:val="1"/>
          <w:color w:val="auto"/>
        </w:rPr>
        <w:t>Disbursements.</w:t>
      </w:r>
      <w:r>
        <w:rPr>
          <w:rFonts w:ascii="Arial" w:cs="Arial" w:eastAsia="Arial" w:hAnsi="Arial"/>
          <w:sz w:val="19"/>
          <w:szCs w:val="19"/>
          <w:color w:val="auto"/>
        </w:rPr>
        <w:t xml:space="preserve"> All checks or demands for money and notes of the Corporation shall be signed by such officer or officers or such other person or persons as the Board of Directors may from time to time designate. </w:t>
      </w:r>
      <w:r>
        <w:rPr>
          <w:rFonts w:ascii="Arial" w:cs="Arial" w:eastAsia="Arial" w:hAnsi="Arial"/>
          <w:sz w:val="19"/>
          <w:szCs w:val="19"/>
          <w:b w:val="1"/>
          <w:bCs w:val="1"/>
          <w:color w:val="auto"/>
        </w:rPr>
        <w:t>Fiscal Year.</w:t>
      </w:r>
      <w:r>
        <w:rPr>
          <w:rFonts w:ascii="Arial" w:cs="Arial" w:eastAsia="Arial" w:hAnsi="Arial"/>
          <w:sz w:val="19"/>
          <w:szCs w:val="19"/>
          <w:color w:val="auto"/>
        </w:rPr>
        <w:t xml:space="preserve"> The fiscal year of the Corporation shall be fixed by resolution of the Board of Directors. </w:t>
      </w:r>
      <w:r>
        <w:rPr>
          <w:rFonts w:ascii="Arial" w:cs="Arial" w:eastAsia="Arial" w:hAnsi="Arial"/>
          <w:sz w:val="19"/>
          <w:szCs w:val="19"/>
          <w:b w:val="1"/>
          <w:bCs w:val="1"/>
          <w:color w:val="auto"/>
        </w:rPr>
        <w:t>Corporate Seal.</w:t>
      </w:r>
      <w:r>
        <w:rPr>
          <w:rFonts w:ascii="Arial" w:cs="Arial" w:eastAsia="Arial" w:hAnsi="Arial"/>
          <w:sz w:val="19"/>
          <w:szCs w:val="19"/>
          <w:color w:val="auto"/>
        </w:rPr>
        <w:t xml:space="preserve"> The corporate seal shall have inscribed thereon the name of the Corporation, the year of its organization and the words “Corporate Seal, Delaware”. The seal may be used by causing it or a facsimile thereof to be impressed or affixed or reproduced or otherwise. </w:t>
      </w:r>
      <w:r>
        <w:rPr>
          <w:rFonts w:ascii="Arial" w:cs="Arial" w:eastAsia="Arial" w:hAnsi="Arial"/>
          <w:sz w:val="19"/>
          <w:szCs w:val="19"/>
          <w:b w:val="1"/>
          <w:bCs w:val="1"/>
          <w:color w:val="auto"/>
        </w:rPr>
        <w:t>Section 203 Election.</w:t>
      </w:r>
      <w:r>
        <w:rPr>
          <w:rFonts w:ascii="Arial" w:cs="Arial" w:eastAsia="Arial" w:hAnsi="Arial"/>
          <w:sz w:val="19"/>
          <w:szCs w:val="19"/>
          <w:color w:val="auto"/>
        </w:rPr>
        <w:t xml:space="preserve"> The Corporation hereby expressly elects not to be governed by Section 203 of the General Corporation Law of the State of Delaware. </w:t>
      </w:r>
      <w:r>
        <w:rPr>
          <w:rFonts w:ascii="Arial" w:cs="Arial" w:eastAsia="Arial" w:hAnsi="Arial"/>
          <w:sz w:val="19"/>
          <w:szCs w:val="19"/>
          <w:b w:val="1"/>
          <w:bCs w:val="1"/>
          <w:color w:val="auto"/>
        </w:rPr>
        <w:t>Electronic Transmission.</w:t>
      </w:r>
      <w:r>
        <w:rPr>
          <w:rFonts w:ascii="Arial" w:cs="Arial" w:eastAsia="Arial" w:hAnsi="Arial"/>
          <w:sz w:val="19"/>
          <w:szCs w:val="19"/>
          <w:color w:val="auto"/>
        </w:rPr>
        <w:t xml:space="preserve"> When used in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without limitation any telegram, cablegram, facsimile transmission and communication by electronic mail. </w:t>
      </w:r>
      <w:r>
        <w:rPr>
          <w:rFonts w:ascii="Arial" w:cs="Arial" w:eastAsia="Arial" w:hAnsi="Arial"/>
          <w:sz w:val="19"/>
          <w:szCs w:val="19"/>
          <w:b w:val="1"/>
          <w:bCs w:val="1"/>
          <w:color w:val="auto"/>
        </w:rPr>
        <w:t>Facsimile Signatures.</w:t>
      </w:r>
      <w:r>
        <w:rPr>
          <w:rFonts w:ascii="Arial" w:cs="Arial" w:eastAsia="Arial" w:hAnsi="Arial"/>
          <w:sz w:val="19"/>
          <w:szCs w:val="19"/>
          <w:color w:val="auto"/>
        </w:rPr>
        <w:t xml:space="preserve"> In addition to the provisions for use of facsimile signatures specifically authorized in these By-Laws, facsimile signatures of any officer or officers of the Corporation may be used whenever and as authorized by the Board of Directors or any committee thereof. </w:t>
      </w:r>
      <w:r>
        <w:rPr>
          <w:rFonts w:ascii="Arial" w:cs="Arial" w:eastAsia="Arial" w:hAnsi="Arial"/>
          <w:sz w:val="19"/>
          <w:szCs w:val="19"/>
          <w:b w:val="1"/>
          <w:bCs w:val="1"/>
          <w:color w:val="auto"/>
        </w:rPr>
        <w:t>Form of Records.</w:t>
      </w:r>
      <w:r>
        <w:rPr>
          <w:rFonts w:ascii="Arial" w:cs="Arial" w:eastAsia="Arial" w:hAnsi="Arial"/>
          <w:sz w:val="19"/>
          <w:szCs w:val="19"/>
          <w:color w:val="auto"/>
        </w:rPr>
        <w:t xml:space="preserve"> Any records required by these By-Laws or otherwise maintained by the Corporation in the regular course of its business, including its stock ledger, books of account, and minute books, may be kept on, or be in the form of, magnetic tape, computer diskettes and discs, photographs, microphotographs, or any other information storage device, provided that the records so kept can be converted into clearly legible form within a reasonable time.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6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color w:val="auto"/>
        </w:rPr>
        <w:t>Power to Indemnify in Actions, Suits or Proceedings Other Than Those by or in the Right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3 of this Article VII,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w:t>
      </w:r>
    </w:p>
    <w:p>
      <w:pPr>
        <w:sectPr>
          <w:pgSz w:w="11900" w:h="16838" w:orient="portrait"/>
          <w:cols w:equalWidth="0" w:num="1">
            <w:col w:w="11420"/>
          </w:cols>
          <w:pgMar w:left="240" w:top="558" w:right="239" w:bottom="1440" w:gutter="0" w:footer="0" w:header="0"/>
        </w:sectPr>
      </w:pPr>
    </w:p>
    <w:bookmarkStart w:id="147" w:name="page148"/>
    <w:bookmarkEnd w:id="147"/>
    <w:p>
      <w:pPr>
        <w:jc w:val="both"/>
        <w:spacing w:after="0" w:line="283" w:lineRule="auto"/>
        <w:rPr>
          <w:sz w:val="20"/>
          <w:szCs w:val="20"/>
          <w:color w:val="auto"/>
        </w:rPr>
      </w:pPr>
      <w:r>
        <w:rPr>
          <w:rFonts w:ascii="Arial" w:cs="Arial" w:eastAsia="Arial" w:hAnsi="Arial"/>
          <w:sz w:val="19"/>
          <w:szCs w:val="19"/>
          <w:color w:val="auto"/>
        </w:rPr>
        <w:t xml:space="preserve">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w:t>
      </w:r>
      <w:r>
        <w:rPr>
          <w:rFonts w:ascii="Arial" w:cs="Arial" w:eastAsia="Arial" w:hAnsi="Arial"/>
          <w:sz w:val="19"/>
          <w:szCs w:val="19"/>
          <w:b w:val="1"/>
          <w:bCs w:val="1"/>
          <w:color w:val="auto"/>
        </w:rPr>
        <w:t>Power to Indemnify in Actions,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Suits or Proceedings by or in the Right of the Corporation. </w:t>
      </w:r>
      <w:r>
        <w:rPr>
          <w:rFonts w:ascii="Arial" w:cs="Arial" w:eastAsia="Arial" w:hAnsi="Arial"/>
          <w:sz w:val="19"/>
          <w:szCs w:val="19"/>
          <w:color w:val="auto"/>
        </w:rPr>
        <w:t>Subject to Section 3 of this Article VII, the Corporation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r>
        <w:rPr>
          <w:rFonts w:ascii="Arial" w:cs="Arial" w:eastAsia="Arial" w:hAnsi="Arial"/>
          <w:sz w:val="19"/>
          <w:szCs w:val="19"/>
          <w:b w:val="1"/>
          <w:bCs w:val="1"/>
          <w:color w:val="auto"/>
        </w:rPr>
        <w:t>Authorization of Indemnification.</w:t>
      </w:r>
      <w:r>
        <w:rPr>
          <w:rFonts w:ascii="Arial" w:cs="Arial" w:eastAsia="Arial" w:hAnsi="Arial"/>
          <w:sz w:val="19"/>
          <w:szCs w:val="19"/>
          <w:color w:val="auto"/>
        </w:rPr>
        <w:t xml:space="preserve"> Any indemnification under this Article VII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Section 1 or Section 2 of this Article VII, as the case may be. Such determination shall be made (i) by the Board of Directors by a majority vote of a quorum consisting of directors who were not parties to such action, suit or proceeding, or (ii) if such a quorum is not obtainable, or, even if obtainable a quorum of disinterested directors so directs, by independent legal counsel in a written opinion, or (iii) by the stockholders. To the extent, however, that a director, officer, employee or agent of the Corporation has been successful on the merits or otherwise in defense of any action, suit or proceeding described above, or in defense of any claim, issue or matter therein, he shall be indemnified against expenses (including attorneys’ fees) actually and reasonably incurred by him in connection therewith, without the necessity of authorization in the specific case. </w:t>
      </w:r>
      <w:r>
        <w:rPr>
          <w:rFonts w:ascii="Arial" w:cs="Arial" w:eastAsia="Arial" w:hAnsi="Arial"/>
          <w:sz w:val="19"/>
          <w:szCs w:val="19"/>
          <w:b w:val="1"/>
          <w:bCs w:val="1"/>
          <w:color w:val="auto"/>
        </w:rPr>
        <w:t>Good Faith Defined.</w:t>
      </w:r>
      <w:r>
        <w:rPr>
          <w:rFonts w:ascii="Arial" w:cs="Arial" w:eastAsia="Arial" w:hAnsi="Arial"/>
          <w:sz w:val="19"/>
          <w:szCs w:val="19"/>
          <w:color w:val="auto"/>
        </w:rPr>
        <w:t xml:space="preserve"> For purposes of any determination under Section 3 of this Article VII, a person shall be deemed to have acted in good faith and in a manner he reasonably believed to be in or not opposed to the best interests of the Corporation, or,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shall mean any other corporation or any partnership, joint venture, trust, employee benefit plan or other enterprise of which such person is or was serving at the request of the Corporation as a director, officer, employee or agent. The provisions of this Section 4 shall not be deemed to be exclusive or to limit in any way the circumstances in which a person may be deemed to have met the applicable standard of conduct set forth in Section 1 or 2 of this Article VII, as the case may be. </w:t>
      </w:r>
      <w:r>
        <w:rPr>
          <w:rFonts w:ascii="Arial" w:cs="Arial" w:eastAsia="Arial" w:hAnsi="Arial"/>
          <w:sz w:val="19"/>
          <w:szCs w:val="19"/>
          <w:b w:val="1"/>
          <w:bCs w:val="1"/>
          <w:color w:val="auto"/>
        </w:rPr>
        <w:t xml:space="preserve">Indemnification by a Court. </w:t>
      </w:r>
      <w:r>
        <w:rPr>
          <w:rFonts w:ascii="Arial" w:cs="Arial" w:eastAsia="Arial" w:hAnsi="Arial"/>
          <w:sz w:val="19"/>
          <w:szCs w:val="19"/>
          <w:color w:val="auto"/>
        </w:rPr>
        <w:t>Notwithstanding any contrary determination in the specific case under Section 3 of this Article VII,</w:t>
      </w:r>
      <w:r>
        <w:rPr>
          <w:rFonts w:ascii="Arial" w:cs="Arial" w:eastAsia="Arial" w:hAnsi="Arial"/>
          <w:sz w:val="19"/>
          <w:szCs w:val="19"/>
          <w:b w:val="1"/>
          <w:bCs w:val="1"/>
          <w:color w:val="auto"/>
        </w:rPr>
        <w:t xml:space="preserve"> </w:t>
      </w:r>
      <w:r>
        <w:rPr>
          <w:rFonts w:ascii="Arial" w:cs="Arial" w:eastAsia="Arial" w:hAnsi="Arial"/>
          <w:sz w:val="19"/>
          <w:szCs w:val="19"/>
          <w:color w:val="auto"/>
        </w:rPr>
        <w:t>and notwithstanding the absence of any determination thereunder, any director, officer,</w:t>
      </w:r>
    </w:p>
    <w:p>
      <w:pPr>
        <w:sectPr>
          <w:pgSz w:w="11900" w:h="16838" w:orient="portrait"/>
          <w:cols w:equalWidth="0" w:num="1">
            <w:col w:w="11420"/>
          </w:cols>
          <w:pgMar w:left="240" w:top="564" w:right="239" w:bottom="1440" w:gutter="0" w:footer="0" w:header="0"/>
        </w:sectPr>
      </w:pPr>
    </w:p>
    <w:bookmarkStart w:id="148" w:name="page149"/>
    <w:bookmarkEnd w:id="148"/>
    <w:p>
      <w:pPr>
        <w:jc w:val="both"/>
        <w:spacing w:after="0" w:line="284" w:lineRule="auto"/>
        <w:rPr>
          <w:sz w:val="20"/>
          <w:szCs w:val="20"/>
          <w:color w:val="auto"/>
        </w:rPr>
      </w:pPr>
      <w:r>
        <w:rPr>
          <w:rFonts w:ascii="Arial" w:cs="Arial" w:eastAsia="Arial" w:hAnsi="Arial"/>
          <w:sz w:val="19"/>
          <w:szCs w:val="19"/>
          <w:color w:val="auto"/>
        </w:rPr>
        <w:t xml:space="preserve">employee or agent may apply to any court of competent jurisdiction in the State of Delaware for indemnification to the extent otherwise permissible under Sections 1 and 2 of this Article VII. The basis of such indemnification by a court shall be a determination by such court that indemnification of the director, officer, employee or agent is proper in the circumstances because he has met the applicable standards of conduct set forth in Section 1 or 2 of this Article VII, as the case may be. Neither a contrary determination in the specific case under Section 3 of this Article VII nor the absence of any determination thereunder shall be a defense to such application or create a presumption that the director, officer, employee or agent seeking indemnification has not met any applicable standard of conduct. Notice of any application for indemnification pursuant to this Section 5 shall be given to the Corporation promptly upon the filing of such application. If successful, in whole or in part, the director, officer, employee or agent seeking indemnification shall also be entitled to be paid the expense of prosecuting such application. </w:t>
      </w:r>
      <w:r>
        <w:rPr>
          <w:rFonts w:ascii="Arial" w:cs="Arial" w:eastAsia="Arial" w:hAnsi="Arial"/>
          <w:sz w:val="19"/>
          <w:szCs w:val="19"/>
          <w:b w:val="1"/>
          <w:bCs w:val="1"/>
          <w:color w:val="auto"/>
        </w:rPr>
        <w:t>Expenses Payable in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Advance. </w:t>
      </w:r>
      <w:r>
        <w:rPr>
          <w:rFonts w:ascii="Arial" w:cs="Arial" w:eastAsia="Arial" w:hAnsi="Arial"/>
          <w:sz w:val="19"/>
          <w:szCs w:val="19"/>
          <w:color w:val="auto"/>
        </w:rPr>
        <w:t>Expenses incurred in defending or investigating a threatened or pending action, suit or proceeding shall be paid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in advance of the final disposition of such action, suit or proceeding upon receipt of an undertaking by or on behalf of such director, officer, employee or agent to repay such amount if it shall ultimately be determined that he is not entitled to be indemnified by the Corporation as authorized in this Article VII. </w:t>
      </w:r>
      <w:r>
        <w:rPr>
          <w:rFonts w:ascii="Arial" w:cs="Arial" w:eastAsia="Arial" w:hAnsi="Arial"/>
          <w:sz w:val="19"/>
          <w:szCs w:val="19"/>
          <w:b w:val="1"/>
          <w:bCs w:val="1"/>
          <w:color w:val="auto"/>
        </w:rPr>
        <w:t>Nonexclusivity of Indemnification and Advancement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Expenses. </w:t>
      </w:r>
      <w:r>
        <w:rPr>
          <w:rFonts w:ascii="Arial" w:cs="Arial" w:eastAsia="Arial" w:hAnsi="Arial"/>
          <w:sz w:val="19"/>
          <w:szCs w:val="19"/>
          <w:color w:val="auto"/>
        </w:rPr>
        <w:t>The indemnification and advancement of expenses provided by or granted pursuant to this Article VII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 indemnification of the persons specified in Sections 1 and 2 of this Article VII shall be made to the fullest extent permitted by law. The provisions of this Article VII shall not be deemed to preclude the indemnification of any person who is not specified in Section 1 or 2 of this Article VII but whom the Corporation has the power or obligation to indemnify under the provisions of the General Corporation Law of the State of Delaware, or otherwise. </w:t>
      </w:r>
      <w:r>
        <w:rPr>
          <w:rFonts w:ascii="Arial" w:cs="Arial" w:eastAsia="Arial" w:hAnsi="Arial"/>
          <w:sz w:val="19"/>
          <w:szCs w:val="19"/>
          <w:b w:val="1"/>
          <w:bCs w:val="1"/>
          <w:color w:val="auto"/>
        </w:rPr>
        <w:t xml:space="preserve">Insurance. </w:t>
      </w:r>
      <w:r>
        <w:rPr>
          <w:rFonts w:ascii="Arial" w:cs="Arial" w:eastAsia="Arial" w:hAnsi="Arial"/>
          <w:sz w:val="19"/>
          <w:szCs w:val="19"/>
          <w:color w:val="auto"/>
        </w:rPr>
        <w:t>The Corporation may purchase and maintain insurance on behalf of any person who is or was a director,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or agent of the Corporation, or is or was serving at the request of the Corporation as a director, officer, employee or agent of another corporation, partnership, joint venture, trust, employee benefit plan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Article VII.</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Certain Definitions. </w:t>
      </w:r>
      <w:r>
        <w:rPr>
          <w:rFonts w:ascii="Arial" w:cs="Arial" w:eastAsia="Arial" w:hAnsi="Arial"/>
          <w:sz w:val="19"/>
          <w:szCs w:val="19"/>
          <w:color w:val="auto"/>
        </w:rPr>
        <w:t>For purposes of this Article VII, references to “the Corporation” shall include, in addition to the resulting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any constituent corporation (including any constituent of a constituent) absorbed in a consolidation or merger which, if its separate existence had continued, would have had power and authority to indemnify its director, officers, employees or agents, so that any person who is or was a director, officer, employee or agent of such constituent corporation, or is or was serving at the request of such constituent corporation as a directors, officer, employee or agent of another corporation, partnership, joint venture, trust, employee benefit plan or other enterprise, shall stand in the same position under the provisions of this Article VII with respect to the resulting or surviving corporation as he would have with respect to such constituent corporation if its separate existence had continued. For purposes of this Article VII,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VII. </w:t>
      </w:r>
      <w:r>
        <w:rPr>
          <w:rFonts w:ascii="Arial" w:cs="Arial" w:eastAsia="Arial" w:hAnsi="Arial"/>
          <w:sz w:val="19"/>
          <w:szCs w:val="19"/>
          <w:b w:val="1"/>
          <w:bCs w:val="1"/>
          <w:color w:val="auto"/>
        </w:rPr>
        <w:t>Survival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Indemnification and Advancement of Expenses. </w:t>
      </w:r>
      <w:r>
        <w:rPr>
          <w:rFonts w:ascii="Arial" w:cs="Arial" w:eastAsia="Arial" w:hAnsi="Arial"/>
          <w:sz w:val="19"/>
          <w:szCs w:val="19"/>
          <w:color w:val="auto"/>
        </w:rPr>
        <w:t>The indemnification and advancement of expenses provided by, or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Article VII shall, unless otherwise provided when authorized or ratified, continue as to a person who has ceased to</w:t>
      </w:r>
    </w:p>
    <w:p>
      <w:pPr>
        <w:sectPr>
          <w:pgSz w:w="11900" w:h="16838" w:orient="portrait"/>
          <w:cols w:equalWidth="0" w:num="1">
            <w:col w:w="11420"/>
          </w:cols>
          <w:pgMar w:left="240" w:top="564" w:right="239" w:bottom="1440" w:gutter="0" w:footer="0" w:header="0"/>
        </w:sectPr>
      </w:pPr>
    </w:p>
    <w:bookmarkStart w:id="149" w:name="page150"/>
    <w:bookmarkEnd w:id="149"/>
    <w:p>
      <w:pPr>
        <w:jc w:val="both"/>
        <w:spacing w:after="0" w:line="292" w:lineRule="auto"/>
        <w:rPr>
          <w:sz w:val="20"/>
          <w:szCs w:val="20"/>
          <w:color w:val="auto"/>
        </w:rPr>
      </w:pPr>
      <w:r>
        <w:rPr>
          <w:rFonts w:ascii="Arial" w:cs="Arial" w:eastAsia="Arial" w:hAnsi="Arial"/>
          <w:sz w:val="19"/>
          <w:szCs w:val="19"/>
          <w:color w:val="auto"/>
        </w:rPr>
        <w:t xml:space="preserve">be a director, officer, employee or agent and shall inure to the benefit of the heirs, executors and administrators of such a person. </w:t>
      </w:r>
      <w:r>
        <w:rPr>
          <w:rFonts w:ascii="Arial" w:cs="Arial" w:eastAsia="Arial" w:hAnsi="Arial"/>
          <w:sz w:val="19"/>
          <w:szCs w:val="19"/>
          <w:b w:val="1"/>
          <w:bCs w:val="1"/>
          <w:color w:val="auto"/>
        </w:rPr>
        <w:t xml:space="preserve">Limitation on Indemnification. </w:t>
      </w:r>
      <w:r>
        <w:rPr>
          <w:rFonts w:ascii="Arial" w:cs="Arial" w:eastAsia="Arial" w:hAnsi="Arial"/>
          <w:sz w:val="19"/>
          <w:szCs w:val="19"/>
          <w:color w:val="auto"/>
        </w:rPr>
        <w:t>Notwithstanding anything contained in this Article VII to the contrary, except for proceedings to</w:t>
      </w:r>
      <w:r>
        <w:rPr>
          <w:rFonts w:ascii="Arial" w:cs="Arial" w:eastAsia="Arial" w:hAnsi="Arial"/>
          <w:sz w:val="19"/>
          <w:szCs w:val="19"/>
          <w:b w:val="1"/>
          <w:bCs w:val="1"/>
          <w:color w:val="auto"/>
        </w:rPr>
        <w:t xml:space="preserve"> </w:t>
      </w:r>
      <w:r>
        <w:rPr>
          <w:rFonts w:ascii="Arial" w:cs="Arial" w:eastAsia="Arial" w:hAnsi="Arial"/>
          <w:sz w:val="19"/>
          <w:szCs w:val="19"/>
          <w:color w:val="auto"/>
        </w:rPr>
        <w:t>enforce rights to indemnification (which shall be governed by Section 5 hereof), the Corporation shall not be obligated to indemnify any director, officer, employee or agent in connection with a proceeding (or part thereof) initiated by such person unless such proceeding (or part thereof) was authorized or consented to by the Board of Directors of the 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 Amendments. </w:t>
      </w:r>
      <w:r>
        <w:rPr>
          <w:rFonts w:ascii="Arial" w:cs="Arial" w:eastAsia="Arial" w:hAnsi="Arial"/>
          <w:sz w:val="21"/>
          <w:szCs w:val="21"/>
          <w:color w:val="auto"/>
        </w:rPr>
        <w:t>These By-Laws may be altered, amended or repealed, in whole or in part, or new By-Laws may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adopted by the stockholders or by the Board of Directors, provided, however, that notice of such alteration, amendment, repeal or adoption of new By-Laws be contained in the notice of such meeting of stockholders or Board of Directors, as the case may be. All such amendments must be approved by either the holders of a majority of the outstanding capital stock entitled to vote thereon or by a majority of the entire Board of Directors then in office. </w:t>
      </w:r>
      <w:r>
        <w:rPr>
          <w:rFonts w:ascii="Arial" w:cs="Arial" w:eastAsia="Arial" w:hAnsi="Arial"/>
          <w:sz w:val="21"/>
          <w:szCs w:val="21"/>
          <w:b w:val="1"/>
          <w:bCs w:val="1"/>
          <w:color w:val="auto"/>
        </w:rPr>
        <w:t>Entire Board of Directors.</w:t>
      </w:r>
      <w:r>
        <w:rPr>
          <w:rFonts w:ascii="Arial" w:cs="Arial" w:eastAsia="Arial" w:hAnsi="Arial"/>
          <w:sz w:val="21"/>
          <w:szCs w:val="21"/>
          <w:color w:val="auto"/>
        </w:rPr>
        <w:t xml:space="preserve"> As used in this Article VIII and in these By-Laws generally, the term “entire Board of Directors” means the total number of directors which the Corporation would have if there were no vacancies.</w:t>
      </w:r>
    </w:p>
    <w:p>
      <w:pPr>
        <w:sectPr>
          <w:pgSz w:w="11900" w:h="16838" w:orient="portrait"/>
          <w:cols w:equalWidth="0" w:num="1">
            <w:col w:w="11420"/>
          </w:cols>
          <w:pgMar w:left="240" w:top="564" w:right="239" w:bottom="1440" w:gutter="0" w:footer="0" w:header="0"/>
        </w:sectPr>
      </w:pPr>
    </w:p>
    <w:bookmarkStart w:id="150" w:name="page151"/>
    <w:bookmarkEnd w:id="150"/>
    <w:p>
      <w:pPr>
        <w:jc w:val="right"/>
        <w:ind w:right="237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1957285 Ontario Inc. dba Quality Underwriting Services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LBS IPA,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International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Laboratory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Curalab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DaVinici/Medicorp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 Gamma Laboratory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 Infrastructure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Testing Centers,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Trans Services Inc.</w:t>
      </w:r>
    </w:p>
    <w:p>
      <w:pPr>
        <w:sectPr>
          <w:pgSz w:w="11900" w:h="16838" w:orient="portrait"/>
          <w:cols w:equalWidth="0" w:num="1">
            <w:col w:w="9399"/>
          </w:cols>
          <w:pgMar w:left="1060" w:top="558" w:right="1440" w:bottom="969"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Belgium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Colorado,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Employer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Health System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Indiana,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Michigan,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Switzerland S.à.r.l.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Staffing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UK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Lifecodes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Medical Neurogenitics,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UK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Pathology Associates Medical Lab,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Paclab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Pee Dee Pathology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Pixel by LabCorp</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Princeton Diagnostic Laboratories of America, Inc.</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Saint Josephs-PAML,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Sequenom Biosciences (India) Pvt. Ltd.</w:t>
      </w:r>
    </w:p>
    <w:p>
      <w:pPr>
        <w:sectPr>
          <w:pgSz w:w="11900" w:h="16838" w:orient="portrait"/>
          <w:cols w:equalWidth="0" w:num="1">
            <w:col w:w="9399"/>
          </w:cols>
          <w:pgMar w:left="1060" w:top="724" w:right="1440" w:bottom="537"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Sequenom Center for Molecular Medicine,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Sequenom,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Tri-Cities Laboratory,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Yakima Medical Arts,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Central Laboratory Services Limited Partnership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Consulting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(Switzerland)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Analytics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Developments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International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Research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Hungaria Consultancy Limited Liability Company</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Covance India Pharmaceutical Services Private Limited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ectPr>
          <w:pgSz w:w="11900" w:h="16838" w:orient="portrait"/>
          <w:cols w:equalWidth="0" w:num="1">
            <w:col w:w="9399"/>
          </w:cols>
          <w:pgMar w:left="1060" w:top="724" w:right="1440" w:bottom="726"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Pharma Consulting Limited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Scientific Services &amp; Solutions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Global Specimen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LSR Pension Scheme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Europe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Covance Charitable Foundation</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Japan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CRS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Genomics Laboratory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Laboratory SAS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Safe Foods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Safe Foods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Food Network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Safe Foods International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Chiltern International Group Limited Operating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Chiltern - Pesquisa Clinica Ltda</w:t>
      </w:r>
    </w:p>
    <w:p>
      <w:pPr>
        <w:sectPr>
          <w:pgSz w:w="11900" w:h="16838" w:orient="portrait"/>
          <w:cols w:equalWidth="0" w:num="1">
            <w:col w:w="9399"/>
          </w:cols>
          <w:pgMar w:left="1060" w:top="724" w:right="1440" w:bottom="712"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Chiltern Clinical Research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Group Ltd. (CIGL) HL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Investigacion Clinica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India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(UK)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Havenfern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Development Group (Holdings) UK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Europe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International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Latin America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Research Associates,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Chiltern International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KK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AB</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EOOD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Pharmaceutical and Technology Consulting (Shanghai)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Development Associates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Co., Ltd.</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ectPr>
          <w:pgSz w:w="11900" w:h="16838" w:orient="portrait"/>
          <w:cols w:equalWidth="0" w:num="1">
            <w:col w:w="9399"/>
          </w:cols>
          <w:pgMar w:left="1060" w:top="724" w:right="1440" w:bottom="712"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St. Joseph's Health Centre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Toronto Argyro Medical Laboratories Ltd.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Woodstock Medical Arts Building Inc.</w:t>
      </w:r>
    </w:p>
    <w:p>
      <w:pPr>
        <w:sectPr>
          <w:pgSz w:w="11900" w:h="16838" w:orient="portrait"/>
          <w:cols w:equalWidth="0" w:num="1">
            <w:col w:w="9399"/>
          </w:cols>
          <w:pgMar w:left="1060" w:top="724" w:right="1440"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Exhibit 23.1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333-234633) and Form S-8 (No. 333-102602, No. 333-90764, No. 333-97745, No. 333-150704, No. 333-181107, No. 333-211324 and No. 333-211323) of Laboratory Corporation of America Holdings of our report dated February 28, 2020, relating to the financial statements and the effectiveness of internal control over financial reporting,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108"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420"/>
          </w:cols>
          <w:pgMar w:left="240" w:top="108"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420"/>
          </w:cols>
          <w:pgMar w:left="240" w:top="108"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Jeffrey A. Davis</w:t>
      </w:r>
    </w:p>
    <w:p>
      <w:pPr>
        <w:sectPr>
          <w:pgSz w:w="11900" w:h="16838" w:orient="portrait"/>
          <w:cols w:equalWidth="0" w:num="1">
            <w:col w:w="11420"/>
          </w:cols>
          <w:pgMar w:left="240" w:top="108"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Exhibit 24.4</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 Gary Gilliland, M.D., Ph.D</w:t>
      </w:r>
    </w:p>
    <w:p>
      <w:pPr>
        <w:sectPr>
          <w:pgSz w:w="11900" w:h="16838" w:orient="portrait"/>
          <w:cols w:equalWidth="0" w:num="1">
            <w:col w:w="11420"/>
          </w:cols>
          <w:pgMar w:left="240" w:top="108"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P. King</w:t>
      </w:r>
    </w:p>
    <w:p>
      <w:pPr>
        <w:sectPr>
          <w:pgSz w:w="11900" w:h="16838" w:orient="portrait"/>
          <w:cols w:equalWidth="0" w:num="1">
            <w:col w:w="11420"/>
          </w:cols>
          <w:pgMar w:left="240" w:top="108"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420"/>
          </w:cols>
          <w:pgMar w:left="240" w:top="108"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420"/>
          </w:cols>
          <w:pgMar w:left="240" w:top="108"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Richelle P. Parham</w:t>
      </w:r>
    </w:p>
    <w:p>
      <w:pPr>
        <w:sectPr>
          <w:pgSz w:w="11900" w:h="16838" w:orient="portrait"/>
          <w:cols w:equalWidth="0" w:num="1">
            <w:col w:w="11420"/>
          </w:cols>
          <w:pgMar w:left="240" w:top="715"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2020.</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420"/>
          </w:cols>
          <w:pgMar w:left="240" w:top="108"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Adam H. Schechter,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H. SCHECHTER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Adam H. Schechter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4"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656"/>
        <w:spacing w:after="0" w:line="277" w:lineRule="auto"/>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2019,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ADAM H. SCHECHTER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Adam H. Schechter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28,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3"/>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1"/>
    </w:lvl>
  </w:abstractNum>
  <w:abstractNum w:abstractNumId="23">
    <w:nsid w:val="51EAD36B"/>
    <w:multiLevelType w:val="hybridMultilevel"/>
    <w:lvl w:ilvl="0">
      <w:lvlJc w:val="left"/>
      <w:lvlText w:val="%1."/>
      <w:numFmt w:val="decimal"/>
      <w:start w:val="34"/>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lowerLetter"/>
      <w:start w:val="1"/>
    </w:lvl>
    <w:lvl w:ilvl="1">
      <w:lvlJc w:val="left"/>
      <w:lvlText w:val="(%2)"/>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decimal"/>
      <w:start w:val="15"/>
    </w:lvl>
  </w:abstractNum>
  <w:abstractNum w:abstractNumId="33">
    <w:nsid w:val="2CD89A32"/>
    <w:multiLevelType w:val="hybridMultilevel"/>
    <w:lvl w:ilvl="0">
      <w:lvlJc w:val="left"/>
      <w:lvlText w:val="%1."/>
      <w:numFmt w:val="decimal"/>
      <w:start w:val="17"/>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6"/>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lowerLetter"/>
      <w:start w:val="3"/>
    </w:lvl>
  </w:abstractNum>
  <w:abstractNum w:abstractNumId="47">
    <w:nsid w:val="79A1DEAA"/>
    <w:multiLevelType w:val="hybridMultilevel"/>
    <w:lvl w:ilvl="0">
      <w:lvlJc w:val="left"/>
      <w:lvlText w:val="(%1)"/>
      <w:numFmt w:val="lowerLetter"/>
      <w:start w:val="5"/>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1)"/>
      <w:numFmt w:val="lowerRoman"/>
      <w:start w:val="7"/>
    </w:lvl>
  </w:abstractNum>
  <w:abstractNum w:abstractNumId="50">
    <w:nsid w:val="70C6A529"/>
    <w:multiLevelType w:val="hybridMultilevel"/>
    <w:lvl w:ilvl="0">
      <w:lvlJc w:val="left"/>
      <w:lvlText w:val="(%1)"/>
      <w:numFmt w:val="lowerLetter"/>
      <w:start w:val="7"/>
    </w:lvl>
  </w:abstractNum>
  <w:abstractNum w:abstractNumId="51">
    <w:nsid w:val="520EEDD1"/>
    <w:multiLevelType w:val="hybridMultilevel"/>
    <w:lvl w:ilvl="0">
      <w:lvlJc w:val="left"/>
      <w:lvlText w:val="(%1)"/>
      <w:numFmt w:val="lowerLetter"/>
      <w:start w:val="10"/>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3" Type="http://schemas.openxmlformats.org/officeDocument/2006/relationships/image" Target="media/image45.png"/><Relationship Id="rId94" Type="http://schemas.openxmlformats.org/officeDocument/2006/relationships/image" Target="media/image46.png"/><Relationship Id="rId95" Type="http://schemas.openxmlformats.org/officeDocument/2006/relationships/image" Target="media/image47.png"/><Relationship Id="rId96" Type="http://schemas.openxmlformats.org/officeDocument/2006/relationships/image" Target="media/image48.png"/><Relationship Id="rId97" Type="http://schemas.openxmlformats.org/officeDocument/2006/relationships/image" Target="media/image49.png"/><Relationship Id="rId98" Type="http://schemas.openxmlformats.org/officeDocument/2006/relationships/image" Target="media/image50.png"/><Relationship Id="rId99" Type="http://schemas.openxmlformats.org/officeDocument/2006/relationships/image" Target="media/image51.png"/><Relationship Id="rId100" Type="http://schemas.openxmlformats.org/officeDocument/2006/relationships/image" Target="media/image52.png"/><Relationship Id="rId101" Type="http://schemas.openxmlformats.org/officeDocument/2006/relationships/image" Target="media/image53.png"/><Relationship Id="rId102" Type="http://schemas.openxmlformats.org/officeDocument/2006/relationships/image" Target="media/image54.png"/><Relationship Id="rId19" Type="http://schemas.openxmlformats.org/officeDocument/2006/relationships/hyperlink" Target="http://www.sec.gov/Archives/edgar/data/920148/000119312520026765/d859803dex31.htm" TargetMode="External"/><Relationship Id="rId20" Type="http://schemas.openxmlformats.org/officeDocument/2006/relationships/hyperlink" Target="http://www.sec.gov/Archives/edgar/data/920148/000092014802000015/stockcert.txt" TargetMode="External"/><Relationship Id="rId21" Type="http://schemas.openxmlformats.org/officeDocument/2006/relationships/hyperlink" Target="http://www.sec.gov/Archives/edgar/data/920148/000092014803000015/regrightsagmt.txt" TargetMode="External"/><Relationship Id="rId22" Type="http://schemas.openxmlformats.org/officeDocument/2006/relationships/hyperlink" Target="http://www.sec.gov/Archives/edgar/data/920148/000092014810000110/ex_4-1.htm" TargetMode="External"/><Relationship Id="rId23" Type="http://schemas.openxmlformats.org/officeDocument/2006/relationships/hyperlink" Target="http://www.sec.gov/Archives/edgar/data/920148/000092014810000110/ex_4-3.htm" TargetMode="External"/><Relationship Id="rId24" Type="http://schemas.openxmlformats.org/officeDocument/2006/relationships/hyperlink" Target="http://www.sec.gov/Archives/edgar/data/920148/000119312512365977/d401488dex42.htm" TargetMode="External"/><Relationship Id="rId25" Type="http://schemas.openxmlformats.org/officeDocument/2006/relationships/hyperlink" Target="http://www.sec.gov/Archives/edgar/data/920148/000119312512365977/d401488dex43.htm" TargetMode="External"/><Relationship Id="rId26" Type="http://schemas.openxmlformats.org/officeDocument/2006/relationships/hyperlink" Target="http://www.sec.gov/Archives/edgar/data/920148/000119312513422088/d619416dex42.htm" TargetMode="External"/><Relationship Id="rId27" Type="http://schemas.openxmlformats.org/officeDocument/2006/relationships/hyperlink" Target="http://www.sec.gov/Archives/edgar/data/920148/000119312513422088/d619416dex43.htm" TargetMode="External"/><Relationship Id="rId28" Type="http://schemas.openxmlformats.org/officeDocument/2006/relationships/hyperlink" Target="http://www.sec.gov/Archives/edgar/data/920148/000119312515026832/d860928dex42.htm" TargetMode="External"/><Relationship Id="rId29" Type="http://schemas.openxmlformats.org/officeDocument/2006/relationships/hyperlink" Target="http://www.sec.gov/Archives/edgar/data/920148/000119312515026832/d860928dex43.htm" TargetMode="External"/><Relationship Id="rId30" Type="http://schemas.openxmlformats.org/officeDocument/2006/relationships/hyperlink" Target="http://www.sec.gov/Archives/edgar/data/920148/000119312515026832/d860928dex44.htm" TargetMode="External"/><Relationship Id="rId31" Type="http://schemas.openxmlformats.org/officeDocument/2006/relationships/hyperlink" Target="http://www.sec.gov/Archives/edgar/data/920148/000119312515026832/d860928dex45.htm" TargetMode="External"/><Relationship Id="rId32" Type="http://schemas.openxmlformats.org/officeDocument/2006/relationships/hyperlink" Target="http://www.sec.gov/Archives/edgar/data/920148/000119312517264395/d427802dex42.htm" TargetMode="External"/><Relationship Id="rId33" Type="http://schemas.openxmlformats.org/officeDocument/2006/relationships/hyperlink" Target="http://www.sec.gov/Archives/edgar/data/920148/000119312517264395/d427802dex43.htm" TargetMode="External"/><Relationship Id="rId34" Type="http://schemas.openxmlformats.org/officeDocument/2006/relationships/hyperlink" Target="http://www.sec.gov/Archives/edgar/data/920148/000119312519300013/d839349dex42.htm" TargetMode="External"/><Relationship Id="rId35" Type="http://schemas.openxmlformats.org/officeDocument/2006/relationships/hyperlink" Target="http://www.sec.gov/Archives/edgar/data/920148/000119312519300013/d839349dex43.htm" TargetMode="External"/><Relationship Id="rId36" Type="http://schemas.openxmlformats.org/officeDocument/2006/relationships/hyperlink" Target="http://www.sec.gov/Archives/edgar/data/920148/000092014804000191/ex10-1_pepplan.htm" TargetMode="External"/><Relationship Id="rId37" Type="http://schemas.openxmlformats.org/officeDocument/2006/relationships/hyperlink" Target="http://www.sec.gov/Archives/edgar/data/920148/000092014804000191/ex10-2_pepamend.htm" TargetMode="External"/><Relationship Id="rId38" Type="http://schemas.openxmlformats.org/officeDocument/2006/relationships/hyperlink" Target="http://www.sec.gov/Archives/edgar/data/920148/000092014805000049/pepamend2_10-4.htm" TargetMode="External"/><Relationship Id="rId39" Type="http://schemas.openxmlformats.org/officeDocument/2006/relationships/hyperlink" Target="http://www.sec.gov/Archives/edgar/data/920148/000092014804000150/seniorexectranspolicy.txt" TargetMode="External"/><Relationship Id="rId40" Type="http://schemas.openxmlformats.org/officeDocument/2006/relationships/hyperlink" Target="http://www.sec.gov/Archives/edgar/data/920148/000092014805000049/defcomp_ex10-22.htm" TargetMode="External"/><Relationship Id="rId41" Type="http://schemas.openxmlformats.org/officeDocument/2006/relationships/hyperlink" Target="http://www.sec.gov/Archives/edgar/data/920148/000092014805000049/defcompamend_ex10-23.htm" TargetMode="External"/><Relationship Id="rId42" Type="http://schemas.openxmlformats.org/officeDocument/2006/relationships/hyperlink" Target="http://www.sec.gov/Archives/edgar/data/920148/000092014805000161/ex10-8_defcomp.htm" TargetMode="External"/><Relationship Id="rId43" Type="http://schemas.openxmlformats.org/officeDocument/2006/relationships/hyperlink" Target="http://www.sec.gov/Archives/edgar/data/920148/000092014805000161/exhibit10-6.htm" TargetMode="External"/><Relationship Id="rId44" Type="http://schemas.openxmlformats.org/officeDocument/2006/relationships/hyperlink" Target="http://www.sec.gov/Archives/edgar/data/920148/000116923207001103/ex10-28_defcomp.htm" TargetMode="External"/><Relationship Id="rId45" Type="http://schemas.openxmlformats.org/officeDocument/2006/relationships/hyperlink" Target="http://www.sec.gov/Archives/edgar/data/920148/000092014808000071/ex10-34_defcomp.htm" TargetMode="External"/><Relationship Id="rId46" Type="http://schemas.openxmlformats.org/officeDocument/2006/relationships/hyperlink" Target="http://www.sec.gov/Archives/edgar/data/920148/000119312508064635/ddef14a.htm" TargetMode="External"/><Relationship Id="rId47" Type="http://schemas.openxmlformats.org/officeDocument/2006/relationships/hyperlink" Target="http://www.sec.gov/Archives/edgar/data/920148/000092014808000150/exhibit10-2.htm" TargetMode="External"/><Relationship Id="rId48" Type="http://schemas.openxmlformats.org/officeDocument/2006/relationships/hyperlink" Target="http://www.sec.gov/Archives/edgar/data/920148/000092014809000031/ex10_1.htm" TargetMode="External"/><Relationship Id="rId49" Type="http://schemas.openxmlformats.org/officeDocument/2006/relationships/hyperlink" Target="http://www.sec.gov/Archives/edgar/data/920148/000092014809000031/ex10_2.htm" TargetMode="External"/><Relationship Id="rId50" Type="http://schemas.openxmlformats.org/officeDocument/2006/relationships/hyperlink" Target="http://www.sec.gov/Archives/edgar/data/920148/000092014810000040/ex10_1.htm" TargetMode="External"/><Relationship Id="rId51" Type="http://schemas.openxmlformats.org/officeDocument/2006/relationships/hyperlink" Target="http://www.sec.gov/Archives/edgar/data/920148/000092014810000040/ex10_2.htm" TargetMode="External"/><Relationship Id="rId52" Type="http://schemas.openxmlformats.org/officeDocument/2006/relationships/hyperlink" Target="http://www.sec.gov/Archives/edgar/data/920148/000092014812000065/exhibit101toform8-k.htm" TargetMode="External"/><Relationship Id="rId53" Type="http://schemas.openxmlformats.org/officeDocument/2006/relationships/hyperlink" Target="http://www.sec.gov/Archives/edgar/data/920148/000092014817000112/exhibit103q32017.htm" TargetMode="External"/><Relationship Id="rId54" Type="http://schemas.openxmlformats.org/officeDocument/2006/relationships/hyperlink" Target="http://www.sec.gov/Archives/edgar/data/920148/000119312516591935/d169343dex101.htm" TargetMode="External"/><Relationship Id="rId55" Type="http://schemas.openxmlformats.org/officeDocument/2006/relationships/hyperlink" Target="http://www.sec.gov/Archives/edgar/data/920148/000119312516591935/d169343dex102.htm" TargetMode="External"/><Relationship Id="rId56" Type="http://schemas.openxmlformats.org/officeDocument/2006/relationships/hyperlink" Target="http://www.sec.gov/Archives/edgar/data/920148/000092014819000053/ex101retirementagreementfs.htm" TargetMode="External"/><Relationship Id="rId57" Type="http://schemas.openxmlformats.org/officeDocument/2006/relationships/hyperlink" Target="http://www.sec.gov/Archives/edgar/data/920148/000119312519164256/d755218dex101.htm" TargetMode="External"/><Relationship Id="rId58" Type="http://schemas.openxmlformats.org/officeDocument/2006/relationships/hyperlink" Target="http://www.sec.gov/Archives/edgar/data/920148/000119312519165518/d758193dex101.htm" TargetMode="External"/><Relationship Id="rId59" Type="http://schemas.openxmlformats.org/officeDocument/2006/relationships/hyperlink" Target="http://www.sec.gov/Archives/edgar/data/920148/000092014819000076/ex101transi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2020-02-28T13:48:26Z</dcterms:created>
  <dcterms:modified xsi:type="dcterms:W3CDTF">2020-02-28T13:48:26Z</dcterms:modified>
</cp:coreProperties>
</file>